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A9" w:rsidRPr="003531A9" w:rsidRDefault="003531A9" w:rsidP="003531A9">
      <w:pPr>
        <w:framePr w:w="10224" w:h="1440" w:hSpace="180" w:wrap="around" w:vAnchor="page" w:hAnchor="page" w:x="1037" w:y="11953" w:anchorLock="1"/>
        <w:spacing w:before="600"/>
        <w:ind w:left="1267"/>
        <w:rPr>
          <w:rFonts w:ascii="宋体"/>
          <w:sz w:val="28"/>
        </w:rPr>
      </w:pPr>
      <w:r>
        <w:rPr>
          <w:noProof/>
        </w:rPr>
        <w:drawing>
          <wp:inline distT="0" distB="0" distL="0" distR="0">
            <wp:extent cx="533400" cy="4318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3400" cy="431800"/>
                    </a:xfrm>
                    <a:prstGeom prst="rect">
                      <a:avLst/>
                    </a:prstGeom>
                  </pic:spPr>
                </pic:pic>
              </a:graphicData>
            </a:graphic>
          </wp:inline>
        </w:drawing>
      </w:r>
      <w:r>
        <w:br/>
      </w:r>
      <w:r>
        <w:rPr>
          <w:rFonts w:ascii="宋体" w:hint="eastAsia"/>
          <w:sz w:val="28"/>
        </w:rPr>
        <w:t xml:space="preserve">联合国 </w:t>
      </w:r>
      <w:r>
        <w:rPr>
          <w:rFonts w:ascii="宋体" w:hint="eastAsia"/>
          <w:sz w:val="24"/>
        </w:rPr>
        <w:sym w:font="Symbol" w:char="F0B7"/>
      </w:r>
      <w:r>
        <w:rPr>
          <w:rFonts w:ascii="宋体" w:hint="eastAsia"/>
          <w:sz w:val="28"/>
        </w:rPr>
        <w:t xml:space="preserve"> 2015年，纽约</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531A9" w:rsidRPr="003531A9" w:rsidTr="003531A9">
        <w:trPr>
          <w:jc w:val="center"/>
        </w:trPr>
        <w:tc>
          <w:tcPr>
            <w:tcW w:w="5040" w:type="dxa"/>
            <w:shd w:val="clear" w:color="auto" w:fill="auto"/>
          </w:tcPr>
          <w:p w:rsidR="003531A9" w:rsidRDefault="003531A9" w:rsidP="003531A9">
            <w:pPr>
              <w:framePr w:hSpace="180" w:wrap="around" w:vAnchor="page" w:hAnchor="page" w:x="1037" w:y="1743" w:anchorLock="1"/>
              <w:spacing w:after="120" w:line="270" w:lineRule="exact"/>
              <w:jc w:val="left"/>
              <w:rPr>
                <w:rFonts w:ascii="宋体" w:hAnsi="宋体"/>
                <w:spacing w:val="4"/>
                <w:w w:val="103"/>
                <w:sz w:val="24"/>
              </w:rPr>
            </w:pPr>
            <w:r>
              <w:rPr>
                <w:rFonts w:ascii="黑体" w:eastAsia="黑体" w:hAnsi="黑体"/>
                <w:spacing w:val="4"/>
                <w:w w:val="103"/>
                <w:sz w:val="24"/>
              </w:rPr>
              <w:t>大  会</w:t>
            </w:r>
            <w:r>
              <w:rPr>
                <w:rFonts w:ascii="黑体" w:eastAsia="黑体" w:hAnsi="黑体"/>
                <w:spacing w:val="4"/>
                <w:w w:val="103"/>
                <w:sz w:val="24"/>
              </w:rPr>
              <w:br/>
            </w:r>
            <w:r>
              <w:rPr>
                <w:rFonts w:ascii="宋体" w:hAnsi="宋体"/>
                <w:spacing w:val="4"/>
                <w:w w:val="103"/>
                <w:sz w:val="24"/>
              </w:rPr>
              <w:t>正式记录</w:t>
            </w:r>
            <w:r>
              <w:rPr>
                <w:rFonts w:ascii="宋体" w:hAnsi="宋体"/>
                <w:spacing w:val="4"/>
                <w:w w:val="103"/>
                <w:sz w:val="24"/>
              </w:rPr>
              <w:br/>
              <w:t>第七十届会议</w:t>
            </w:r>
            <w:r>
              <w:rPr>
                <w:rFonts w:ascii="宋体" w:hAnsi="宋体"/>
                <w:spacing w:val="4"/>
                <w:w w:val="103"/>
                <w:sz w:val="24"/>
              </w:rPr>
              <w:br/>
              <w:t>补编第10号</w:t>
            </w:r>
          </w:p>
          <w:p w:rsidR="003531A9" w:rsidRPr="003531A9" w:rsidRDefault="003531A9" w:rsidP="003531A9">
            <w:pPr>
              <w:framePr w:hSpace="180" w:wrap="around" w:vAnchor="page" w:hAnchor="page" w:x="1037" w:y="1743" w:anchorLock="1"/>
              <w:spacing w:after="120" w:line="270" w:lineRule="exact"/>
              <w:jc w:val="left"/>
              <w:rPr>
                <w:rFonts w:ascii="宋体" w:hAnsi="宋体"/>
                <w:spacing w:val="4"/>
                <w:w w:val="103"/>
                <w:sz w:val="24"/>
              </w:rPr>
            </w:pPr>
          </w:p>
        </w:tc>
        <w:tc>
          <w:tcPr>
            <w:tcW w:w="5040" w:type="dxa"/>
            <w:shd w:val="clear" w:color="auto" w:fill="auto"/>
          </w:tcPr>
          <w:p w:rsidR="003531A9" w:rsidRPr="003531A9" w:rsidRDefault="003531A9" w:rsidP="003531A9">
            <w:pPr>
              <w:framePr w:hSpace="180" w:wrap="around" w:vAnchor="page" w:hAnchor="page" w:x="1037" w:y="1743" w:anchorLock="1"/>
              <w:spacing w:line="270" w:lineRule="exact"/>
              <w:jc w:val="right"/>
              <w:rPr>
                <w:rFonts w:eastAsia="黑体"/>
                <w:b/>
                <w:spacing w:val="4"/>
                <w:w w:val="103"/>
                <w:sz w:val="20"/>
              </w:rPr>
            </w:pPr>
            <w:r>
              <w:rPr>
                <w:rFonts w:eastAsia="黑体"/>
                <w:b/>
                <w:spacing w:val="4"/>
                <w:w w:val="103"/>
                <w:sz w:val="20"/>
              </w:rPr>
              <w:t>A/70/10</w:t>
            </w:r>
          </w:p>
        </w:tc>
      </w:tr>
    </w:tbl>
    <w:p w:rsidR="00B07B56" w:rsidRPr="00B07B56" w:rsidRDefault="003531A9" w:rsidP="00B07B56">
      <w:pPr>
        <w:spacing w:line="120" w:lineRule="exact"/>
        <w:ind w:left="1260"/>
        <w:rPr>
          <w:sz w:val="10"/>
          <w:szCs w:val="40"/>
        </w:rPr>
      </w:pPr>
      <w:r>
        <w:rPr>
          <w:rStyle w:val="a9"/>
        </w:rPr>
        <w:commentReference w:id="0"/>
      </w:r>
    </w:p>
    <w:p w:rsidR="00B07B56" w:rsidRPr="00B07B56" w:rsidRDefault="00B07B56" w:rsidP="00B07B56">
      <w:pPr>
        <w:spacing w:line="120" w:lineRule="exact"/>
        <w:ind w:left="1260"/>
        <w:rPr>
          <w:sz w:val="10"/>
          <w:szCs w:val="40"/>
        </w:rPr>
      </w:pPr>
    </w:p>
    <w:p w:rsidR="003531A9" w:rsidRDefault="003531A9" w:rsidP="003531A9">
      <w:pPr>
        <w:spacing w:line="240" w:lineRule="auto"/>
        <w:ind w:left="1260"/>
        <w:rPr>
          <w:sz w:val="12"/>
        </w:rPr>
      </w:pPr>
    </w:p>
    <w:p w:rsidR="003531A9" w:rsidRDefault="003531A9" w:rsidP="003531A9">
      <w:pPr>
        <w:spacing w:line="240" w:lineRule="auto"/>
        <w:ind w:left="1260"/>
        <w:rPr>
          <w:sz w:val="12"/>
        </w:rPr>
      </w:pPr>
    </w:p>
    <w:p w:rsidR="003531A9" w:rsidRDefault="003531A9" w:rsidP="003531A9">
      <w:pPr>
        <w:spacing w:line="240" w:lineRule="auto"/>
        <w:ind w:left="1260"/>
        <w:rPr>
          <w:sz w:val="12"/>
        </w:rPr>
      </w:pPr>
    </w:p>
    <w:p w:rsidR="003531A9" w:rsidRPr="0044421A" w:rsidRDefault="00B07B56" w:rsidP="00B07B56">
      <w:pPr>
        <w:spacing w:line="240" w:lineRule="auto"/>
        <w:ind w:left="1260"/>
        <w:rPr>
          <w:rFonts w:ascii="黑体" w:eastAsia="黑体" w:hAnsi="黑体"/>
          <w:sz w:val="56"/>
          <w:szCs w:val="56"/>
        </w:rPr>
      </w:pPr>
      <w:r w:rsidRPr="0044421A">
        <w:rPr>
          <w:rFonts w:ascii="黑体" w:eastAsia="黑体" w:hAnsi="黑体" w:hint="eastAsia"/>
          <w:sz w:val="56"/>
          <w:szCs w:val="56"/>
          <w:lang w:val="fr-CH"/>
        </w:rPr>
        <w:t>国际法</w:t>
      </w:r>
      <w:r w:rsidRPr="0044421A">
        <w:rPr>
          <w:rFonts w:ascii="黑体" w:eastAsia="黑体" w:hAnsi="黑体" w:hint="eastAsia"/>
          <w:sz w:val="56"/>
          <w:szCs w:val="56"/>
        </w:rPr>
        <w:t>委员会报告</w:t>
      </w:r>
    </w:p>
    <w:p w:rsidR="003531A9" w:rsidRDefault="003531A9" w:rsidP="003531A9">
      <w:pPr>
        <w:spacing w:line="240" w:lineRule="auto"/>
        <w:ind w:left="1260"/>
        <w:rPr>
          <w:sz w:val="12"/>
        </w:rPr>
      </w:pPr>
    </w:p>
    <w:p w:rsidR="003531A9" w:rsidRDefault="003531A9" w:rsidP="003531A9">
      <w:pPr>
        <w:spacing w:line="240" w:lineRule="auto"/>
        <w:ind w:left="1260"/>
        <w:rPr>
          <w:sz w:val="12"/>
        </w:rPr>
      </w:pPr>
    </w:p>
    <w:p w:rsidR="003531A9" w:rsidRDefault="003531A9" w:rsidP="003531A9">
      <w:pPr>
        <w:spacing w:line="240" w:lineRule="auto"/>
        <w:ind w:left="1260"/>
        <w:rPr>
          <w:sz w:val="12"/>
        </w:rPr>
      </w:pPr>
    </w:p>
    <w:p w:rsidR="00B07B56" w:rsidRDefault="00B07B56" w:rsidP="00B07B56">
      <w:pPr>
        <w:pStyle w:val="SMGC"/>
        <w:spacing w:after="0"/>
      </w:pPr>
      <w:r>
        <w:rPr>
          <w:rFonts w:hint="eastAsia"/>
        </w:rPr>
        <w:t>第六十七</w:t>
      </w:r>
      <w:r w:rsidRPr="00565FA2">
        <w:rPr>
          <w:rFonts w:hint="eastAsia"/>
        </w:rPr>
        <w:t>届会议</w:t>
      </w:r>
    </w:p>
    <w:p w:rsidR="00B07B56" w:rsidRDefault="00B07B56" w:rsidP="00B07B56">
      <w:pPr>
        <w:spacing w:line="240" w:lineRule="auto"/>
        <w:ind w:left="1260"/>
        <w:rPr>
          <w:sz w:val="28"/>
          <w:szCs w:val="28"/>
        </w:rPr>
      </w:pPr>
      <w:r w:rsidRPr="00EC111A">
        <w:rPr>
          <w:rFonts w:hint="eastAsia"/>
          <w:sz w:val="28"/>
          <w:szCs w:val="28"/>
        </w:rPr>
        <w:t>(</w:t>
      </w:r>
      <w:r>
        <w:rPr>
          <w:rFonts w:hint="eastAsia"/>
          <w:sz w:val="28"/>
          <w:szCs w:val="28"/>
        </w:rPr>
        <w:t>2</w:t>
      </w:r>
      <w:r w:rsidRPr="008C5B4A">
        <w:rPr>
          <w:rFonts w:hint="eastAsia"/>
          <w:sz w:val="28"/>
          <w:szCs w:val="28"/>
        </w:rPr>
        <w:t>0</w:t>
      </w:r>
      <w:r>
        <w:rPr>
          <w:rFonts w:hint="eastAsia"/>
          <w:sz w:val="28"/>
          <w:szCs w:val="28"/>
        </w:rPr>
        <w:t>15</w:t>
      </w:r>
      <w:r w:rsidRPr="008C5B4A">
        <w:rPr>
          <w:rFonts w:hint="eastAsia"/>
          <w:sz w:val="28"/>
          <w:szCs w:val="28"/>
        </w:rPr>
        <w:t>年</w:t>
      </w:r>
      <w:r>
        <w:rPr>
          <w:rFonts w:hint="eastAsia"/>
          <w:sz w:val="28"/>
          <w:szCs w:val="28"/>
        </w:rPr>
        <w:t>5</w:t>
      </w:r>
      <w:r w:rsidRPr="008C5B4A">
        <w:rPr>
          <w:rFonts w:hint="eastAsia"/>
          <w:sz w:val="28"/>
          <w:szCs w:val="28"/>
        </w:rPr>
        <w:t>月</w:t>
      </w:r>
      <w:r>
        <w:rPr>
          <w:rFonts w:hint="eastAsia"/>
          <w:sz w:val="28"/>
          <w:szCs w:val="28"/>
        </w:rPr>
        <w:t>4</w:t>
      </w:r>
      <w:r w:rsidRPr="008C5B4A">
        <w:rPr>
          <w:rFonts w:hint="eastAsia"/>
          <w:sz w:val="28"/>
          <w:szCs w:val="28"/>
        </w:rPr>
        <w:t>日至</w:t>
      </w:r>
      <w:r>
        <w:rPr>
          <w:rFonts w:hint="eastAsia"/>
          <w:sz w:val="28"/>
          <w:szCs w:val="28"/>
        </w:rPr>
        <w:t>6</w:t>
      </w:r>
      <w:r w:rsidRPr="008C5B4A">
        <w:rPr>
          <w:rFonts w:hint="eastAsia"/>
          <w:sz w:val="28"/>
          <w:szCs w:val="28"/>
        </w:rPr>
        <w:t>月</w:t>
      </w:r>
      <w:r>
        <w:rPr>
          <w:rFonts w:hint="eastAsia"/>
          <w:sz w:val="28"/>
          <w:szCs w:val="28"/>
        </w:rPr>
        <w:t>5</w:t>
      </w:r>
      <w:r w:rsidRPr="008C5B4A">
        <w:rPr>
          <w:rFonts w:hint="eastAsia"/>
          <w:sz w:val="28"/>
          <w:szCs w:val="28"/>
        </w:rPr>
        <w:t>日和</w:t>
      </w:r>
      <w:r>
        <w:rPr>
          <w:rFonts w:hint="eastAsia"/>
          <w:sz w:val="28"/>
          <w:szCs w:val="28"/>
        </w:rPr>
        <w:t>7</w:t>
      </w:r>
      <w:r w:rsidRPr="008C5B4A">
        <w:rPr>
          <w:rFonts w:hint="eastAsia"/>
          <w:sz w:val="28"/>
          <w:szCs w:val="28"/>
        </w:rPr>
        <w:t>月</w:t>
      </w:r>
      <w:r>
        <w:rPr>
          <w:rFonts w:hint="eastAsia"/>
          <w:sz w:val="28"/>
          <w:szCs w:val="28"/>
        </w:rPr>
        <w:t>6</w:t>
      </w:r>
      <w:r w:rsidRPr="008C5B4A">
        <w:rPr>
          <w:rFonts w:hint="eastAsia"/>
          <w:sz w:val="28"/>
          <w:szCs w:val="28"/>
        </w:rPr>
        <w:t>日至</w:t>
      </w:r>
      <w:r>
        <w:rPr>
          <w:rFonts w:hint="eastAsia"/>
          <w:sz w:val="28"/>
          <w:szCs w:val="28"/>
        </w:rPr>
        <w:t>8</w:t>
      </w:r>
      <w:r w:rsidRPr="008C5B4A">
        <w:rPr>
          <w:rFonts w:hint="eastAsia"/>
          <w:sz w:val="28"/>
          <w:szCs w:val="28"/>
        </w:rPr>
        <w:t>月</w:t>
      </w:r>
      <w:r>
        <w:rPr>
          <w:rFonts w:hint="eastAsia"/>
          <w:sz w:val="28"/>
          <w:szCs w:val="28"/>
        </w:rPr>
        <w:t>7</w:t>
      </w:r>
      <w:r w:rsidRPr="008C5B4A">
        <w:rPr>
          <w:rFonts w:hint="eastAsia"/>
          <w:sz w:val="28"/>
          <w:szCs w:val="28"/>
        </w:rPr>
        <w:t>日</w:t>
      </w:r>
      <w:r w:rsidRPr="00EC111A">
        <w:rPr>
          <w:rFonts w:hint="eastAsia"/>
          <w:sz w:val="28"/>
          <w:szCs w:val="28"/>
        </w:rPr>
        <w:t>)</w:t>
      </w:r>
    </w:p>
    <w:p w:rsidR="003531A9" w:rsidRDefault="003531A9" w:rsidP="00B07B56">
      <w:pPr>
        <w:spacing w:line="240" w:lineRule="auto"/>
        <w:ind w:left="1260"/>
      </w:pPr>
    </w:p>
    <w:p w:rsidR="0044421A" w:rsidRDefault="0044421A" w:rsidP="00B07B56">
      <w:pPr>
        <w:spacing w:line="240" w:lineRule="auto"/>
        <w:ind w:left="1260"/>
      </w:pPr>
    </w:p>
    <w:p w:rsidR="003531A9" w:rsidRDefault="00DC4E4F">
      <w:pPr>
        <w:spacing w:line="240" w:lineRule="auto"/>
        <w:jc w:val="left"/>
      </w:pPr>
      <w:r>
        <w:rPr>
          <w:noProof/>
          <w:szCs w:val="21"/>
        </w:rPr>
        <w:drawing>
          <wp:anchor distT="0" distB="0" distL="114300" distR="114300" simplePos="0" relativeHeight="251663360" behindDoc="0" locked="0" layoutInCell="1" allowOverlap="1" wp14:anchorId="34EC0FAC" wp14:editId="5F2200BD">
            <wp:simplePos x="0" y="0"/>
            <wp:positionH relativeFrom="column">
              <wp:posOffset>4987290</wp:posOffset>
            </wp:positionH>
            <wp:positionV relativeFrom="paragraph">
              <wp:posOffset>5304155</wp:posOffset>
            </wp:positionV>
            <wp:extent cx="762000" cy="25400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254000"/>
                    </a:xfrm>
                    <a:prstGeom prst="rect">
                      <a:avLst/>
                    </a:prstGeom>
                  </pic:spPr>
                </pic:pic>
              </a:graphicData>
            </a:graphic>
            <wp14:sizeRelH relativeFrom="margin">
              <wp14:pctWidth>0</wp14:pctWidth>
            </wp14:sizeRelH>
            <wp14:sizeRelV relativeFrom="margin">
              <wp14:pctHeight>0</wp14:pctHeight>
            </wp14:sizeRelV>
          </wp:anchor>
        </w:drawing>
      </w:r>
      <w:r w:rsidR="003531A9">
        <w:br w:type="page"/>
      </w:r>
    </w:p>
    <w:p w:rsidR="00412BAA" w:rsidRDefault="00412BAA" w:rsidP="00412BAA">
      <w:pPr>
        <w:pStyle w:val="SingleTxtGC"/>
        <w:rPr>
          <w:snapToGrid/>
          <w:kern w:val="14"/>
        </w:rPr>
      </w:pPr>
      <w:bookmarkStart w:id="1" w:name="_Toc241458860"/>
      <w:bookmarkStart w:id="2" w:name="_Toc241485864"/>
    </w:p>
    <w:p w:rsidR="00412BAA" w:rsidRDefault="00412BAA" w:rsidP="00412BAA">
      <w:pPr>
        <w:pStyle w:val="SingleTxtGC"/>
        <w:rPr>
          <w:snapToGrid/>
          <w:kern w:val="14"/>
        </w:rPr>
      </w:pPr>
    </w:p>
    <w:p w:rsidR="00412BAA" w:rsidRPr="003F1277" w:rsidRDefault="00412BAA" w:rsidP="00412BAA">
      <w:pPr>
        <w:pStyle w:val="SingleTxtGC"/>
        <w:rPr>
          <w:snapToGrid/>
          <w:kern w:val="14"/>
        </w:rPr>
      </w:pPr>
    </w:p>
    <w:p w:rsidR="00412BAA" w:rsidRDefault="00412BAA" w:rsidP="00412BAA">
      <w:pPr>
        <w:pStyle w:val="SingleTxtGC"/>
        <w:rPr>
          <w:snapToGrid/>
          <w:kern w:val="14"/>
        </w:rPr>
      </w:pPr>
    </w:p>
    <w:p w:rsidR="00412BAA" w:rsidRPr="00FA073B" w:rsidRDefault="00412BAA" w:rsidP="00412BAA">
      <w:pPr>
        <w:pStyle w:val="SingleTxtGC"/>
        <w:rPr>
          <w:rFonts w:eastAsia="楷体_GB2312"/>
        </w:rPr>
      </w:pPr>
      <w:r w:rsidRPr="00FA073B">
        <w:rPr>
          <w:rFonts w:eastAsia="楷体_GB2312" w:hint="eastAsia"/>
        </w:rPr>
        <w:t>说明</w:t>
      </w:r>
      <w:bookmarkEnd w:id="1"/>
      <w:bookmarkEnd w:id="2"/>
    </w:p>
    <w:p w:rsidR="00412BAA" w:rsidRPr="00FA073B" w:rsidRDefault="00412BAA" w:rsidP="00412BAA">
      <w:pPr>
        <w:pStyle w:val="SingleTxtGC"/>
        <w:rPr>
          <w:rFonts w:ascii="楷体_GB2312" w:eastAsia="楷体_GB2312"/>
          <w:snapToGrid/>
        </w:rPr>
      </w:pPr>
      <w:r>
        <w:rPr>
          <w:rFonts w:ascii="楷体_GB2312" w:eastAsia="楷体_GB2312" w:hint="eastAsia"/>
          <w:snapToGrid/>
        </w:rPr>
        <w:tab/>
      </w:r>
      <w:r w:rsidRPr="008C5B4A">
        <w:rPr>
          <w:rFonts w:ascii="楷体_GB2312" w:eastAsia="楷体_GB2312" w:hint="eastAsia"/>
          <w:snapToGrid/>
        </w:rPr>
        <w:t>联合国文件都用大写英文字母附加数字编号。凡是提到这种编号，就是指联合国的某一个文件。</w:t>
      </w:r>
    </w:p>
    <w:p w:rsidR="00412BAA" w:rsidRPr="00FA073B" w:rsidRDefault="00412BAA" w:rsidP="00412BAA">
      <w:pPr>
        <w:pStyle w:val="SingleTxtGC"/>
        <w:rPr>
          <w:rFonts w:ascii="楷体_GB2312" w:eastAsia="楷体_GB2312"/>
          <w:snapToGrid/>
        </w:rPr>
      </w:pPr>
      <w:r>
        <w:rPr>
          <w:rFonts w:ascii="楷体_GB2312" w:eastAsia="楷体_GB2312" w:hint="eastAsia"/>
          <w:snapToGrid/>
        </w:rPr>
        <w:tab/>
      </w:r>
      <w:r w:rsidRPr="008C5B4A">
        <w:rPr>
          <w:rFonts w:ascii="楷体_GB2312" w:eastAsia="楷体_GB2312" w:hint="eastAsia"/>
          <w:snapToGrid/>
        </w:rPr>
        <w:t>前有年份和省略号的</w:t>
      </w:r>
      <w:r>
        <w:rPr>
          <w:rFonts w:ascii="楷体_GB2312" w:eastAsia="楷体_GB2312" w:hint="eastAsia"/>
          <w:snapToGrid/>
        </w:rPr>
        <w:t>“</w:t>
      </w:r>
      <w:r w:rsidRPr="008C5B4A">
        <w:rPr>
          <w:rFonts w:ascii="楷体_GB2312" w:eastAsia="楷体_GB2312" w:hint="eastAsia"/>
          <w:snapToGrid/>
        </w:rPr>
        <w:t>年鉴</w:t>
      </w:r>
      <w:r>
        <w:rPr>
          <w:rFonts w:ascii="楷体_GB2312" w:eastAsia="楷体_GB2312" w:hint="eastAsia"/>
          <w:snapToGrid/>
        </w:rPr>
        <w:t>”</w:t>
      </w:r>
      <w:r w:rsidRPr="008C5B4A">
        <w:rPr>
          <w:rFonts w:ascii="楷体_GB2312" w:eastAsia="楷体_GB2312" w:hint="eastAsia"/>
          <w:snapToGrid/>
        </w:rPr>
        <w:t>(如《</w:t>
      </w:r>
      <w:r>
        <w:rPr>
          <w:rFonts w:ascii="楷体_GB2312" w:eastAsia="楷体_GB2312" w:hint="eastAsia"/>
          <w:snapToGrid/>
        </w:rPr>
        <w:t>1971</w:t>
      </w:r>
      <w:r w:rsidRPr="008C5B4A">
        <w:rPr>
          <w:rFonts w:ascii="楷体_GB2312" w:eastAsia="楷体_GB2312" w:hint="eastAsia"/>
          <w:snapToGrid/>
        </w:rPr>
        <w:t>年</w:t>
      </w:r>
      <w:r>
        <w:rPr>
          <w:rFonts w:hint="eastAsia"/>
        </w:rPr>
        <w:t>……</w:t>
      </w:r>
      <w:r w:rsidRPr="008C5B4A">
        <w:rPr>
          <w:rFonts w:ascii="楷体_GB2312" w:eastAsia="楷体_GB2312" w:hint="eastAsia"/>
          <w:snapToGrid/>
        </w:rPr>
        <w:t>年鉴》)是指《国际法委员会年鉴》。</w:t>
      </w:r>
    </w:p>
    <w:p w:rsidR="003531A9" w:rsidRPr="00412BAA" w:rsidRDefault="00412BAA" w:rsidP="00412BAA">
      <w:pPr>
        <w:pStyle w:val="SingleTxtGC"/>
        <w:rPr>
          <w:rFonts w:ascii="楷体_GB2312" w:eastAsia="楷体_GB2312"/>
          <w:snapToGrid/>
        </w:rPr>
      </w:pPr>
      <w:r w:rsidRPr="00412BAA">
        <w:rPr>
          <w:rFonts w:ascii="楷体_GB2312" w:eastAsia="楷体_GB2312" w:hint="eastAsia"/>
          <w:snapToGrid/>
        </w:rPr>
        <w:tab/>
      </w:r>
      <w:r w:rsidRPr="008C5B4A">
        <w:rPr>
          <w:rFonts w:ascii="楷体_GB2312" w:eastAsia="楷体_GB2312" w:hint="eastAsia"/>
          <w:snapToGrid/>
        </w:rPr>
        <w:t>委员会报告的排版本将载入《</w:t>
      </w:r>
      <w:r>
        <w:rPr>
          <w:rFonts w:ascii="楷体_GB2312" w:eastAsia="楷体_GB2312" w:hint="eastAsia"/>
          <w:snapToGrid/>
        </w:rPr>
        <w:t>2</w:t>
      </w:r>
      <w:r w:rsidRPr="008C5B4A">
        <w:rPr>
          <w:rFonts w:ascii="楷体_GB2312" w:eastAsia="楷体_GB2312" w:hint="eastAsia"/>
          <w:snapToGrid/>
        </w:rPr>
        <w:t>0</w:t>
      </w:r>
      <w:r>
        <w:rPr>
          <w:rFonts w:ascii="楷体_GB2312" w:eastAsia="楷体_GB2312" w:hint="eastAsia"/>
          <w:snapToGrid/>
        </w:rPr>
        <w:t>15</w:t>
      </w:r>
      <w:r w:rsidRPr="008C5B4A">
        <w:rPr>
          <w:rFonts w:ascii="楷体_GB2312" w:eastAsia="楷体_GB2312" w:hint="eastAsia"/>
          <w:snapToGrid/>
        </w:rPr>
        <w:t>年国际法委员会年鉴》第二卷第二部分。</w:t>
      </w:r>
    </w:p>
    <w:p w:rsidR="003531A9" w:rsidRPr="003531A9" w:rsidRDefault="003531A9" w:rsidP="003531A9">
      <w:pPr>
        <w:spacing w:line="120" w:lineRule="exact"/>
        <w:ind w:left="1264" w:right="1264"/>
        <w:rPr>
          <w:rFonts w:eastAsia="楷体_GB2312"/>
          <w:sz w:val="10"/>
        </w:rPr>
      </w:pPr>
    </w:p>
    <w:p w:rsidR="003531A9" w:rsidRPr="003531A9" w:rsidRDefault="003531A9" w:rsidP="003531A9">
      <w:pPr>
        <w:framePr w:w="2880" w:h="288" w:hSpace="180" w:wrap="notBeside" w:vAnchor="page" w:hAnchor="margin" w:x="1268" w:y="14199" w:anchorLock="1"/>
      </w:pPr>
      <w:r>
        <w:t xml:space="preserve">ISSN </w:t>
      </w:r>
    </w:p>
    <w:p w:rsidR="003531A9" w:rsidRPr="003531A9" w:rsidRDefault="003531A9" w:rsidP="003531A9">
      <w:pPr>
        <w:spacing w:line="120" w:lineRule="exact"/>
        <w:ind w:left="1264" w:right="1264"/>
        <w:rPr>
          <w:rFonts w:eastAsia="楷体_GB2312"/>
          <w:sz w:val="10"/>
        </w:rPr>
      </w:pPr>
    </w:p>
    <w:p w:rsidR="003531A9" w:rsidRDefault="003531A9" w:rsidP="003531A9"/>
    <w:p w:rsidR="00412BAA" w:rsidRDefault="00412BAA" w:rsidP="003531A9">
      <w:pPr>
        <w:sectPr w:rsidR="00412BAA" w:rsidSect="00FE3170">
          <w:footerReference w:type="default" r:id="rId12"/>
          <w:footnotePr>
            <w:numRestart w:val="eachSect"/>
          </w:footnotePr>
          <w:type w:val="continuous"/>
          <w:pgSz w:w="11909" w:h="16834" w:code="1"/>
          <w:pgMar w:top="1742" w:right="936" w:bottom="1898" w:left="936" w:header="576" w:footer="1030" w:gutter="0"/>
          <w:cols w:space="425"/>
          <w:docGrid w:linePitch="312"/>
        </w:sectPr>
      </w:pPr>
    </w:p>
    <w:p w:rsidR="003531A9" w:rsidRDefault="003531A9" w:rsidP="003531A9"/>
    <w:p w:rsidR="003531A9" w:rsidRDefault="003531A9" w:rsidP="003531A9"/>
    <w:p w:rsidR="003531A9" w:rsidRDefault="003531A9" w:rsidP="00DE61DE">
      <w:pPr>
        <w:spacing w:line="240" w:lineRule="auto"/>
        <w:jc w:val="right"/>
      </w:pPr>
      <w:r>
        <w:t>[</w:t>
      </w:r>
      <w:r w:rsidR="00DE61DE">
        <w:rPr>
          <w:rFonts w:hint="eastAsia"/>
        </w:rPr>
        <w:t xml:space="preserve">14 </w:t>
      </w:r>
      <w:r w:rsidR="00DE61DE">
        <w:t>August</w:t>
      </w:r>
      <w:r w:rsidR="00DE61DE">
        <w:rPr>
          <w:rFonts w:hint="eastAsia"/>
        </w:rPr>
        <w:t xml:space="preserve"> 2015</w:t>
      </w:r>
      <w:r>
        <w:t>]</w:t>
      </w:r>
    </w:p>
    <w:p w:rsidR="00DE61DE" w:rsidRPr="00DE61DE" w:rsidRDefault="00DE61DE" w:rsidP="00DE61DE">
      <w:pPr>
        <w:pStyle w:val="HCh6"/>
        <w:spacing w:after="0" w:line="120" w:lineRule="exact"/>
        <w:rPr>
          <w:sz w:val="10"/>
          <w:szCs w:val="28"/>
        </w:rPr>
      </w:pPr>
    </w:p>
    <w:p w:rsidR="00DE61DE" w:rsidRPr="00DE61DE" w:rsidRDefault="00DE61DE" w:rsidP="00DE61DE">
      <w:pPr>
        <w:pStyle w:val="HCh6"/>
        <w:spacing w:after="0" w:line="120" w:lineRule="exact"/>
        <w:rPr>
          <w:sz w:val="10"/>
          <w:szCs w:val="28"/>
        </w:rPr>
      </w:pPr>
    </w:p>
    <w:p w:rsidR="00DE61DE" w:rsidRPr="00DE61DE" w:rsidRDefault="00DE61DE" w:rsidP="00DE61DE">
      <w:pPr>
        <w:pStyle w:val="HCh6"/>
        <w:spacing w:after="0" w:line="120" w:lineRule="exact"/>
        <w:rPr>
          <w:sz w:val="10"/>
          <w:szCs w:val="28"/>
        </w:rPr>
      </w:pPr>
    </w:p>
    <w:p w:rsidR="00DE61DE" w:rsidRPr="00DE61DE" w:rsidRDefault="00DE61DE" w:rsidP="00DE61DE">
      <w:pPr>
        <w:pStyle w:val="HCh6"/>
        <w:spacing w:after="0" w:line="120" w:lineRule="exact"/>
        <w:rPr>
          <w:sz w:val="10"/>
          <w:szCs w:val="28"/>
        </w:rPr>
      </w:pPr>
    </w:p>
    <w:p w:rsidR="00DE61DE" w:rsidRPr="00DE61DE" w:rsidRDefault="00DE61DE" w:rsidP="00DE61DE">
      <w:pPr>
        <w:pStyle w:val="HCh6"/>
        <w:spacing w:after="0" w:line="120" w:lineRule="exact"/>
        <w:rPr>
          <w:sz w:val="10"/>
          <w:szCs w:val="28"/>
        </w:rPr>
      </w:pPr>
    </w:p>
    <w:p w:rsidR="00DE61DE" w:rsidRPr="00DE61DE" w:rsidRDefault="00DE61DE" w:rsidP="00DE61DE">
      <w:pPr>
        <w:pStyle w:val="HCh6"/>
        <w:rPr>
          <w:sz w:val="10"/>
        </w:rPr>
      </w:pPr>
      <w:r>
        <w:rPr>
          <w:rFonts w:hint="eastAsia"/>
          <w:szCs w:val="28"/>
        </w:rPr>
        <w:t>简要</w:t>
      </w:r>
      <w:r w:rsidR="000E7875">
        <w:rPr>
          <w:rFonts w:hint="eastAsia"/>
        </w:rPr>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E7875" w:rsidRPr="00E53517">
        <w:tc>
          <w:tcPr>
            <w:tcW w:w="1060" w:type="dxa"/>
          </w:tcPr>
          <w:p w:rsidR="000E7875" w:rsidRPr="00E53517" w:rsidRDefault="000E7875" w:rsidP="00580721">
            <w:pPr>
              <w:pStyle w:val="GB23126"/>
            </w:pPr>
            <w:r w:rsidRPr="00E53517">
              <w:rPr>
                <w:rFonts w:hint="eastAsia"/>
              </w:rPr>
              <w:t>章次</w:t>
            </w:r>
          </w:p>
        </w:tc>
        <w:tc>
          <w:tcPr>
            <w:tcW w:w="7315" w:type="dxa"/>
          </w:tcPr>
          <w:p w:rsidR="000E7875" w:rsidRPr="00E53517" w:rsidRDefault="000E7875">
            <w:pPr>
              <w:spacing w:after="120" w:line="240" w:lineRule="auto"/>
              <w:rPr>
                <w:rFonts w:eastAsia="楷体_GB2312"/>
                <w:color w:val="0000FF"/>
                <w:sz w:val="15"/>
                <w:szCs w:val="15"/>
              </w:rPr>
            </w:pPr>
          </w:p>
        </w:tc>
        <w:tc>
          <w:tcPr>
            <w:tcW w:w="994" w:type="dxa"/>
          </w:tcPr>
          <w:p w:rsidR="000E7875" w:rsidRPr="00E53517" w:rsidRDefault="000E7875" w:rsidP="00580721">
            <w:pPr>
              <w:pStyle w:val="GB23126"/>
            </w:pPr>
          </w:p>
        </w:tc>
        <w:tc>
          <w:tcPr>
            <w:tcW w:w="533" w:type="dxa"/>
          </w:tcPr>
          <w:p w:rsidR="000E7875" w:rsidRPr="00E53517" w:rsidRDefault="000E7875" w:rsidP="00580721">
            <w:pPr>
              <w:pStyle w:val="GB23126"/>
            </w:pPr>
            <w:r w:rsidRPr="00E53517">
              <w:rPr>
                <w:rFonts w:hint="eastAsia"/>
              </w:rPr>
              <w:t>页次</w:t>
            </w:r>
          </w:p>
        </w:tc>
      </w:tr>
      <w:tr w:rsidR="000E7875">
        <w:trPr>
          <w:cantSplit/>
        </w:trPr>
        <w:tc>
          <w:tcPr>
            <w:tcW w:w="9369" w:type="dxa"/>
            <w:gridSpan w:val="3"/>
          </w:tcPr>
          <w:p w:rsidR="000E7875" w:rsidRDefault="000E7875" w:rsidP="00F91618">
            <w:pPr>
              <w:numPr>
                <w:ilvl w:val="0"/>
                <w:numId w:val="3"/>
              </w:numPr>
              <w:tabs>
                <w:tab w:val="right" w:pos="1080"/>
                <w:tab w:val="right" w:leader="dot" w:pos="9371"/>
              </w:tabs>
              <w:spacing w:after="120"/>
            </w:pPr>
            <w:r>
              <w:tab/>
            </w:r>
            <w:r w:rsidR="00DE61DE" w:rsidRPr="00035C1D">
              <w:rPr>
                <w:rFonts w:hint="eastAsia"/>
              </w:rPr>
              <w:t>导言</w:t>
            </w:r>
            <w:r>
              <w:tab/>
            </w:r>
          </w:p>
        </w:tc>
        <w:tc>
          <w:tcPr>
            <w:tcW w:w="533" w:type="dxa"/>
            <w:vAlign w:val="bottom"/>
          </w:tcPr>
          <w:p w:rsidR="000E7875" w:rsidRDefault="00EA73D1">
            <w:pPr>
              <w:spacing w:after="120"/>
              <w:ind w:right="28"/>
              <w:jc w:val="right"/>
            </w:pPr>
            <w:r>
              <w:rPr>
                <w:rFonts w:hint="eastAsia"/>
              </w:rPr>
              <w:t>9</w:t>
            </w:r>
          </w:p>
        </w:tc>
      </w:tr>
      <w:tr w:rsidR="000E7875">
        <w:trPr>
          <w:cantSplit/>
        </w:trPr>
        <w:tc>
          <w:tcPr>
            <w:tcW w:w="9369" w:type="dxa"/>
            <w:gridSpan w:val="3"/>
          </w:tcPr>
          <w:p w:rsidR="000E7875" w:rsidRDefault="000E7875" w:rsidP="00F91618">
            <w:pPr>
              <w:numPr>
                <w:ilvl w:val="0"/>
                <w:numId w:val="3"/>
              </w:numPr>
              <w:tabs>
                <w:tab w:val="right" w:pos="1080"/>
                <w:tab w:val="right" w:leader="dot" w:pos="9371"/>
              </w:tabs>
              <w:spacing w:after="120"/>
            </w:pPr>
            <w:r>
              <w:rPr>
                <w:rFonts w:hint="eastAsia"/>
              </w:rPr>
              <w:tab/>
            </w:r>
            <w:r w:rsidR="00DE61DE" w:rsidRPr="00035C1D">
              <w:rPr>
                <w:rFonts w:hint="eastAsia"/>
              </w:rPr>
              <w:t>委员会第六十七届会议工作概况</w:t>
            </w:r>
            <w:r>
              <w:tab/>
            </w:r>
          </w:p>
        </w:tc>
        <w:tc>
          <w:tcPr>
            <w:tcW w:w="533" w:type="dxa"/>
            <w:vAlign w:val="bottom"/>
          </w:tcPr>
          <w:p w:rsidR="000E7875" w:rsidRDefault="00EA73D1">
            <w:pPr>
              <w:spacing w:after="120"/>
              <w:ind w:right="28"/>
              <w:jc w:val="right"/>
            </w:pPr>
            <w:r>
              <w:rPr>
                <w:rFonts w:hint="eastAsia"/>
              </w:rPr>
              <w:t>14</w:t>
            </w:r>
          </w:p>
        </w:tc>
      </w:tr>
      <w:tr w:rsidR="00DE61DE">
        <w:trPr>
          <w:cantSplit/>
        </w:trPr>
        <w:tc>
          <w:tcPr>
            <w:tcW w:w="9369" w:type="dxa"/>
            <w:gridSpan w:val="3"/>
          </w:tcPr>
          <w:p w:rsidR="00DE61DE" w:rsidRDefault="00DE61DE" w:rsidP="00F91618">
            <w:pPr>
              <w:numPr>
                <w:ilvl w:val="0"/>
                <w:numId w:val="3"/>
              </w:numPr>
              <w:tabs>
                <w:tab w:val="clear" w:pos="1296"/>
                <w:tab w:val="left" w:pos="1418"/>
                <w:tab w:val="left" w:pos="1728"/>
                <w:tab w:val="left" w:pos="2160"/>
                <w:tab w:val="left" w:pos="2592"/>
                <w:tab w:val="left" w:pos="3024"/>
                <w:tab w:val="left" w:pos="3456"/>
                <w:tab w:val="left" w:pos="3888"/>
                <w:tab w:val="left" w:pos="4320"/>
                <w:tab w:val="right" w:leader="dot" w:pos="9371"/>
              </w:tabs>
              <w:spacing w:after="120"/>
            </w:pPr>
            <w:r w:rsidRPr="00035C1D">
              <w:rPr>
                <w:rFonts w:hint="eastAsia"/>
              </w:rPr>
              <w:t>委员会特别想听取意见的具体问题</w:t>
            </w:r>
            <w:r>
              <w:tab/>
            </w:r>
          </w:p>
        </w:tc>
        <w:tc>
          <w:tcPr>
            <w:tcW w:w="533" w:type="dxa"/>
            <w:vAlign w:val="bottom"/>
          </w:tcPr>
          <w:p w:rsidR="00DE61DE" w:rsidRPr="00DE61DE" w:rsidRDefault="00EA73D1" w:rsidP="00DE61DE">
            <w:pPr>
              <w:tabs>
                <w:tab w:val="right" w:pos="1080"/>
                <w:tab w:val="right" w:leader="dot" w:pos="9371"/>
              </w:tabs>
              <w:spacing w:after="120"/>
              <w:ind w:right="28"/>
              <w:jc w:val="right"/>
            </w:pPr>
            <w:r>
              <w:rPr>
                <w:rFonts w:hint="eastAsia"/>
              </w:rPr>
              <w:t>16</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right" w:leader="dot" w:pos="9371"/>
              </w:tabs>
              <w:spacing w:after="120"/>
            </w:pPr>
            <w:r>
              <w:rPr>
                <w:rFonts w:hint="eastAsia"/>
              </w:rPr>
              <w:t>最惠国条款</w:t>
            </w:r>
            <w:r>
              <w:tab/>
            </w:r>
          </w:p>
        </w:tc>
        <w:tc>
          <w:tcPr>
            <w:tcW w:w="533" w:type="dxa"/>
            <w:vAlign w:val="bottom"/>
          </w:tcPr>
          <w:p w:rsidR="00DE61DE" w:rsidRDefault="00EA73D1">
            <w:pPr>
              <w:spacing w:after="120"/>
              <w:ind w:right="28"/>
              <w:jc w:val="right"/>
            </w:pPr>
            <w:r>
              <w:rPr>
                <w:rFonts w:hint="eastAsia"/>
              </w:rPr>
              <w:t>18</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right" w:leader="dot" w:pos="9371"/>
              </w:tabs>
              <w:spacing w:after="120"/>
            </w:pPr>
            <w:r w:rsidRPr="00035C1D">
              <w:rPr>
                <w:rFonts w:hint="eastAsia"/>
              </w:rPr>
              <w:t>保护大气层</w:t>
            </w:r>
            <w:r>
              <w:tab/>
            </w:r>
          </w:p>
        </w:tc>
        <w:tc>
          <w:tcPr>
            <w:tcW w:w="533" w:type="dxa"/>
            <w:vAlign w:val="bottom"/>
          </w:tcPr>
          <w:p w:rsidR="00DE61DE" w:rsidRDefault="00EA73D1">
            <w:pPr>
              <w:spacing w:after="120"/>
              <w:ind w:right="28"/>
              <w:jc w:val="right"/>
            </w:pPr>
            <w:r>
              <w:rPr>
                <w:rFonts w:hint="eastAsia"/>
              </w:rPr>
              <w:t>21</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right" w:leader="dot" w:pos="9371"/>
              </w:tabs>
              <w:spacing w:after="120"/>
            </w:pPr>
            <w:r w:rsidRPr="00035C1D">
              <w:rPr>
                <w:rFonts w:hint="eastAsia"/>
              </w:rPr>
              <w:t>习惯国际法的识别</w:t>
            </w:r>
            <w:r>
              <w:tab/>
            </w:r>
          </w:p>
        </w:tc>
        <w:tc>
          <w:tcPr>
            <w:tcW w:w="533" w:type="dxa"/>
            <w:vAlign w:val="bottom"/>
          </w:tcPr>
          <w:p w:rsidR="00DE61DE" w:rsidRDefault="00EA73D1">
            <w:pPr>
              <w:spacing w:after="120"/>
              <w:ind w:right="28"/>
              <w:jc w:val="right"/>
            </w:pPr>
            <w:r>
              <w:rPr>
                <w:rFonts w:hint="eastAsia"/>
              </w:rPr>
              <w:t>38</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right" w:leader="dot" w:pos="9371"/>
              </w:tabs>
              <w:spacing w:after="120"/>
            </w:pPr>
            <w:r>
              <w:rPr>
                <w:rFonts w:hint="eastAsia"/>
              </w:rPr>
              <w:t>危害人类罪</w:t>
            </w:r>
            <w:r>
              <w:tab/>
            </w:r>
            <w:r>
              <w:tab/>
            </w:r>
          </w:p>
        </w:tc>
        <w:tc>
          <w:tcPr>
            <w:tcW w:w="533" w:type="dxa"/>
            <w:vAlign w:val="bottom"/>
          </w:tcPr>
          <w:p w:rsidR="00DE61DE" w:rsidRDefault="00EA73D1">
            <w:pPr>
              <w:spacing w:after="120"/>
              <w:ind w:right="28"/>
              <w:jc w:val="right"/>
            </w:pPr>
            <w:r>
              <w:rPr>
                <w:rFonts w:hint="eastAsia"/>
              </w:rPr>
              <w:t>47</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left" w:pos="3024"/>
                <w:tab w:val="left" w:pos="3456"/>
                <w:tab w:val="left" w:pos="3888"/>
                <w:tab w:val="left" w:pos="4320"/>
                <w:tab w:val="left" w:pos="4752"/>
                <w:tab w:val="right" w:leader="dot" w:pos="9371"/>
              </w:tabs>
              <w:spacing w:after="120"/>
            </w:pPr>
            <w:r w:rsidRPr="00035C1D">
              <w:rPr>
                <w:rFonts w:hint="eastAsia"/>
              </w:rPr>
              <w:t>与条约解释相关的嗣后协定和嗣后惯例</w:t>
            </w:r>
            <w:r>
              <w:tab/>
            </w:r>
            <w:r>
              <w:tab/>
            </w:r>
          </w:p>
        </w:tc>
        <w:tc>
          <w:tcPr>
            <w:tcW w:w="533" w:type="dxa"/>
            <w:vAlign w:val="bottom"/>
          </w:tcPr>
          <w:p w:rsidR="00DE61DE" w:rsidRDefault="00EA73D1">
            <w:pPr>
              <w:spacing w:after="120"/>
              <w:ind w:right="28"/>
              <w:jc w:val="right"/>
            </w:pPr>
            <w:r>
              <w:rPr>
                <w:rFonts w:hint="eastAsia"/>
              </w:rPr>
              <w:t>80</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left" w:pos="3024"/>
                <w:tab w:val="left" w:pos="3456"/>
                <w:tab w:val="right" w:leader="dot" w:pos="9371"/>
              </w:tabs>
              <w:spacing w:after="120"/>
            </w:pPr>
            <w:r w:rsidRPr="00035C1D">
              <w:rPr>
                <w:rFonts w:hint="eastAsia"/>
              </w:rPr>
              <w:t>与武装冲突有关的环境保护</w:t>
            </w:r>
            <w:r>
              <w:tab/>
            </w:r>
          </w:p>
        </w:tc>
        <w:tc>
          <w:tcPr>
            <w:tcW w:w="533" w:type="dxa"/>
            <w:vAlign w:val="bottom"/>
          </w:tcPr>
          <w:p w:rsidR="00DE61DE" w:rsidRDefault="00EA73D1">
            <w:pPr>
              <w:spacing w:after="120"/>
              <w:ind w:right="28"/>
              <w:jc w:val="right"/>
            </w:pPr>
            <w:r>
              <w:rPr>
                <w:rFonts w:hint="eastAsia"/>
              </w:rPr>
              <w:t>99</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left" w:pos="3024"/>
                <w:tab w:val="left" w:pos="3456"/>
                <w:tab w:val="left" w:pos="3888"/>
                <w:tab w:val="right" w:leader="dot" w:pos="9371"/>
              </w:tabs>
              <w:spacing w:after="120"/>
            </w:pPr>
            <w:r w:rsidRPr="00035C1D">
              <w:rPr>
                <w:rFonts w:hint="eastAsia"/>
              </w:rPr>
              <w:t>国家官员的外国刑事管辖豁免</w:t>
            </w:r>
            <w:r>
              <w:tab/>
            </w:r>
          </w:p>
        </w:tc>
        <w:tc>
          <w:tcPr>
            <w:tcW w:w="533" w:type="dxa"/>
            <w:vAlign w:val="bottom"/>
          </w:tcPr>
          <w:p w:rsidR="00DE61DE" w:rsidRPr="00DE61DE" w:rsidRDefault="00EA73D1" w:rsidP="00850C48">
            <w:pPr>
              <w:spacing w:after="120"/>
              <w:ind w:right="28"/>
              <w:jc w:val="right"/>
            </w:pPr>
            <w:r>
              <w:rPr>
                <w:rFonts w:hint="eastAsia"/>
              </w:rPr>
              <w:t>10</w:t>
            </w:r>
            <w:r w:rsidR="00850C48">
              <w:rPr>
                <w:rFonts w:hint="eastAsia"/>
              </w:rPr>
              <w:t>9</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right" w:leader="dot" w:pos="9371"/>
              </w:tabs>
              <w:spacing w:after="120"/>
            </w:pPr>
            <w:r w:rsidRPr="00035C1D">
              <w:rPr>
                <w:rFonts w:hint="eastAsia"/>
              </w:rPr>
              <w:t>条约的暂时适用</w:t>
            </w:r>
            <w:r>
              <w:tab/>
            </w:r>
          </w:p>
        </w:tc>
        <w:tc>
          <w:tcPr>
            <w:tcW w:w="533" w:type="dxa"/>
            <w:vAlign w:val="bottom"/>
          </w:tcPr>
          <w:p w:rsidR="00DE61DE" w:rsidRDefault="00EA73D1">
            <w:pPr>
              <w:spacing w:after="120"/>
              <w:ind w:right="28"/>
              <w:jc w:val="right"/>
            </w:pPr>
            <w:r>
              <w:rPr>
                <w:rFonts w:hint="eastAsia"/>
              </w:rPr>
              <w:t>122</w:t>
            </w:r>
          </w:p>
        </w:tc>
      </w:tr>
      <w:tr w:rsidR="00DE61DE">
        <w:trPr>
          <w:cantSplit/>
        </w:trPr>
        <w:tc>
          <w:tcPr>
            <w:tcW w:w="9369" w:type="dxa"/>
            <w:gridSpan w:val="3"/>
          </w:tcPr>
          <w:p w:rsidR="00DE61DE" w:rsidRDefault="00DE61DE" w:rsidP="00F91618">
            <w:pPr>
              <w:numPr>
                <w:ilvl w:val="0"/>
                <w:numId w:val="3"/>
              </w:numPr>
              <w:tabs>
                <w:tab w:val="clear" w:pos="1296"/>
                <w:tab w:val="left" w:pos="1728"/>
                <w:tab w:val="left" w:pos="2160"/>
                <w:tab w:val="left" w:pos="2592"/>
                <w:tab w:val="left" w:pos="3024"/>
                <w:tab w:val="left" w:pos="3456"/>
                <w:tab w:val="right" w:leader="dot" w:pos="9371"/>
              </w:tabs>
              <w:spacing w:after="120"/>
            </w:pPr>
            <w:r w:rsidRPr="00035C1D">
              <w:rPr>
                <w:rFonts w:hint="eastAsia"/>
              </w:rPr>
              <w:t>委员会的其他决定和结论</w:t>
            </w:r>
            <w:r>
              <w:tab/>
            </w:r>
          </w:p>
        </w:tc>
        <w:tc>
          <w:tcPr>
            <w:tcW w:w="533" w:type="dxa"/>
            <w:vAlign w:val="bottom"/>
          </w:tcPr>
          <w:p w:rsidR="00DE61DE" w:rsidRDefault="00EA73D1">
            <w:pPr>
              <w:spacing w:after="120"/>
              <w:ind w:right="28"/>
              <w:jc w:val="right"/>
            </w:pPr>
            <w:r>
              <w:rPr>
                <w:rFonts w:hint="eastAsia"/>
              </w:rPr>
              <w:t>129</w:t>
            </w:r>
          </w:p>
        </w:tc>
      </w:tr>
      <w:tr w:rsidR="00DE61DE">
        <w:trPr>
          <w:cantSplit/>
        </w:trPr>
        <w:tc>
          <w:tcPr>
            <w:tcW w:w="9369" w:type="dxa"/>
            <w:gridSpan w:val="3"/>
          </w:tcPr>
          <w:p w:rsidR="00DE61DE" w:rsidRPr="00DE61DE" w:rsidRDefault="00DE61DE" w:rsidP="00DE61DE">
            <w:pPr>
              <w:tabs>
                <w:tab w:val="right" w:pos="1080"/>
                <w:tab w:val="left" w:pos="1296"/>
                <w:tab w:val="left" w:pos="1728"/>
                <w:tab w:val="left" w:pos="2160"/>
                <w:tab w:val="left" w:pos="2592"/>
                <w:tab w:val="left" w:pos="3024"/>
                <w:tab w:val="left" w:pos="3456"/>
                <w:tab w:val="right" w:leader="dot" w:pos="9371"/>
              </w:tabs>
              <w:spacing w:after="120"/>
              <w:ind w:left="1418" w:hanging="802"/>
            </w:pPr>
            <w:r w:rsidRPr="00035C1D">
              <w:rPr>
                <w:rFonts w:hint="eastAsia"/>
              </w:rPr>
              <w:t>附件</w:t>
            </w:r>
            <w:r>
              <w:rPr>
                <w:rFonts w:hint="eastAsia"/>
              </w:rPr>
              <w:t xml:space="preserve">  </w:t>
            </w:r>
            <w:r w:rsidRPr="0034676B">
              <w:rPr>
                <w:rFonts w:ascii="宋体" w:hAnsi="宋体" w:hint="eastAsia"/>
              </w:rPr>
              <w:t>最惠国条款研究组最后报告</w:t>
            </w:r>
            <w:r>
              <w:rPr>
                <w:rFonts w:eastAsia="楷体_GB2312"/>
              </w:rPr>
              <w:tab/>
            </w:r>
          </w:p>
        </w:tc>
        <w:tc>
          <w:tcPr>
            <w:tcW w:w="533" w:type="dxa"/>
            <w:vAlign w:val="bottom"/>
          </w:tcPr>
          <w:p w:rsidR="00DE61DE" w:rsidRDefault="00EA73D1">
            <w:pPr>
              <w:spacing w:after="120"/>
              <w:ind w:right="28"/>
              <w:jc w:val="right"/>
            </w:pPr>
            <w:r>
              <w:rPr>
                <w:rFonts w:hint="eastAsia"/>
              </w:rPr>
              <w:t>138</w:t>
            </w:r>
          </w:p>
        </w:tc>
      </w:tr>
    </w:tbl>
    <w:p w:rsidR="000E7875" w:rsidRDefault="000E7875" w:rsidP="003531A9"/>
    <w:p w:rsidR="000E7875" w:rsidRDefault="000E7875">
      <w:pPr>
        <w:spacing w:line="240" w:lineRule="auto"/>
        <w:jc w:val="left"/>
      </w:pPr>
      <w:r>
        <w:br w:type="page"/>
      </w:r>
      <w:bookmarkStart w:id="3" w:name="_GoBack"/>
      <w:bookmarkEnd w:id="3"/>
    </w:p>
    <w:p w:rsidR="00DE61DE" w:rsidRDefault="00DE61DE" w:rsidP="00580721">
      <w:pPr>
        <w:pStyle w:val="HCh6"/>
      </w:pPr>
      <w:r>
        <w:rPr>
          <w:rFonts w:hint="eastAsia"/>
        </w:rPr>
        <w:lastRenderedPageBreak/>
        <w:t>目录</w:t>
      </w:r>
    </w:p>
    <w:tbl>
      <w:tblPr>
        <w:tblW w:w="10065" w:type="dxa"/>
        <w:tblLayout w:type="fixed"/>
        <w:tblCellMar>
          <w:left w:w="0" w:type="dxa"/>
          <w:right w:w="0" w:type="dxa"/>
        </w:tblCellMar>
        <w:tblLook w:val="0000" w:firstRow="0" w:lastRow="0" w:firstColumn="0" w:lastColumn="0" w:noHBand="0" w:noVBand="0"/>
      </w:tblPr>
      <w:tblGrid>
        <w:gridCol w:w="1060"/>
        <w:gridCol w:w="7315"/>
        <w:gridCol w:w="994"/>
        <w:gridCol w:w="696"/>
      </w:tblGrid>
      <w:tr w:rsidR="00DE61DE" w:rsidRPr="00E53517" w:rsidTr="00AD704A">
        <w:tc>
          <w:tcPr>
            <w:tcW w:w="1060" w:type="dxa"/>
          </w:tcPr>
          <w:p w:rsidR="00DE61DE" w:rsidRPr="00E53517" w:rsidRDefault="00DE61DE" w:rsidP="00580721">
            <w:pPr>
              <w:pStyle w:val="GB23126"/>
            </w:pPr>
            <w:r w:rsidRPr="00E53517">
              <w:rPr>
                <w:rFonts w:hint="eastAsia"/>
              </w:rPr>
              <w:t>章次</w:t>
            </w:r>
          </w:p>
        </w:tc>
        <w:tc>
          <w:tcPr>
            <w:tcW w:w="7315" w:type="dxa"/>
          </w:tcPr>
          <w:p w:rsidR="00DE61DE" w:rsidRPr="00E53517" w:rsidRDefault="00DE61DE">
            <w:pPr>
              <w:spacing w:after="120" w:line="240" w:lineRule="auto"/>
              <w:rPr>
                <w:rFonts w:eastAsia="楷体_GB2312"/>
                <w:color w:val="0000FF"/>
                <w:sz w:val="15"/>
                <w:szCs w:val="15"/>
              </w:rPr>
            </w:pPr>
          </w:p>
        </w:tc>
        <w:tc>
          <w:tcPr>
            <w:tcW w:w="994" w:type="dxa"/>
          </w:tcPr>
          <w:p w:rsidR="00DE61DE" w:rsidRPr="00E53517" w:rsidRDefault="00DE61DE" w:rsidP="00580721">
            <w:pPr>
              <w:pStyle w:val="GB23126"/>
            </w:pPr>
          </w:p>
        </w:tc>
        <w:tc>
          <w:tcPr>
            <w:tcW w:w="696" w:type="dxa"/>
          </w:tcPr>
          <w:p w:rsidR="00DE61DE" w:rsidRPr="00E53517" w:rsidRDefault="00DE61DE" w:rsidP="00580721">
            <w:pPr>
              <w:pStyle w:val="GB23126"/>
            </w:pPr>
            <w:r w:rsidRPr="00E53517">
              <w:rPr>
                <w:rFonts w:hint="eastAsia"/>
              </w:rPr>
              <w:t>页次</w:t>
            </w:r>
          </w:p>
        </w:tc>
      </w:tr>
      <w:tr w:rsidR="00DE61DE" w:rsidTr="00AD704A">
        <w:trPr>
          <w:cantSplit/>
        </w:trPr>
        <w:tc>
          <w:tcPr>
            <w:tcW w:w="9369" w:type="dxa"/>
            <w:gridSpan w:val="3"/>
          </w:tcPr>
          <w:p w:rsidR="00DE61DE" w:rsidRDefault="00580721" w:rsidP="00580721">
            <w:pPr>
              <w:tabs>
                <w:tab w:val="right" w:leader="dot" w:pos="9371"/>
              </w:tabs>
              <w:spacing w:after="120"/>
              <w:ind w:left="1080" w:hanging="229"/>
            </w:pPr>
            <w:r>
              <w:rPr>
                <w:rFonts w:hint="eastAsia"/>
              </w:rPr>
              <w:t>一</w:t>
            </w:r>
            <w:r>
              <w:rPr>
                <w:rFonts w:hint="eastAsia"/>
              </w:rPr>
              <w:t xml:space="preserve">.  </w:t>
            </w:r>
            <w:r>
              <w:rPr>
                <w:rFonts w:hint="eastAsia"/>
              </w:rPr>
              <w:t>导言</w:t>
            </w:r>
            <w:r w:rsidR="00DE61DE">
              <w:tab/>
            </w:r>
            <w:r w:rsidR="00DE61DE">
              <w:tab/>
            </w:r>
          </w:p>
        </w:tc>
        <w:tc>
          <w:tcPr>
            <w:tcW w:w="696" w:type="dxa"/>
            <w:vAlign w:val="bottom"/>
          </w:tcPr>
          <w:p w:rsidR="00DE61DE" w:rsidRDefault="000402B4">
            <w:pPr>
              <w:spacing w:after="120"/>
              <w:ind w:right="28"/>
              <w:jc w:val="right"/>
            </w:pPr>
            <w:r>
              <w:rPr>
                <w:rFonts w:hint="eastAsia"/>
              </w:rPr>
              <w:t>9</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right" w:leader="dot" w:pos="9371"/>
              </w:tabs>
              <w:spacing w:after="120"/>
              <w:ind w:left="1080" w:firstLine="264"/>
            </w:pPr>
            <w:r>
              <w:rPr>
                <w:rFonts w:hint="eastAsia"/>
              </w:rPr>
              <w:t xml:space="preserve">A.  </w:t>
            </w:r>
            <w:r>
              <w:rPr>
                <w:rFonts w:hint="eastAsia"/>
              </w:rPr>
              <w:t>委员</w:t>
            </w:r>
            <w:r w:rsidR="00142E6B">
              <w:tab/>
            </w:r>
          </w:p>
        </w:tc>
        <w:tc>
          <w:tcPr>
            <w:tcW w:w="696" w:type="dxa"/>
            <w:vAlign w:val="bottom"/>
          </w:tcPr>
          <w:p w:rsidR="00580721" w:rsidRDefault="000402B4">
            <w:pPr>
              <w:spacing w:after="120"/>
              <w:ind w:right="28"/>
              <w:jc w:val="right"/>
            </w:pPr>
            <w:r>
              <w:rPr>
                <w:rFonts w:hint="eastAsia"/>
              </w:rPr>
              <w:t>9</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right" w:leader="dot" w:pos="9371"/>
              </w:tabs>
              <w:spacing w:after="120"/>
              <w:ind w:left="1080" w:firstLine="264"/>
            </w:pPr>
            <w:r>
              <w:rPr>
                <w:rFonts w:hint="eastAsia"/>
              </w:rPr>
              <w:t xml:space="preserve">B.  </w:t>
            </w:r>
            <w:r>
              <w:rPr>
                <w:rFonts w:hint="eastAsia"/>
              </w:rPr>
              <w:t>临时空缺</w:t>
            </w:r>
            <w:r w:rsidR="00142E6B">
              <w:tab/>
            </w:r>
            <w:r w:rsidR="00142E6B">
              <w:tab/>
            </w:r>
          </w:p>
        </w:tc>
        <w:tc>
          <w:tcPr>
            <w:tcW w:w="696" w:type="dxa"/>
            <w:vAlign w:val="bottom"/>
          </w:tcPr>
          <w:p w:rsidR="00580721" w:rsidRDefault="000402B4">
            <w:pPr>
              <w:spacing w:after="120"/>
              <w:ind w:right="28"/>
              <w:jc w:val="right"/>
            </w:pPr>
            <w:r>
              <w:rPr>
                <w:rFonts w:hint="eastAsia"/>
              </w:rPr>
              <w:t>10</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 xml:space="preserve">C.  </w:t>
            </w:r>
            <w:r>
              <w:rPr>
                <w:rFonts w:hint="eastAsia"/>
              </w:rPr>
              <w:t>主席团成员和扩大的主席团</w:t>
            </w:r>
            <w:r w:rsidR="00142E6B">
              <w:tab/>
            </w:r>
          </w:p>
        </w:tc>
        <w:tc>
          <w:tcPr>
            <w:tcW w:w="696" w:type="dxa"/>
            <w:vAlign w:val="bottom"/>
          </w:tcPr>
          <w:p w:rsidR="00580721" w:rsidRDefault="000402B4">
            <w:pPr>
              <w:spacing w:after="120"/>
              <w:ind w:right="28"/>
              <w:jc w:val="right"/>
            </w:pPr>
            <w:r>
              <w:rPr>
                <w:rFonts w:hint="eastAsia"/>
              </w:rPr>
              <w:t>10</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right" w:leader="dot" w:pos="9371"/>
              </w:tabs>
              <w:spacing w:after="120"/>
              <w:ind w:left="1080" w:firstLine="264"/>
            </w:pPr>
            <w:r>
              <w:rPr>
                <w:rFonts w:hint="eastAsia"/>
              </w:rPr>
              <w:t xml:space="preserve">D.  </w:t>
            </w:r>
            <w:r>
              <w:rPr>
                <w:rFonts w:hint="eastAsia"/>
              </w:rPr>
              <w:t>起草委员会</w:t>
            </w:r>
            <w:r w:rsidR="00142E6B">
              <w:tab/>
            </w:r>
          </w:p>
        </w:tc>
        <w:tc>
          <w:tcPr>
            <w:tcW w:w="696" w:type="dxa"/>
            <w:vAlign w:val="bottom"/>
          </w:tcPr>
          <w:p w:rsidR="00580721" w:rsidRDefault="000402B4">
            <w:pPr>
              <w:spacing w:after="120"/>
              <w:ind w:right="28"/>
              <w:jc w:val="right"/>
            </w:pPr>
            <w:r>
              <w:rPr>
                <w:rFonts w:hint="eastAsia"/>
              </w:rPr>
              <w:t>11</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right" w:leader="dot" w:pos="9371"/>
              </w:tabs>
              <w:spacing w:after="120"/>
              <w:ind w:left="1080" w:firstLine="264"/>
            </w:pPr>
            <w:r>
              <w:rPr>
                <w:rFonts w:hint="eastAsia"/>
              </w:rPr>
              <w:t xml:space="preserve">E.  </w:t>
            </w:r>
            <w:r>
              <w:rPr>
                <w:rFonts w:hint="eastAsia"/>
              </w:rPr>
              <w:t>研究组</w:t>
            </w:r>
            <w:r w:rsidR="00016C8A">
              <w:rPr>
                <w:rFonts w:hint="eastAsia"/>
              </w:rPr>
              <w:t>和工作组</w:t>
            </w:r>
            <w:r w:rsidR="00142E6B">
              <w:tab/>
            </w:r>
          </w:p>
        </w:tc>
        <w:tc>
          <w:tcPr>
            <w:tcW w:w="696" w:type="dxa"/>
            <w:vAlign w:val="bottom"/>
          </w:tcPr>
          <w:p w:rsidR="00580721" w:rsidRDefault="000402B4">
            <w:pPr>
              <w:spacing w:after="120"/>
              <w:ind w:right="28"/>
              <w:jc w:val="right"/>
            </w:pPr>
            <w:r>
              <w:rPr>
                <w:rFonts w:hint="eastAsia"/>
              </w:rPr>
              <w:t>12</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right" w:leader="dot" w:pos="9371"/>
              </w:tabs>
              <w:spacing w:after="120"/>
              <w:ind w:left="1080" w:firstLine="264"/>
            </w:pPr>
            <w:r>
              <w:rPr>
                <w:rFonts w:hint="eastAsia"/>
              </w:rPr>
              <w:t xml:space="preserve">F.  </w:t>
            </w:r>
            <w:r>
              <w:rPr>
                <w:rFonts w:hint="eastAsia"/>
              </w:rPr>
              <w:t>秘书处</w:t>
            </w:r>
            <w:r w:rsidR="00142E6B">
              <w:tab/>
            </w:r>
          </w:p>
        </w:tc>
        <w:tc>
          <w:tcPr>
            <w:tcW w:w="696" w:type="dxa"/>
            <w:vAlign w:val="bottom"/>
          </w:tcPr>
          <w:p w:rsidR="00580721" w:rsidRDefault="000402B4">
            <w:pPr>
              <w:spacing w:after="120"/>
              <w:ind w:right="28"/>
              <w:jc w:val="right"/>
            </w:pPr>
            <w:r>
              <w:rPr>
                <w:rFonts w:hint="eastAsia"/>
              </w:rPr>
              <w:t>12</w:t>
            </w:r>
          </w:p>
        </w:tc>
      </w:tr>
      <w:tr w:rsid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right" w:leader="dot" w:pos="9371"/>
              </w:tabs>
              <w:spacing w:after="120"/>
              <w:ind w:left="1080" w:firstLine="264"/>
            </w:pPr>
            <w:r>
              <w:rPr>
                <w:rFonts w:hint="eastAsia"/>
              </w:rPr>
              <w:t xml:space="preserve">G.  </w:t>
            </w:r>
            <w:r>
              <w:rPr>
                <w:rFonts w:hint="eastAsia"/>
              </w:rPr>
              <w:t>议程</w:t>
            </w:r>
            <w:r w:rsidR="00142E6B">
              <w:tab/>
            </w:r>
          </w:p>
        </w:tc>
        <w:tc>
          <w:tcPr>
            <w:tcW w:w="696" w:type="dxa"/>
            <w:vAlign w:val="bottom"/>
          </w:tcPr>
          <w:p w:rsidR="00580721" w:rsidRDefault="000402B4">
            <w:pPr>
              <w:spacing w:after="120"/>
              <w:ind w:right="28"/>
              <w:jc w:val="right"/>
            </w:pPr>
            <w:r>
              <w:rPr>
                <w:rFonts w:hint="eastAsia"/>
              </w:rPr>
              <w:t>12</w:t>
            </w:r>
          </w:p>
        </w:tc>
      </w:tr>
      <w:tr w:rsidR="00580721" w:rsidTr="00AD704A">
        <w:trPr>
          <w:cantSplit/>
        </w:trPr>
        <w:tc>
          <w:tcPr>
            <w:tcW w:w="9369" w:type="dxa"/>
            <w:gridSpan w:val="3"/>
          </w:tcPr>
          <w:p w:rsidR="00580721" w:rsidRPr="00580721" w:rsidRDefault="00580721" w:rsidP="00580721">
            <w:pPr>
              <w:tabs>
                <w:tab w:val="right" w:pos="1080"/>
                <w:tab w:val="left" w:pos="1296"/>
                <w:tab w:val="left" w:pos="1728"/>
                <w:tab w:val="left" w:pos="2160"/>
                <w:tab w:val="left" w:pos="2592"/>
                <w:tab w:val="left" w:pos="3024"/>
                <w:tab w:val="left" w:pos="3456"/>
                <w:tab w:val="left" w:pos="3888"/>
                <w:tab w:val="right" w:leader="dot" w:pos="9371"/>
              </w:tabs>
              <w:spacing w:after="120"/>
              <w:ind w:left="854"/>
            </w:pPr>
            <w:r>
              <w:rPr>
                <w:rFonts w:hint="eastAsia"/>
              </w:rPr>
              <w:t>二</w:t>
            </w:r>
            <w:r>
              <w:rPr>
                <w:rFonts w:hint="eastAsia"/>
              </w:rPr>
              <w:t xml:space="preserve">.  </w:t>
            </w:r>
            <w:r>
              <w:rPr>
                <w:rFonts w:hint="eastAsia"/>
              </w:rPr>
              <w:t>委员会第六十七届会议工作概况</w:t>
            </w:r>
            <w:r>
              <w:tab/>
            </w:r>
          </w:p>
        </w:tc>
        <w:tc>
          <w:tcPr>
            <w:tcW w:w="696" w:type="dxa"/>
            <w:vAlign w:val="bottom"/>
          </w:tcPr>
          <w:p w:rsidR="00580721" w:rsidRDefault="000402B4">
            <w:pPr>
              <w:spacing w:after="120"/>
              <w:ind w:right="28"/>
              <w:jc w:val="right"/>
            </w:pPr>
            <w:r>
              <w:rPr>
                <w:rFonts w:hint="eastAsia"/>
              </w:rPr>
              <w:t>14</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854"/>
            </w:pPr>
            <w:r>
              <w:rPr>
                <w:rFonts w:hint="eastAsia"/>
              </w:rPr>
              <w:t>三</w:t>
            </w:r>
            <w:r>
              <w:rPr>
                <w:rFonts w:hint="eastAsia"/>
              </w:rPr>
              <w:t xml:space="preserve">.  </w:t>
            </w:r>
            <w:r>
              <w:rPr>
                <w:rFonts w:hint="eastAsia"/>
              </w:rPr>
              <w:t>委员会特别想听取意见的具体问题</w:t>
            </w:r>
            <w:r w:rsidR="00142E6B">
              <w:tab/>
            </w:r>
          </w:p>
        </w:tc>
        <w:tc>
          <w:tcPr>
            <w:tcW w:w="696" w:type="dxa"/>
            <w:vAlign w:val="bottom"/>
          </w:tcPr>
          <w:p w:rsidR="00580721" w:rsidRDefault="000402B4">
            <w:pPr>
              <w:spacing w:after="120"/>
              <w:ind w:right="28"/>
              <w:jc w:val="right"/>
            </w:pPr>
            <w:r>
              <w:rPr>
                <w:rFonts w:hint="eastAsia"/>
              </w:rPr>
              <w:t>16</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ind w:left="1080" w:firstLine="264"/>
            </w:pPr>
            <w:r>
              <w:rPr>
                <w:rFonts w:hint="eastAsia"/>
              </w:rPr>
              <w:t xml:space="preserve">A.  </w:t>
            </w:r>
            <w:r>
              <w:rPr>
                <w:rFonts w:hint="eastAsia"/>
              </w:rPr>
              <w:t>与条约解释相关的嗣后协定和嗣后惯例</w:t>
            </w:r>
            <w:r w:rsidR="00142E6B">
              <w:tab/>
            </w:r>
          </w:p>
        </w:tc>
        <w:tc>
          <w:tcPr>
            <w:tcW w:w="696" w:type="dxa"/>
            <w:vAlign w:val="bottom"/>
          </w:tcPr>
          <w:p w:rsidR="00580721" w:rsidRDefault="000402B4">
            <w:pPr>
              <w:spacing w:after="120"/>
              <w:ind w:right="28"/>
              <w:jc w:val="right"/>
            </w:pPr>
            <w:r>
              <w:rPr>
                <w:rFonts w:hint="eastAsia"/>
              </w:rPr>
              <w:t>16</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 xml:space="preserve">B.  </w:t>
            </w:r>
            <w:r>
              <w:rPr>
                <w:rFonts w:hint="eastAsia"/>
              </w:rPr>
              <w:t>与武装冲突有关的环境保护</w:t>
            </w:r>
            <w:r w:rsidR="00142E6B">
              <w:tab/>
            </w:r>
          </w:p>
        </w:tc>
        <w:tc>
          <w:tcPr>
            <w:tcW w:w="696" w:type="dxa"/>
            <w:vAlign w:val="bottom"/>
          </w:tcPr>
          <w:p w:rsidR="00580721" w:rsidRDefault="000402B4">
            <w:pPr>
              <w:spacing w:after="120"/>
              <w:ind w:right="28"/>
              <w:jc w:val="right"/>
            </w:pPr>
            <w:r>
              <w:rPr>
                <w:rFonts w:hint="eastAsia"/>
              </w:rPr>
              <w:t>16</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080" w:firstLine="264"/>
            </w:pPr>
            <w:r>
              <w:rPr>
                <w:rFonts w:hint="eastAsia"/>
              </w:rPr>
              <w:t xml:space="preserve">C.  </w:t>
            </w:r>
            <w:r>
              <w:rPr>
                <w:rFonts w:hint="eastAsia"/>
              </w:rPr>
              <w:t>国家官员的外国刑事管辖豁免</w:t>
            </w:r>
            <w:r w:rsidR="00142E6B">
              <w:tab/>
            </w:r>
          </w:p>
        </w:tc>
        <w:tc>
          <w:tcPr>
            <w:tcW w:w="696" w:type="dxa"/>
            <w:vAlign w:val="bottom"/>
          </w:tcPr>
          <w:p w:rsidR="00580721" w:rsidRDefault="000402B4">
            <w:pPr>
              <w:spacing w:after="120"/>
              <w:ind w:right="28"/>
              <w:jc w:val="right"/>
            </w:pPr>
            <w:r>
              <w:rPr>
                <w:rFonts w:hint="eastAsia"/>
              </w:rPr>
              <w:t>16</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left" w:pos="2592"/>
                <w:tab w:val="left" w:pos="3024"/>
                <w:tab w:val="right" w:leader="dot" w:pos="9371"/>
              </w:tabs>
              <w:spacing w:after="120"/>
              <w:ind w:left="1080" w:firstLine="264"/>
            </w:pPr>
            <w:r>
              <w:rPr>
                <w:rFonts w:hint="eastAsia"/>
              </w:rPr>
              <w:t xml:space="preserve">D.  </w:t>
            </w:r>
            <w:r>
              <w:rPr>
                <w:rFonts w:hint="eastAsia"/>
              </w:rPr>
              <w:t>条约的暂时适用</w:t>
            </w:r>
            <w:r w:rsidR="00142E6B">
              <w:tab/>
            </w:r>
          </w:p>
        </w:tc>
        <w:tc>
          <w:tcPr>
            <w:tcW w:w="696" w:type="dxa"/>
            <w:vAlign w:val="bottom"/>
          </w:tcPr>
          <w:p w:rsidR="00580721" w:rsidRDefault="000402B4">
            <w:pPr>
              <w:spacing w:after="120"/>
              <w:ind w:right="28"/>
              <w:jc w:val="right"/>
            </w:pPr>
            <w:r>
              <w:rPr>
                <w:rFonts w:hint="eastAsia"/>
              </w:rPr>
              <w:t>17</w:t>
            </w:r>
          </w:p>
        </w:tc>
      </w:tr>
      <w:tr w:rsidR="00580721" w:rsidRPr="00580721" w:rsidTr="00AD704A">
        <w:trPr>
          <w:cantSplit/>
        </w:trPr>
        <w:tc>
          <w:tcPr>
            <w:tcW w:w="9369" w:type="dxa"/>
            <w:gridSpan w:val="3"/>
          </w:tcPr>
          <w:p w:rsidR="00580721" w:rsidRPr="00142E6B" w:rsidRDefault="00580721" w:rsidP="00142E6B">
            <w:pPr>
              <w:tabs>
                <w:tab w:val="right" w:pos="1080"/>
                <w:tab w:val="left" w:pos="1296"/>
                <w:tab w:val="left" w:pos="1728"/>
                <w:tab w:val="left" w:pos="2160"/>
                <w:tab w:val="right" w:leader="dot" w:pos="9371"/>
              </w:tabs>
              <w:spacing w:after="120"/>
              <w:ind w:left="1080" w:firstLine="264"/>
            </w:pPr>
            <w:r>
              <w:rPr>
                <w:rFonts w:hint="eastAsia"/>
              </w:rPr>
              <w:t xml:space="preserve">E.  </w:t>
            </w:r>
            <w:r w:rsidRPr="0034676B">
              <w:rPr>
                <w:rFonts w:ascii="楷体" w:eastAsia="楷体" w:hAnsi="楷体" w:hint="eastAsia"/>
              </w:rPr>
              <w:t>强制法</w:t>
            </w:r>
            <w:r w:rsidR="00142E6B">
              <w:tab/>
            </w:r>
          </w:p>
        </w:tc>
        <w:tc>
          <w:tcPr>
            <w:tcW w:w="696" w:type="dxa"/>
            <w:vAlign w:val="bottom"/>
          </w:tcPr>
          <w:p w:rsidR="00580721" w:rsidRDefault="000402B4">
            <w:pPr>
              <w:spacing w:after="120"/>
              <w:ind w:right="28"/>
              <w:jc w:val="right"/>
            </w:pPr>
            <w:r>
              <w:rPr>
                <w:rFonts w:hint="eastAsia"/>
              </w:rPr>
              <w:t>17</w:t>
            </w:r>
          </w:p>
        </w:tc>
      </w:tr>
      <w:tr w:rsidR="00DE61DE" w:rsidTr="00AD704A">
        <w:trPr>
          <w:cantSplit/>
        </w:trPr>
        <w:tc>
          <w:tcPr>
            <w:tcW w:w="9369" w:type="dxa"/>
            <w:gridSpan w:val="3"/>
          </w:tcPr>
          <w:p w:rsidR="00DE61DE" w:rsidRPr="00142E6B" w:rsidRDefault="00580721" w:rsidP="00142E6B">
            <w:pPr>
              <w:tabs>
                <w:tab w:val="right" w:pos="1080"/>
                <w:tab w:val="left" w:pos="1296"/>
                <w:tab w:val="left" w:pos="1728"/>
                <w:tab w:val="left" w:pos="2160"/>
                <w:tab w:val="right" w:leader="dot" w:pos="9371"/>
              </w:tabs>
              <w:spacing w:after="120"/>
              <w:ind w:left="854"/>
            </w:pPr>
            <w:r>
              <w:rPr>
                <w:rFonts w:hint="eastAsia"/>
              </w:rPr>
              <w:t>四</w:t>
            </w:r>
            <w:r>
              <w:rPr>
                <w:rFonts w:hint="eastAsia"/>
              </w:rPr>
              <w:t xml:space="preserve">.  </w:t>
            </w:r>
            <w:r>
              <w:rPr>
                <w:rFonts w:hint="eastAsia"/>
              </w:rPr>
              <w:t>最惠国条款</w:t>
            </w:r>
            <w:r w:rsidR="00142E6B">
              <w:tab/>
            </w:r>
          </w:p>
        </w:tc>
        <w:tc>
          <w:tcPr>
            <w:tcW w:w="696" w:type="dxa"/>
            <w:vAlign w:val="bottom"/>
          </w:tcPr>
          <w:p w:rsidR="00DE61DE" w:rsidRDefault="000402B4">
            <w:pPr>
              <w:spacing w:after="120"/>
              <w:ind w:right="28"/>
              <w:jc w:val="right"/>
            </w:pPr>
            <w:r>
              <w:rPr>
                <w:rFonts w:hint="eastAsia"/>
              </w:rPr>
              <w:t>18</w:t>
            </w:r>
          </w:p>
        </w:tc>
      </w:tr>
      <w:tr w:rsidR="00580721" w:rsidTr="00AD704A">
        <w:trPr>
          <w:cantSplit/>
        </w:trPr>
        <w:tc>
          <w:tcPr>
            <w:tcW w:w="9369" w:type="dxa"/>
            <w:gridSpan w:val="3"/>
          </w:tcPr>
          <w:p w:rsidR="00580721" w:rsidRPr="00E31F78" w:rsidRDefault="00151E34" w:rsidP="00E31F78">
            <w:pPr>
              <w:tabs>
                <w:tab w:val="right" w:pos="1080"/>
                <w:tab w:val="left" w:pos="1296"/>
                <w:tab w:val="left" w:pos="1728"/>
                <w:tab w:val="left" w:pos="2160"/>
                <w:tab w:val="right" w:leader="dot" w:pos="9371"/>
              </w:tabs>
              <w:spacing w:after="120"/>
              <w:ind w:left="1080" w:firstLine="264"/>
            </w:pPr>
            <w:r>
              <w:rPr>
                <w:rFonts w:hint="eastAsia"/>
              </w:rPr>
              <w:t xml:space="preserve">A.  </w:t>
            </w:r>
            <w:r>
              <w:rPr>
                <w:rFonts w:hint="eastAsia"/>
              </w:rPr>
              <w:t>导言</w:t>
            </w:r>
            <w:r w:rsidR="00E31F78">
              <w:tab/>
            </w:r>
          </w:p>
        </w:tc>
        <w:tc>
          <w:tcPr>
            <w:tcW w:w="696" w:type="dxa"/>
            <w:vAlign w:val="bottom"/>
          </w:tcPr>
          <w:p w:rsidR="00580721" w:rsidRDefault="000402B4">
            <w:pPr>
              <w:spacing w:after="120"/>
              <w:ind w:right="28"/>
              <w:jc w:val="right"/>
            </w:pPr>
            <w:r>
              <w:rPr>
                <w:rFonts w:hint="eastAsia"/>
              </w:rPr>
              <w:t>18</w:t>
            </w:r>
          </w:p>
        </w:tc>
      </w:tr>
      <w:tr w:rsidR="00151E34" w:rsidTr="00AD704A">
        <w:trPr>
          <w:cantSplit/>
        </w:trPr>
        <w:tc>
          <w:tcPr>
            <w:tcW w:w="9369" w:type="dxa"/>
            <w:gridSpan w:val="3"/>
          </w:tcPr>
          <w:p w:rsidR="00151E34" w:rsidRPr="00142E6B" w:rsidRDefault="00151E34"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 xml:space="preserve">B.  </w:t>
            </w:r>
            <w:r>
              <w:rPr>
                <w:rFonts w:hint="eastAsia"/>
              </w:rPr>
              <w:t>本届会议审议此专题的情况</w:t>
            </w:r>
            <w:r w:rsidR="00142E6B">
              <w:tab/>
            </w:r>
          </w:p>
        </w:tc>
        <w:tc>
          <w:tcPr>
            <w:tcW w:w="696" w:type="dxa"/>
            <w:vAlign w:val="bottom"/>
          </w:tcPr>
          <w:p w:rsidR="00151E34" w:rsidRDefault="000402B4">
            <w:pPr>
              <w:spacing w:after="120"/>
              <w:ind w:right="28"/>
              <w:jc w:val="right"/>
            </w:pPr>
            <w:r>
              <w:rPr>
                <w:rFonts w:hint="eastAsia"/>
              </w:rPr>
              <w:t>18</w:t>
            </w:r>
          </w:p>
        </w:tc>
      </w:tr>
      <w:tr w:rsidR="00151E34" w:rsidTr="00AD704A">
        <w:trPr>
          <w:cantSplit/>
        </w:trPr>
        <w:tc>
          <w:tcPr>
            <w:tcW w:w="9369" w:type="dxa"/>
            <w:gridSpan w:val="3"/>
          </w:tcPr>
          <w:p w:rsidR="00151E34" w:rsidRPr="00142E6B" w:rsidRDefault="00151E34" w:rsidP="00142E6B">
            <w:pPr>
              <w:tabs>
                <w:tab w:val="right" w:pos="1080"/>
                <w:tab w:val="left" w:pos="1296"/>
                <w:tab w:val="left" w:pos="1728"/>
                <w:tab w:val="left" w:pos="2160"/>
                <w:tab w:val="left" w:pos="2592"/>
                <w:tab w:val="left" w:pos="3024"/>
                <w:tab w:val="left" w:pos="3456"/>
                <w:tab w:val="right" w:leader="dot" w:pos="9371"/>
              </w:tabs>
              <w:spacing w:after="120"/>
              <w:ind w:left="1080" w:firstLine="264"/>
            </w:pPr>
            <w:r>
              <w:rPr>
                <w:rFonts w:hint="eastAsia"/>
              </w:rPr>
              <w:t xml:space="preserve">C.  </w:t>
            </w:r>
            <w:r>
              <w:rPr>
                <w:rFonts w:hint="eastAsia"/>
              </w:rPr>
              <w:t>向研究组及其主席致谢</w:t>
            </w:r>
            <w:r w:rsidR="00142E6B">
              <w:tab/>
            </w:r>
          </w:p>
        </w:tc>
        <w:tc>
          <w:tcPr>
            <w:tcW w:w="696" w:type="dxa"/>
            <w:vAlign w:val="bottom"/>
          </w:tcPr>
          <w:p w:rsidR="00151E34" w:rsidRDefault="000402B4">
            <w:pPr>
              <w:spacing w:after="120"/>
              <w:ind w:right="28"/>
              <w:jc w:val="right"/>
            </w:pPr>
            <w:r>
              <w:rPr>
                <w:rFonts w:hint="eastAsia"/>
              </w:rPr>
              <w:t>20</w:t>
            </w:r>
          </w:p>
        </w:tc>
      </w:tr>
      <w:tr w:rsidR="00580721" w:rsidTr="00AD704A">
        <w:trPr>
          <w:cantSplit/>
        </w:trPr>
        <w:tc>
          <w:tcPr>
            <w:tcW w:w="9369" w:type="dxa"/>
            <w:gridSpan w:val="3"/>
          </w:tcPr>
          <w:p w:rsidR="00580721" w:rsidRPr="00142E6B" w:rsidRDefault="000F7D03" w:rsidP="00142E6B">
            <w:pPr>
              <w:tabs>
                <w:tab w:val="right" w:pos="1080"/>
                <w:tab w:val="left" w:pos="1296"/>
                <w:tab w:val="left" w:pos="1728"/>
                <w:tab w:val="left" w:pos="2160"/>
                <w:tab w:val="right" w:leader="dot" w:pos="9371"/>
              </w:tabs>
              <w:spacing w:after="120"/>
              <w:ind w:left="854"/>
            </w:pPr>
            <w:r>
              <w:rPr>
                <w:rFonts w:hint="eastAsia"/>
              </w:rPr>
              <w:t>五</w:t>
            </w:r>
            <w:r>
              <w:rPr>
                <w:rFonts w:hint="eastAsia"/>
              </w:rPr>
              <w:t xml:space="preserve">.  </w:t>
            </w:r>
            <w:r>
              <w:rPr>
                <w:rFonts w:hint="eastAsia"/>
              </w:rPr>
              <w:t>保护大气层</w:t>
            </w:r>
            <w:r w:rsidR="00142E6B">
              <w:tab/>
            </w:r>
          </w:p>
        </w:tc>
        <w:tc>
          <w:tcPr>
            <w:tcW w:w="696" w:type="dxa"/>
            <w:vAlign w:val="bottom"/>
          </w:tcPr>
          <w:p w:rsidR="00580721" w:rsidRDefault="000402B4">
            <w:pPr>
              <w:spacing w:after="120"/>
              <w:ind w:right="28"/>
              <w:jc w:val="right"/>
            </w:pPr>
            <w:r>
              <w:rPr>
                <w:rFonts w:hint="eastAsia"/>
              </w:rPr>
              <w:t>21</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142E6B">
              <w:tab/>
            </w:r>
          </w:p>
        </w:tc>
        <w:tc>
          <w:tcPr>
            <w:tcW w:w="696" w:type="dxa"/>
            <w:vAlign w:val="bottom"/>
          </w:tcPr>
          <w:p w:rsidR="000F7D03" w:rsidRDefault="000402B4">
            <w:pPr>
              <w:spacing w:after="120"/>
              <w:ind w:right="28"/>
              <w:jc w:val="right"/>
            </w:pPr>
            <w:r>
              <w:rPr>
                <w:rFonts w:hint="eastAsia"/>
              </w:rPr>
              <w:t>21</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142E6B">
              <w:tab/>
            </w:r>
          </w:p>
        </w:tc>
        <w:tc>
          <w:tcPr>
            <w:tcW w:w="696" w:type="dxa"/>
            <w:vAlign w:val="bottom"/>
          </w:tcPr>
          <w:p w:rsidR="000F7D03" w:rsidRDefault="000402B4">
            <w:pPr>
              <w:spacing w:after="120"/>
              <w:ind w:right="28"/>
              <w:jc w:val="right"/>
            </w:pPr>
            <w:r>
              <w:rPr>
                <w:rFonts w:hint="eastAsia"/>
              </w:rPr>
              <w:t>21</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71"/>
              </w:tabs>
              <w:spacing w:after="120"/>
              <w:ind w:left="1080" w:firstLine="264"/>
            </w:pPr>
            <w:r>
              <w:rPr>
                <w:rFonts w:hint="eastAsia"/>
              </w:rPr>
              <w:t>C.</w:t>
            </w:r>
            <w:r>
              <w:rPr>
                <w:rFonts w:hint="eastAsia"/>
              </w:rPr>
              <w:tab/>
            </w:r>
            <w:r>
              <w:rPr>
                <w:rFonts w:hint="eastAsia"/>
              </w:rPr>
              <w:t>委员会迄今为止暂时通过的指南草案案文及序言部分段落</w:t>
            </w:r>
            <w:r w:rsidR="00142E6B">
              <w:tab/>
            </w:r>
          </w:p>
        </w:tc>
        <w:tc>
          <w:tcPr>
            <w:tcW w:w="696" w:type="dxa"/>
            <w:vAlign w:val="bottom"/>
          </w:tcPr>
          <w:p w:rsidR="000F7D03" w:rsidRDefault="000402B4">
            <w:pPr>
              <w:spacing w:after="120"/>
              <w:ind w:right="28"/>
              <w:jc w:val="right"/>
            </w:pPr>
            <w:r>
              <w:rPr>
                <w:rFonts w:hint="eastAsia"/>
              </w:rPr>
              <w:t>23</w:t>
            </w:r>
          </w:p>
        </w:tc>
      </w:tr>
      <w:tr w:rsidR="000F7D03" w:rsidTr="00AD704A">
        <w:trPr>
          <w:cantSplit/>
        </w:trPr>
        <w:tc>
          <w:tcPr>
            <w:tcW w:w="9369" w:type="dxa"/>
            <w:gridSpan w:val="3"/>
          </w:tcPr>
          <w:p w:rsidR="000F7D03" w:rsidRPr="00ED0D15" w:rsidRDefault="000F7D03" w:rsidP="00ED0D15">
            <w:pPr>
              <w:tabs>
                <w:tab w:val="left" w:pos="1728"/>
                <w:tab w:val="left" w:pos="2160"/>
                <w:tab w:val="left" w:pos="2592"/>
                <w:tab w:val="left" w:pos="3024"/>
                <w:tab w:val="left" w:pos="3456"/>
                <w:tab w:val="left" w:pos="3888"/>
                <w:tab w:val="left" w:pos="4320"/>
                <w:tab w:val="right" w:leader="dot" w:pos="9371"/>
              </w:tabs>
              <w:spacing w:after="120"/>
              <w:ind w:left="1722"/>
            </w:pPr>
            <w:r>
              <w:rPr>
                <w:rFonts w:hint="eastAsia"/>
              </w:rPr>
              <w:t>1.</w:t>
            </w:r>
            <w:r>
              <w:rPr>
                <w:rFonts w:hint="eastAsia"/>
              </w:rPr>
              <w:tab/>
            </w:r>
            <w:r>
              <w:rPr>
                <w:rFonts w:hint="eastAsia"/>
              </w:rPr>
              <w:t>指南草案案文及序言部分段落</w:t>
            </w:r>
            <w:r w:rsidR="00ED0D15">
              <w:tab/>
            </w:r>
          </w:p>
        </w:tc>
        <w:tc>
          <w:tcPr>
            <w:tcW w:w="696" w:type="dxa"/>
            <w:vAlign w:val="bottom"/>
          </w:tcPr>
          <w:p w:rsidR="000F7D03" w:rsidRPr="00ED0D15" w:rsidRDefault="000402B4">
            <w:pPr>
              <w:spacing w:after="120"/>
              <w:ind w:right="28"/>
              <w:jc w:val="right"/>
            </w:pPr>
            <w:r>
              <w:rPr>
                <w:rFonts w:hint="eastAsia"/>
              </w:rPr>
              <w:t>23</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left" w:pos="3456"/>
                <w:tab w:val="right" w:leader="dot" w:pos="9371"/>
              </w:tabs>
              <w:spacing w:after="120"/>
              <w:ind w:left="2142" w:hanging="420"/>
            </w:pPr>
            <w:r>
              <w:rPr>
                <w:rFonts w:hint="eastAsia"/>
              </w:rPr>
              <w:t>2.</w:t>
            </w:r>
            <w:r>
              <w:rPr>
                <w:rFonts w:hint="eastAsia"/>
              </w:rPr>
              <w:tab/>
            </w:r>
            <w:r>
              <w:rPr>
                <w:rFonts w:hint="eastAsia"/>
              </w:rPr>
              <w:t>委员会第六十七届会议暂时通过的指南草案和序言段</w:t>
            </w:r>
            <w:r w:rsidR="00142E6B">
              <w:br/>
            </w:r>
            <w:r>
              <w:rPr>
                <w:rFonts w:hint="eastAsia"/>
              </w:rPr>
              <w:t>落案文及其评注</w:t>
            </w:r>
            <w:r w:rsidR="00142E6B">
              <w:tab/>
            </w:r>
          </w:p>
        </w:tc>
        <w:tc>
          <w:tcPr>
            <w:tcW w:w="696" w:type="dxa"/>
            <w:vAlign w:val="bottom"/>
          </w:tcPr>
          <w:p w:rsidR="000F7D03" w:rsidRDefault="000402B4">
            <w:pPr>
              <w:spacing w:after="120"/>
              <w:ind w:right="28"/>
              <w:jc w:val="right"/>
            </w:pPr>
            <w:r>
              <w:rPr>
                <w:rFonts w:hint="eastAsia"/>
              </w:rPr>
              <w:t>25</w:t>
            </w:r>
          </w:p>
        </w:tc>
      </w:tr>
      <w:tr w:rsidR="000F7D03" w:rsidTr="00AD704A">
        <w:trPr>
          <w:cantSplit/>
        </w:trPr>
        <w:tc>
          <w:tcPr>
            <w:tcW w:w="9369" w:type="dxa"/>
            <w:gridSpan w:val="3"/>
          </w:tcPr>
          <w:p w:rsidR="000F7D03" w:rsidRPr="00ED0D15" w:rsidRDefault="000F7D03" w:rsidP="00ED0D15">
            <w:pPr>
              <w:tabs>
                <w:tab w:val="right" w:pos="1080"/>
                <w:tab w:val="left" w:pos="1296"/>
                <w:tab w:val="left" w:pos="1728"/>
                <w:tab w:val="left" w:pos="2160"/>
                <w:tab w:val="left" w:pos="2592"/>
                <w:tab w:val="right" w:leader="dot" w:pos="9371"/>
              </w:tabs>
              <w:spacing w:after="120"/>
              <w:ind w:left="2142"/>
            </w:pPr>
            <w:r>
              <w:rPr>
                <w:rFonts w:hint="eastAsia"/>
              </w:rPr>
              <w:t>总评注</w:t>
            </w:r>
            <w:r w:rsidR="00ED0D15">
              <w:tab/>
            </w:r>
          </w:p>
        </w:tc>
        <w:tc>
          <w:tcPr>
            <w:tcW w:w="696" w:type="dxa"/>
            <w:vAlign w:val="bottom"/>
          </w:tcPr>
          <w:p w:rsidR="000F7D03" w:rsidRDefault="000402B4">
            <w:pPr>
              <w:spacing w:after="120"/>
              <w:ind w:right="28"/>
              <w:jc w:val="right"/>
            </w:pPr>
            <w:r>
              <w:rPr>
                <w:rFonts w:hint="eastAsia"/>
              </w:rPr>
              <w:t>25</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right" w:leader="dot" w:pos="9371"/>
              </w:tabs>
              <w:spacing w:after="120"/>
              <w:ind w:left="2142"/>
            </w:pPr>
            <w:r>
              <w:rPr>
                <w:rFonts w:hint="eastAsia"/>
              </w:rPr>
              <w:t>序言</w:t>
            </w:r>
            <w:r w:rsidR="00142E6B">
              <w:tab/>
            </w:r>
          </w:p>
        </w:tc>
        <w:tc>
          <w:tcPr>
            <w:tcW w:w="696" w:type="dxa"/>
            <w:vAlign w:val="bottom"/>
          </w:tcPr>
          <w:p w:rsidR="000F7D03" w:rsidRDefault="000402B4">
            <w:pPr>
              <w:spacing w:after="120"/>
              <w:ind w:right="28"/>
              <w:jc w:val="right"/>
            </w:pPr>
            <w:r>
              <w:rPr>
                <w:rFonts w:hint="eastAsia"/>
              </w:rPr>
              <w:t>25</w:t>
            </w:r>
          </w:p>
        </w:tc>
      </w:tr>
      <w:tr w:rsidR="000F7D03" w:rsidTr="00AD704A">
        <w:trPr>
          <w:cantSplit/>
        </w:trPr>
        <w:tc>
          <w:tcPr>
            <w:tcW w:w="9369" w:type="dxa"/>
            <w:gridSpan w:val="3"/>
          </w:tcPr>
          <w:p w:rsidR="000F7D03" w:rsidRPr="00F34E50" w:rsidRDefault="000F7D03" w:rsidP="00F34E50">
            <w:pPr>
              <w:tabs>
                <w:tab w:val="right" w:pos="1080"/>
                <w:tab w:val="left" w:pos="1296"/>
                <w:tab w:val="left" w:pos="1728"/>
                <w:tab w:val="left" w:pos="2160"/>
                <w:tab w:val="left" w:pos="2592"/>
                <w:tab w:val="left" w:pos="3024"/>
                <w:tab w:val="right" w:leader="dot" w:pos="9371"/>
              </w:tabs>
              <w:spacing w:after="120"/>
              <w:ind w:left="2940"/>
            </w:pPr>
            <w:r>
              <w:rPr>
                <w:rFonts w:hint="eastAsia"/>
              </w:rPr>
              <w:lastRenderedPageBreak/>
              <w:t>评注</w:t>
            </w:r>
            <w:r w:rsidR="00F34E50">
              <w:tab/>
            </w:r>
          </w:p>
        </w:tc>
        <w:tc>
          <w:tcPr>
            <w:tcW w:w="696" w:type="dxa"/>
            <w:vAlign w:val="bottom"/>
          </w:tcPr>
          <w:p w:rsidR="000F7D03" w:rsidRDefault="000402B4">
            <w:pPr>
              <w:spacing w:after="120"/>
              <w:ind w:right="28"/>
              <w:jc w:val="right"/>
            </w:pPr>
            <w:r>
              <w:rPr>
                <w:rFonts w:hint="eastAsia"/>
              </w:rPr>
              <w:t>26</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right" w:leader="dot" w:pos="9371"/>
              </w:tabs>
              <w:spacing w:after="120"/>
              <w:ind w:left="2142"/>
            </w:pPr>
            <w:r>
              <w:rPr>
                <w:rFonts w:hint="eastAsia"/>
              </w:rPr>
              <w:t>指南</w:t>
            </w:r>
            <w:r>
              <w:rPr>
                <w:rFonts w:hint="eastAsia"/>
              </w:rPr>
              <w:t xml:space="preserve">1 </w:t>
            </w:r>
            <w:r w:rsidR="00ED0D15">
              <w:rPr>
                <w:rFonts w:hint="eastAsia"/>
              </w:rPr>
              <w:t xml:space="preserve"> </w:t>
            </w:r>
            <w:r>
              <w:rPr>
                <w:rFonts w:hint="eastAsia"/>
              </w:rPr>
              <w:t>用语</w:t>
            </w:r>
            <w:r w:rsidR="00142E6B">
              <w:tab/>
            </w:r>
          </w:p>
        </w:tc>
        <w:tc>
          <w:tcPr>
            <w:tcW w:w="696" w:type="dxa"/>
            <w:vAlign w:val="bottom"/>
          </w:tcPr>
          <w:p w:rsidR="000F7D03" w:rsidRDefault="000402B4">
            <w:pPr>
              <w:spacing w:after="120"/>
              <w:ind w:right="28"/>
              <w:jc w:val="right"/>
            </w:pPr>
            <w:r>
              <w:rPr>
                <w:rFonts w:hint="eastAsia"/>
              </w:rPr>
              <w:t>28</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right" w:leader="dot" w:pos="9371"/>
              </w:tabs>
              <w:spacing w:after="120"/>
              <w:ind w:left="2940"/>
            </w:pPr>
            <w:r>
              <w:rPr>
                <w:rFonts w:hint="eastAsia"/>
              </w:rPr>
              <w:t>评注</w:t>
            </w:r>
            <w:r w:rsidR="00142E6B">
              <w:tab/>
            </w:r>
          </w:p>
        </w:tc>
        <w:tc>
          <w:tcPr>
            <w:tcW w:w="696" w:type="dxa"/>
            <w:vAlign w:val="bottom"/>
          </w:tcPr>
          <w:p w:rsidR="000F7D03" w:rsidRDefault="000402B4">
            <w:pPr>
              <w:spacing w:after="120"/>
              <w:ind w:right="28"/>
              <w:jc w:val="right"/>
            </w:pPr>
            <w:r>
              <w:rPr>
                <w:rFonts w:hint="eastAsia"/>
              </w:rPr>
              <w:t>28</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2142"/>
            </w:pPr>
            <w:r>
              <w:rPr>
                <w:rFonts w:hint="eastAsia"/>
              </w:rPr>
              <w:t>指南</w:t>
            </w:r>
            <w:r>
              <w:rPr>
                <w:rFonts w:hint="eastAsia"/>
              </w:rPr>
              <w:t xml:space="preserve">2 </w:t>
            </w:r>
            <w:r w:rsidR="00ED0D15">
              <w:rPr>
                <w:rFonts w:hint="eastAsia"/>
              </w:rPr>
              <w:t xml:space="preserve"> </w:t>
            </w:r>
            <w:r>
              <w:rPr>
                <w:rFonts w:hint="eastAsia"/>
              </w:rPr>
              <w:t>指南的范围</w:t>
            </w:r>
            <w:r w:rsidR="00142E6B">
              <w:tab/>
            </w:r>
          </w:p>
        </w:tc>
        <w:tc>
          <w:tcPr>
            <w:tcW w:w="696" w:type="dxa"/>
            <w:vAlign w:val="bottom"/>
          </w:tcPr>
          <w:p w:rsidR="000F7D03" w:rsidRDefault="000402B4">
            <w:pPr>
              <w:spacing w:after="120"/>
              <w:ind w:right="28"/>
              <w:jc w:val="right"/>
            </w:pPr>
            <w:r>
              <w:rPr>
                <w:rFonts w:hint="eastAsia"/>
              </w:rPr>
              <w:t>32</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right" w:leader="dot" w:pos="9371"/>
              </w:tabs>
              <w:spacing w:after="120"/>
              <w:ind w:left="2940"/>
            </w:pPr>
            <w:r>
              <w:rPr>
                <w:rFonts w:hint="eastAsia"/>
              </w:rPr>
              <w:t>评注</w:t>
            </w:r>
            <w:r w:rsidR="00142E6B">
              <w:tab/>
            </w:r>
          </w:p>
        </w:tc>
        <w:tc>
          <w:tcPr>
            <w:tcW w:w="696" w:type="dxa"/>
            <w:vAlign w:val="bottom"/>
          </w:tcPr>
          <w:p w:rsidR="000F7D03" w:rsidRDefault="000402B4">
            <w:pPr>
              <w:spacing w:after="120"/>
              <w:ind w:right="28"/>
              <w:jc w:val="right"/>
            </w:pPr>
            <w:r>
              <w:rPr>
                <w:rFonts w:hint="eastAsia"/>
              </w:rPr>
              <w:t>33</w:t>
            </w:r>
          </w:p>
        </w:tc>
      </w:tr>
      <w:tr w:rsidR="000F7D03" w:rsidTr="00AD704A">
        <w:trPr>
          <w:cantSplit/>
        </w:trPr>
        <w:tc>
          <w:tcPr>
            <w:tcW w:w="9369" w:type="dxa"/>
            <w:gridSpan w:val="3"/>
          </w:tcPr>
          <w:p w:rsidR="000F7D03" w:rsidRPr="00ED0D15" w:rsidRDefault="000F7D03" w:rsidP="00ED0D15">
            <w:pPr>
              <w:tabs>
                <w:tab w:val="right" w:pos="1080"/>
                <w:tab w:val="left" w:pos="1296"/>
                <w:tab w:val="left" w:pos="1728"/>
                <w:tab w:val="left" w:pos="2160"/>
                <w:tab w:val="left" w:pos="2592"/>
                <w:tab w:val="left" w:pos="3024"/>
                <w:tab w:val="left" w:pos="3456"/>
                <w:tab w:val="right" w:leader="dot" w:pos="9371"/>
              </w:tabs>
              <w:spacing w:after="120"/>
              <w:ind w:left="2142"/>
            </w:pPr>
            <w:r>
              <w:rPr>
                <w:rFonts w:hint="eastAsia"/>
              </w:rPr>
              <w:t>指南</w:t>
            </w:r>
            <w:r>
              <w:rPr>
                <w:rFonts w:hint="eastAsia"/>
              </w:rPr>
              <w:t xml:space="preserve">5 </w:t>
            </w:r>
            <w:r w:rsidR="00ED0D15">
              <w:rPr>
                <w:rFonts w:hint="eastAsia"/>
              </w:rPr>
              <w:t xml:space="preserve"> </w:t>
            </w:r>
            <w:r>
              <w:rPr>
                <w:rFonts w:hint="eastAsia"/>
              </w:rPr>
              <w:t>国际合作</w:t>
            </w:r>
            <w:r w:rsidR="00ED0D15">
              <w:tab/>
            </w:r>
          </w:p>
        </w:tc>
        <w:tc>
          <w:tcPr>
            <w:tcW w:w="696" w:type="dxa"/>
            <w:vAlign w:val="bottom"/>
          </w:tcPr>
          <w:p w:rsidR="000F7D03" w:rsidRDefault="000402B4">
            <w:pPr>
              <w:spacing w:after="120"/>
              <w:ind w:right="28"/>
              <w:jc w:val="right"/>
            </w:pPr>
            <w:r>
              <w:rPr>
                <w:rFonts w:hint="eastAsia"/>
              </w:rPr>
              <w:t>34</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right" w:leader="dot" w:pos="9371"/>
              </w:tabs>
              <w:spacing w:after="120"/>
              <w:ind w:left="2940"/>
            </w:pPr>
            <w:r>
              <w:rPr>
                <w:rFonts w:hint="eastAsia"/>
              </w:rPr>
              <w:t>评注</w:t>
            </w:r>
            <w:r w:rsidR="00142E6B">
              <w:tab/>
            </w:r>
          </w:p>
        </w:tc>
        <w:tc>
          <w:tcPr>
            <w:tcW w:w="696" w:type="dxa"/>
            <w:vAlign w:val="bottom"/>
          </w:tcPr>
          <w:p w:rsidR="000F7D03" w:rsidRDefault="000402B4">
            <w:pPr>
              <w:spacing w:after="120"/>
              <w:ind w:right="28"/>
              <w:jc w:val="right"/>
            </w:pPr>
            <w:r>
              <w:rPr>
                <w:rFonts w:hint="eastAsia"/>
              </w:rPr>
              <w:t>35</w:t>
            </w:r>
          </w:p>
        </w:tc>
      </w:tr>
      <w:tr w:rsidR="000F7D03" w:rsidTr="00AD704A">
        <w:trPr>
          <w:cantSplit/>
        </w:trPr>
        <w:tc>
          <w:tcPr>
            <w:tcW w:w="9369" w:type="dxa"/>
            <w:gridSpan w:val="3"/>
          </w:tcPr>
          <w:p w:rsidR="000F7D03" w:rsidRPr="00E31F78" w:rsidRDefault="000F7D03" w:rsidP="00E31F78">
            <w:pPr>
              <w:tabs>
                <w:tab w:val="right" w:pos="1080"/>
                <w:tab w:val="left" w:pos="1296"/>
                <w:tab w:val="left" w:pos="1728"/>
                <w:tab w:val="left" w:pos="2160"/>
                <w:tab w:val="left" w:pos="2592"/>
                <w:tab w:val="left" w:pos="3024"/>
                <w:tab w:val="right" w:leader="dot" w:pos="9371"/>
              </w:tabs>
              <w:spacing w:after="120"/>
              <w:ind w:left="1080" w:hanging="229"/>
            </w:pPr>
            <w:r>
              <w:rPr>
                <w:rFonts w:hint="eastAsia"/>
              </w:rPr>
              <w:t>六</w:t>
            </w:r>
            <w:r>
              <w:rPr>
                <w:rFonts w:hint="eastAsia"/>
              </w:rPr>
              <w:t>.</w:t>
            </w:r>
            <w:r w:rsidR="00E31F78">
              <w:rPr>
                <w:rFonts w:hint="eastAsia"/>
              </w:rPr>
              <w:t xml:space="preserve">  </w:t>
            </w:r>
            <w:r>
              <w:rPr>
                <w:rFonts w:hint="eastAsia"/>
              </w:rPr>
              <w:t>习惯国际法的识别</w:t>
            </w:r>
            <w:r w:rsidR="00E31F78">
              <w:tab/>
            </w:r>
            <w:r w:rsidR="00E31F78">
              <w:tab/>
            </w:r>
          </w:p>
        </w:tc>
        <w:tc>
          <w:tcPr>
            <w:tcW w:w="696" w:type="dxa"/>
            <w:vAlign w:val="bottom"/>
          </w:tcPr>
          <w:p w:rsidR="000F7D03" w:rsidRPr="00E31F78" w:rsidRDefault="000402B4" w:rsidP="00E31F78">
            <w:pPr>
              <w:tabs>
                <w:tab w:val="right" w:pos="1080"/>
                <w:tab w:val="right" w:leader="dot" w:pos="9371"/>
              </w:tabs>
              <w:spacing w:after="120"/>
              <w:ind w:right="28"/>
              <w:jc w:val="right"/>
            </w:pPr>
            <w:r>
              <w:rPr>
                <w:rFonts w:hint="eastAsia"/>
              </w:rPr>
              <w:t>38</w:t>
            </w:r>
          </w:p>
        </w:tc>
      </w:tr>
      <w:tr w:rsidR="000F7D03" w:rsidTr="00AD704A">
        <w:trPr>
          <w:cantSplit/>
        </w:trPr>
        <w:tc>
          <w:tcPr>
            <w:tcW w:w="9369" w:type="dxa"/>
            <w:gridSpan w:val="3"/>
          </w:tcPr>
          <w:p w:rsidR="000F7D03" w:rsidRPr="00ED0D15" w:rsidRDefault="000F7D03" w:rsidP="00ED0D15">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ED0D15">
              <w:tab/>
            </w:r>
          </w:p>
        </w:tc>
        <w:tc>
          <w:tcPr>
            <w:tcW w:w="696" w:type="dxa"/>
            <w:vAlign w:val="bottom"/>
          </w:tcPr>
          <w:p w:rsidR="000F7D03" w:rsidRDefault="000402B4">
            <w:pPr>
              <w:spacing w:after="120"/>
              <w:ind w:right="28"/>
              <w:jc w:val="right"/>
            </w:pPr>
            <w:r>
              <w:rPr>
                <w:rFonts w:hint="eastAsia"/>
              </w:rPr>
              <w:t>38</w:t>
            </w:r>
          </w:p>
        </w:tc>
      </w:tr>
      <w:tr w:rsidR="000F7D03" w:rsidTr="00AD704A">
        <w:trPr>
          <w:cantSplit/>
        </w:trPr>
        <w:tc>
          <w:tcPr>
            <w:tcW w:w="9369" w:type="dxa"/>
            <w:gridSpan w:val="3"/>
          </w:tcPr>
          <w:p w:rsidR="000F7D03" w:rsidRPr="00ED0D15" w:rsidRDefault="000F7D03" w:rsidP="00ED0D15">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ED0D15">
              <w:tab/>
            </w:r>
          </w:p>
        </w:tc>
        <w:tc>
          <w:tcPr>
            <w:tcW w:w="696" w:type="dxa"/>
            <w:vAlign w:val="bottom"/>
          </w:tcPr>
          <w:p w:rsidR="000F7D03" w:rsidRDefault="000402B4">
            <w:pPr>
              <w:spacing w:after="120"/>
              <w:ind w:right="28"/>
              <w:jc w:val="right"/>
            </w:pPr>
            <w:r>
              <w:rPr>
                <w:rFonts w:hint="eastAsia"/>
              </w:rPr>
              <w:t>38</w:t>
            </w:r>
          </w:p>
        </w:tc>
      </w:tr>
      <w:tr w:rsidR="000F7D03" w:rsidTr="00AD704A">
        <w:trPr>
          <w:cantSplit/>
        </w:trPr>
        <w:tc>
          <w:tcPr>
            <w:tcW w:w="9369" w:type="dxa"/>
            <w:gridSpan w:val="3"/>
          </w:tcPr>
          <w:p w:rsidR="000F7D03" w:rsidRPr="00ED0D15" w:rsidRDefault="000F7D03" w:rsidP="00ED0D15">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722"/>
            </w:pPr>
            <w:r>
              <w:rPr>
                <w:rFonts w:hint="eastAsia"/>
              </w:rPr>
              <w:t>1.</w:t>
            </w:r>
            <w:r>
              <w:rPr>
                <w:rFonts w:hint="eastAsia"/>
              </w:rPr>
              <w:tab/>
            </w:r>
            <w:r>
              <w:rPr>
                <w:rFonts w:hint="eastAsia"/>
              </w:rPr>
              <w:t>特别报告员介绍第三次报告</w:t>
            </w:r>
            <w:r w:rsidR="00ED0D15">
              <w:tab/>
            </w:r>
          </w:p>
        </w:tc>
        <w:tc>
          <w:tcPr>
            <w:tcW w:w="696" w:type="dxa"/>
            <w:vAlign w:val="bottom"/>
          </w:tcPr>
          <w:p w:rsidR="000F7D03" w:rsidRDefault="000402B4" w:rsidP="000402B4">
            <w:pPr>
              <w:spacing w:after="120"/>
              <w:ind w:right="28"/>
              <w:jc w:val="right"/>
            </w:pPr>
            <w:r>
              <w:rPr>
                <w:rFonts w:hint="eastAsia"/>
              </w:rPr>
              <w:t>40</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right" w:leader="dot" w:pos="9371"/>
              </w:tabs>
              <w:spacing w:after="120"/>
              <w:ind w:left="1722"/>
            </w:pPr>
            <w:r>
              <w:rPr>
                <w:rFonts w:hint="eastAsia"/>
              </w:rPr>
              <w:t>2.</w:t>
            </w:r>
            <w:r>
              <w:rPr>
                <w:rFonts w:hint="eastAsia"/>
              </w:rPr>
              <w:tab/>
            </w:r>
            <w:r>
              <w:rPr>
                <w:rFonts w:hint="eastAsia"/>
              </w:rPr>
              <w:t>辩论摘要</w:t>
            </w:r>
            <w:r w:rsidR="00142E6B">
              <w:tab/>
            </w:r>
          </w:p>
        </w:tc>
        <w:tc>
          <w:tcPr>
            <w:tcW w:w="696" w:type="dxa"/>
            <w:vAlign w:val="bottom"/>
          </w:tcPr>
          <w:p w:rsidR="000F7D03" w:rsidRDefault="000402B4">
            <w:pPr>
              <w:spacing w:after="120"/>
              <w:ind w:right="28"/>
              <w:jc w:val="right"/>
            </w:pPr>
            <w:r>
              <w:rPr>
                <w:rFonts w:hint="eastAsia"/>
              </w:rPr>
              <w:t>42</w:t>
            </w:r>
          </w:p>
        </w:tc>
      </w:tr>
      <w:tr w:rsidR="000F7D03" w:rsidTr="00AD704A">
        <w:trPr>
          <w:cantSplit/>
        </w:trPr>
        <w:tc>
          <w:tcPr>
            <w:tcW w:w="9369" w:type="dxa"/>
            <w:gridSpan w:val="3"/>
          </w:tcPr>
          <w:p w:rsidR="000F7D03" w:rsidRPr="00142E6B" w:rsidRDefault="000F7D03" w:rsidP="00142E6B">
            <w:pPr>
              <w:tabs>
                <w:tab w:val="right" w:pos="1080"/>
                <w:tab w:val="left" w:pos="1296"/>
                <w:tab w:val="left" w:pos="1728"/>
                <w:tab w:val="left" w:pos="2160"/>
                <w:tab w:val="left" w:pos="2592"/>
                <w:tab w:val="left" w:pos="3024"/>
                <w:tab w:val="right" w:leader="dot" w:pos="9371"/>
              </w:tabs>
              <w:spacing w:after="120"/>
              <w:ind w:left="2170"/>
            </w:pPr>
            <w:r>
              <w:rPr>
                <w:rFonts w:hint="eastAsia"/>
              </w:rPr>
              <w:t>(a)</w:t>
            </w:r>
            <w:r>
              <w:rPr>
                <w:rFonts w:hint="eastAsia"/>
              </w:rPr>
              <w:tab/>
            </w:r>
            <w:r>
              <w:rPr>
                <w:rFonts w:hint="eastAsia"/>
              </w:rPr>
              <w:t>一般评论</w:t>
            </w:r>
            <w:r w:rsidR="00142E6B">
              <w:tab/>
            </w:r>
          </w:p>
        </w:tc>
        <w:tc>
          <w:tcPr>
            <w:tcW w:w="696" w:type="dxa"/>
            <w:vAlign w:val="bottom"/>
          </w:tcPr>
          <w:p w:rsidR="000F7D03" w:rsidRDefault="000402B4">
            <w:pPr>
              <w:spacing w:after="120"/>
              <w:ind w:right="28"/>
              <w:jc w:val="right"/>
            </w:pPr>
            <w:r>
              <w:rPr>
                <w:rFonts w:hint="eastAsia"/>
              </w:rPr>
              <w:t>42</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2170"/>
            </w:pPr>
            <w:r>
              <w:rPr>
                <w:rFonts w:hint="eastAsia"/>
              </w:rPr>
              <w:t>(b)</w:t>
            </w:r>
            <w:r>
              <w:rPr>
                <w:rFonts w:hint="eastAsia"/>
              </w:rPr>
              <w:tab/>
            </w:r>
            <w:r>
              <w:rPr>
                <w:rFonts w:hint="eastAsia"/>
              </w:rPr>
              <w:t>两组成要素之间的关系</w:t>
            </w:r>
            <w:r w:rsidR="00142E6B">
              <w:tab/>
            </w:r>
          </w:p>
        </w:tc>
        <w:tc>
          <w:tcPr>
            <w:tcW w:w="696" w:type="dxa"/>
            <w:vAlign w:val="bottom"/>
          </w:tcPr>
          <w:p w:rsidR="000F7D03" w:rsidRDefault="000402B4">
            <w:pPr>
              <w:spacing w:after="120"/>
              <w:ind w:right="28"/>
              <w:jc w:val="right"/>
            </w:pPr>
            <w:r>
              <w:rPr>
                <w:rFonts w:hint="eastAsia"/>
              </w:rPr>
              <w:t>42</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ind w:left="2170"/>
            </w:pPr>
            <w:r>
              <w:rPr>
                <w:rFonts w:hint="eastAsia"/>
              </w:rPr>
              <w:t>(c)</w:t>
            </w:r>
            <w:r>
              <w:rPr>
                <w:rFonts w:hint="eastAsia"/>
              </w:rPr>
              <w:tab/>
            </w:r>
            <w:r>
              <w:rPr>
                <w:rFonts w:hint="eastAsia"/>
              </w:rPr>
              <w:t>不作为被视作惯例和</w:t>
            </w:r>
            <w:r>
              <w:rPr>
                <w:rFonts w:hint="eastAsia"/>
              </w:rPr>
              <w:t>(</w:t>
            </w:r>
            <w:r>
              <w:rPr>
                <w:rFonts w:hint="eastAsia"/>
              </w:rPr>
              <w:t>或</w:t>
            </w:r>
            <w:r>
              <w:rPr>
                <w:rFonts w:hint="eastAsia"/>
              </w:rPr>
              <w:t>)</w:t>
            </w:r>
            <w:r>
              <w:rPr>
                <w:rFonts w:hint="eastAsia"/>
              </w:rPr>
              <w:t>接受为法律</w:t>
            </w:r>
            <w:r>
              <w:rPr>
                <w:rFonts w:hint="eastAsia"/>
              </w:rPr>
              <w:t>(</w:t>
            </w:r>
            <w:r>
              <w:rPr>
                <w:rFonts w:hint="eastAsia"/>
              </w:rPr>
              <w:t>法律确信</w:t>
            </w:r>
            <w:r>
              <w:rPr>
                <w:rFonts w:hint="eastAsia"/>
              </w:rPr>
              <w:t>)</w:t>
            </w:r>
            <w:r>
              <w:rPr>
                <w:rFonts w:hint="eastAsia"/>
              </w:rPr>
              <w:t>的证据</w:t>
            </w:r>
            <w:r w:rsidR="00142E6B">
              <w:tab/>
            </w:r>
          </w:p>
        </w:tc>
        <w:tc>
          <w:tcPr>
            <w:tcW w:w="696" w:type="dxa"/>
            <w:vAlign w:val="bottom"/>
          </w:tcPr>
          <w:p w:rsidR="000F7D03" w:rsidRDefault="000402B4" w:rsidP="000402B4">
            <w:pPr>
              <w:spacing w:after="120"/>
              <w:ind w:right="28"/>
              <w:jc w:val="right"/>
            </w:pPr>
            <w:r>
              <w:rPr>
                <w:rFonts w:hint="eastAsia"/>
              </w:rPr>
              <w:t>42</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2170"/>
            </w:pPr>
            <w:r>
              <w:rPr>
                <w:rFonts w:hint="eastAsia"/>
              </w:rPr>
              <w:t>(d)</w:t>
            </w:r>
            <w:r>
              <w:rPr>
                <w:rFonts w:hint="eastAsia"/>
              </w:rPr>
              <w:tab/>
            </w:r>
            <w:r>
              <w:rPr>
                <w:rFonts w:hint="eastAsia"/>
              </w:rPr>
              <w:t>条约和决议的作用</w:t>
            </w:r>
            <w:r w:rsidR="00142E6B">
              <w:tab/>
            </w:r>
          </w:p>
        </w:tc>
        <w:tc>
          <w:tcPr>
            <w:tcW w:w="696" w:type="dxa"/>
            <w:vAlign w:val="bottom"/>
          </w:tcPr>
          <w:p w:rsidR="000F7D03" w:rsidRDefault="000402B4">
            <w:pPr>
              <w:spacing w:after="120"/>
              <w:ind w:right="28"/>
              <w:jc w:val="right"/>
            </w:pPr>
            <w:r>
              <w:rPr>
                <w:rFonts w:hint="eastAsia"/>
              </w:rPr>
              <w:t>43</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2170"/>
            </w:pPr>
            <w:r>
              <w:rPr>
                <w:rFonts w:hint="eastAsia"/>
              </w:rPr>
              <w:t>(e)</w:t>
            </w:r>
            <w:r>
              <w:rPr>
                <w:rFonts w:hint="eastAsia"/>
              </w:rPr>
              <w:tab/>
            </w:r>
            <w:r>
              <w:rPr>
                <w:rFonts w:hint="eastAsia"/>
              </w:rPr>
              <w:t>司法裁决和论著</w:t>
            </w:r>
            <w:r w:rsidR="00142E6B">
              <w:tab/>
            </w:r>
          </w:p>
        </w:tc>
        <w:tc>
          <w:tcPr>
            <w:tcW w:w="696" w:type="dxa"/>
            <w:vAlign w:val="bottom"/>
          </w:tcPr>
          <w:p w:rsidR="000F7D03" w:rsidRDefault="000402B4" w:rsidP="000402B4">
            <w:pPr>
              <w:spacing w:after="120"/>
              <w:ind w:right="28"/>
              <w:jc w:val="right"/>
            </w:pPr>
            <w:r>
              <w:rPr>
                <w:rFonts w:hint="eastAsia"/>
              </w:rPr>
              <w:t>43</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ind w:left="2170"/>
            </w:pPr>
            <w:r>
              <w:rPr>
                <w:rFonts w:hint="eastAsia"/>
              </w:rPr>
              <w:t>(f)</w:t>
            </w:r>
            <w:r>
              <w:rPr>
                <w:rFonts w:hint="eastAsia"/>
              </w:rPr>
              <w:tab/>
            </w:r>
            <w:r>
              <w:rPr>
                <w:rFonts w:hint="eastAsia"/>
              </w:rPr>
              <w:t>国际组织和非国家行为者的相关性</w:t>
            </w:r>
            <w:r w:rsidR="00142E6B">
              <w:tab/>
            </w:r>
          </w:p>
        </w:tc>
        <w:tc>
          <w:tcPr>
            <w:tcW w:w="696" w:type="dxa"/>
            <w:vAlign w:val="bottom"/>
          </w:tcPr>
          <w:p w:rsidR="000F7D03" w:rsidRDefault="000402B4">
            <w:pPr>
              <w:spacing w:after="120"/>
              <w:ind w:right="28"/>
              <w:jc w:val="right"/>
            </w:pPr>
            <w:r>
              <w:rPr>
                <w:rFonts w:hint="eastAsia"/>
              </w:rPr>
              <w:t>44</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right" w:leader="dot" w:pos="9371"/>
              </w:tabs>
              <w:spacing w:after="120"/>
              <w:ind w:left="2170"/>
            </w:pPr>
            <w:r>
              <w:rPr>
                <w:rFonts w:hint="eastAsia"/>
              </w:rPr>
              <w:t>(g)</w:t>
            </w:r>
            <w:r>
              <w:rPr>
                <w:rFonts w:hint="eastAsia"/>
              </w:rPr>
              <w:tab/>
            </w:r>
            <w:r>
              <w:rPr>
                <w:rFonts w:hint="eastAsia"/>
              </w:rPr>
              <w:t>特别习惯</w:t>
            </w:r>
            <w:r w:rsidR="00142E6B">
              <w:tab/>
            </w:r>
          </w:p>
        </w:tc>
        <w:tc>
          <w:tcPr>
            <w:tcW w:w="696" w:type="dxa"/>
            <w:vAlign w:val="bottom"/>
          </w:tcPr>
          <w:p w:rsidR="000F7D03" w:rsidRDefault="000402B4" w:rsidP="000402B4">
            <w:pPr>
              <w:spacing w:after="120"/>
              <w:ind w:right="28"/>
              <w:jc w:val="right"/>
            </w:pPr>
            <w:r>
              <w:rPr>
                <w:rFonts w:hint="eastAsia"/>
              </w:rPr>
              <w:t>44</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(h)</w:t>
            </w:r>
            <w:r>
              <w:rPr>
                <w:rFonts w:hint="eastAsia"/>
              </w:rPr>
              <w:tab/>
            </w:r>
            <w:r>
              <w:rPr>
                <w:rFonts w:hint="eastAsia"/>
              </w:rPr>
              <w:t>一贯反对者</w:t>
            </w:r>
            <w:r w:rsidR="00142E6B">
              <w:tab/>
            </w:r>
          </w:p>
        </w:tc>
        <w:tc>
          <w:tcPr>
            <w:tcW w:w="696" w:type="dxa"/>
            <w:vAlign w:val="bottom"/>
          </w:tcPr>
          <w:p w:rsidR="000F7D03" w:rsidRDefault="000402B4">
            <w:pPr>
              <w:spacing w:after="120"/>
              <w:ind w:right="28"/>
              <w:jc w:val="right"/>
            </w:pPr>
            <w:r>
              <w:rPr>
                <w:rFonts w:hint="eastAsia"/>
              </w:rPr>
              <w:t>45</w:t>
            </w:r>
          </w:p>
        </w:tc>
      </w:tr>
      <w:tr w:rsidR="000F7D03" w:rsidTr="00AD704A">
        <w:trPr>
          <w:cantSplit/>
        </w:trPr>
        <w:tc>
          <w:tcPr>
            <w:tcW w:w="9369" w:type="dxa"/>
            <w:gridSpan w:val="3"/>
          </w:tcPr>
          <w:p w:rsidR="000F7D03" w:rsidRPr="00142E6B" w:rsidRDefault="00AF077A"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(i)</w:t>
            </w:r>
            <w:r>
              <w:rPr>
                <w:rFonts w:hint="eastAsia"/>
              </w:rPr>
              <w:tab/>
            </w:r>
            <w:r>
              <w:rPr>
                <w:rFonts w:hint="eastAsia"/>
              </w:rPr>
              <w:t>今后工作方案</w:t>
            </w:r>
            <w:r w:rsidR="00142E6B">
              <w:tab/>
            </w:r>
          </w:p>
        </w:tc>
        <w:tc>
          <w:tcPr>
            <w:tcW w:w="696" w:type="dxa"/>
            <w:vAlign w:val="bottom"/>
          </w:tcPr>
          <w:p w:rsidR="000F7D03" w:rsidRDefault="000402B4">
            <w:pPr>
              <w:spacing w:after="120"/>
              <w:ind w:right="28"/>
              <w:jc w:val="right"/>
            </w:pPr>
            <w:r>
              <w:rPr>
                <w:rFonts w:hint="eastAsia"/>
              </w:rPr>
              <w:t>45</w:t>
            </w:r>
          </w:p>
        </w:tc>
      </w:tr>
      <w:tr w:rsidR="0034676B" w:rsidTr="00AD704A">
        <w:trPr>
          <w:cantSplit/>
        </w:trPr>
        <w:tc>
          <w:tcPr>
            <w:tcW w:w="9369" w:type="dxa"/>
            <w:gridSpan w:val="3"/>
          </w:tcPr>
          <w:p w:rsidR="0034676B" w:rsidRPr="0034676B" w:rsidRDefault="0034676B" w:rsidP="0034676B">
            <w:pPr>
              <w:tabs>
                <w:tab w:val="right" w:pos="1080"/>
                <w:tab w:val="left" w:pos="1296"/>
                <w:tab w:val="left" w:pos="1728"/>
                <w:tab w:val="left" w:pos="2160"/>
                <w:tab w:val="left" w:pos="2592"/>
                <w:tab w:val="left" w:pos="3024"/>
                <w:tab w:val="left" w:pos="3456"/>
                <w:tab w:val="right" w:leader="dot" w:pos="9371"/>
              </w:tabs>
              <w:spacing w:after="120"/>
              <w:ind w:left="1722"/>
            </w:pPr>
            <w:r>
              <w:rPr>
                <w:rFonts w:hint="eastAsia"/>
              </w:rPr>
              <w:t>3.</w:t>
            </w:r>
            <w:r>
              <w:rPr>
                <w:rFonts w:hint="eastAsia"/>
              </w:rPr>
              <w:tab/>
            </w:r>
            <w:r>
              <w:rPr>
                <w:rFonts w:hint="eastAsia"/>
              </w:rPr>
              <w:t>特别报告员的总结</w:t>
            </w:r>
            <w:r>
              <w:tab/>
            </w:r>
          </w:p>
        </w:tc>
        <w:tc>
          <w:tcPr>
            <w:tcW w:w="696" w:type="dxa"/>
            <w:vAlign w:val="bottom"/>
          </w:tcPr>
          <w:p w:rsidR="0034676B" w:rsidRDefault="000402B4" w:rsidP="000402B4">
            <w:pPr>
              <w:spacing w:after="120"/>
              <w:ind w:right="28"/>
              <w:jc w:val="right"/>
            </w:pPr>
            <w:r>
              <w:rPr>
                <w:rFonts w:hint="eastAsia"/>
              </w:rPr>
              <w:t>45</w:t>
            </w:r>
          </w:p>
        </w:tc>
      </w:tr>
      <w:tr w:rsidR="000F7D03" w:rsidTr="00AD704A">
        <w:trPr>
          <w:cantSplit/>
        </w:trPr>
        <w:tc>
          <w:tcPr>
            <w:tcW w:w="9369" w:type="dxa"/>
            <w:gridSpan w:val="3"/>
          </w:tcPr>
          <w:p w:rsidR="000F7D03" w:rsidRPr="00E31F78" w:rsidRDefault="00AF077A" w:rsidP="00E31F78">
            <w:pPr>
              <w:tabs>
                <w:tab w:val="right" w:pos="1080"/>
                <w:tab w:val="left" w:pos="1296"/>
                <w:tab w:val="left" w:pos="1728"/>
                <w:tab w:val="left" w:pos="2160"/>
                <w:tab w:val="right" w:leader="dot" w:pos="9371"/>
              </w:tabs>
              <w:spacing w:after="120"/>
              <w:ind w:left="1080" w:hanging="229"/>
            </w:pPr>
            <w:r>
              <w:rPr>
                <w:rFonts w:hint="eastAsia"/>
              </w:rPr>
              <w:t>七</w:t>
            </w:r>
            <w:r>
              <w:rPr>
                <w:rFonts w:hint="eastAsia"/>
              </w:rPr>
              <w:t>.</w:t>
            </w:r>
            <w:r w:rsidR="00E31F78">
              <w:rPr>
                <w:rFonts w:hint="eastAsia"/>
              </w:rPr>
              <w:t xml:space="preserve">  </w:t>
            </w:r>
            <w:r>
              <w:rPr>
                <w:rFonts w:hint="eastAsia"/>
              </w:rPr>
              <w:t>危害人类罪</w:t>
            </w:r>
            <w:r w:rsidR="00E31F78">
              <w:tab/>
            </w:r>
          </w:p>
        </w:tc>
        <w:tc>
          <w:tcPr>
            <w:tcW w:w="696" w:type="dxa"/>
            <w:vAlign w:val="bottom"/>
          </w:tcPr>
          <w:p w:rsidR="000F7D03" w:rsidRDefault="000402B4">
            <w:pPr>
              <w:spacing w:after="120"/>
              <w:ind w:right="28"/>
              <w:jc w:val="right"/>
            </w:pPr>
            <w:r>
              <w:rPr>
                <w:rFonts w:hint="eastAsia"/>
              </w:rPr>
              <w:t>47</w:t>
            </w:r>
          </w:p>
        </w:tc>
      </w:tr>
      <w:tr w:rsidR="00AF077A" w:rsidTr="00AD704A">
        <w:trPr>
          <w:cantSplit/>
        </w:trPr>
        <w:tc>
          <w:tcPr>
            <w:tcW w:w="9369" w:type="dxa"/>
            <w:gridSpan w:val="3"/>
          </w:tcPr>
          <w:p w:rsidR="00AF077A" w:rsidRPr="00ED0D15" w:rsidRDefault="00AF077A" w:rsidP="00ED0D15">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ED0D15">
              <w:tab/>
            </w:r>
          </w:p>
        </w:tc>
        <w:tc>
          <w:tcPr>
            <w:tcW w:w="696" w:type="dxa"/>
            <w:vAlign w:val="bottom"/>
          </w:tcPr>
          <w:p w:rsidR="00AF077A" w:rsidRDefault="000402B4" w:rsidP="000402B4">
            <w:pPr>
              <w:spacing w:after="120"/>
              <w:ind w:right="28"/>
              <w:jc w:val="right"/>
            </w:pPr>
            <w:r>
              <w:rPr>
                <w:rFonts w:hint="eastAsia"/>
              </w:rPr>
              <w:t>47</w:t>
            </w:r>
          </w:p>
        </w:tc>
      </w:tr>
      <w:tr w:rsidR="00AF077A" w:rsidTr="00AD704A">
        <w:trPr>
          <w:cantSplit/>
        </w:trPr>
        <w:tc>
          <w:tcPr>
            <w:tcW w:w="9369" w:type="dxa"/>
            <w:gridSpan w:val="3"/>
          </w:tcPr>
          <w:p w:rsidR="00AF077A" w:rsidRPr="00ED0D15" w:rsidRDefault="00AF077A" w:rsidP="00ED0D15">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ED0D15">
              <w:tab/>
            </w:r>
          </w:p>
        </w:tc>
        <w:tc>
          <w:tcPr>
            <w:tcW w:w="696" w:type="dxa"/>
            <w:vAlign w:val="bottom"/>
          </w:tcPr>
          <w:p w:rsidR="00AF077A" w:rsidRDefault="000402B4" w:rsidP="000402B4">
            <w:pPr>
              <w:spacing w:after="120"/>
              <w:ind w:right="28"/>
              <w:jc w:val="right"/>
            </w:pPr>
            <w:r>
              <w:rPr>
                <w:rFonts w:hint="eastAsia"/>
              </w:rPr>
              <w:t>47</w:t>
            </w:r>
          </w:p>
        </w:tc>
      </w:tr>
      <w:tr w:rsidR="00AF077A" w:rsidTr="00AD704A">
        <w:trPr>
          <w:cantSplit/>
        </w:trPr>
        <w:tc>
          <w:tcPr>
            <w:tcW w:w="9369" w:type="dxa"/>
            <w:gridSpan w:val="3"/>
          </w:tcPr>
          <w:p w:rsidR="00AF077A" w:rsidRPr="00ED0D15" w:rsidRDefault="00AF077A" w:rsidP="00ED0D15">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71"/>
              </w:tabs>
              <w:spacing w:after="120"/>
              <w:ind w:left="1080" w:firstLine="264"/>
            </w:pPr>
            <w:r>
              <w:rPr>
                <w:rFonts w:hint="eastAsia"/>
              </w:rPr>
              <w:t>C.</w:t>
            </w:r>
            <w:r>
              <w:rPr>
                <w:rFonts w:hint="eastAsia"/>
              </w:rPr>
              <w:tab/>
            </w:r>
            <w:r>
              <w:rPr>
                <w:rFonts w:hint="eastAsia"/>
              </w:rPr>
              <w:t>委员会第六十七届会议暂时通过的危害人类罪条款草案案文</w:t>
            </w:r>
            <w:r w:rsidR="00ED0D15">
              <w:tab/>
            </w:r>
          </w:p>
        </w:tc>
        <w:tc>
          <w:tcPr>
            <w:tcW w:w="696" w:type="dxa"/>
            <w:vAlign w:val="bottom"/>
          </w:tcPr>
          <w:p w:rsidR="00AF077A" w:rsidRDefault="000402B4">
            <w:pPr>
              <w:spacing w:after="120"/>
              <w:ind w:right="28"/>
              <w:jc w:val="right"/>
            </w:pPr>
            <w:r>
              <w:rPr>
                <w:rFonts w:hint="eastAsia"/>
              </w:rPr>
              <w:t>48</w:t>
            </w:r>
          </w:p>
        </w:tc>
      </w:tr>
      <w:tr w:rsidR="00AF077A" w:rsidTr="00AD704A">
        <w:trPr>
          <w:cantSplit/>
        </w:trPr>
        <w:tc>
          <w:tcPr>
            <w:tcW w:w="9369" w:type="dxa"/>
            <w:gridSpan w:val="3"/>
          </w:tcPr>
          <w:p w:rsidR="00AF077A" w:rsidRPr="00ED0D15" w:rsidRDefault="00AF077A" w:rsidP="00ED0D15">
            <w:pPr>
              <w:tabs>
                <w:tab w:val="right" w:pos="1080"/>
                <w:tab w:val="left" w:pos="1296"/>
                <w:tab w:val="left" w:pos="1728"/>
                <w:tab w:val="left" w:pos="2160"/>
                <w:tab w:val="left" w:pos="2592"/>
                <w:tab w:val="left" w:pos="3024"/>
                <w:tab w:val="right" w:leader="dot" w:pos="9371"/>
              </w:tabs>
              <w:spacing w:after="120"/>
              <w:ind w:left="1722"/>
            </w:pPr>
            <w:r>
              <w:rPr>
                <w:rFonts w:hint="eastAsia"/>
              </w:rPr>
              <w:t>1.</w:t>
            </w:r>
            <w:r>
              <w:rPr>
                <w:rFonts w:hint="eastAsia"/>
              </w:rPr>
              <w:tab/>
            </w:r>
            <w:r>
              <w:rPr>
                <w:rFonts w:hint="eastAsia"/>
              </w:rPr>
              <w:t>条款草案案文</w:t>
            </w:r>
            <w:r w:rsidR="00ED0D15">
              <w:tab/>
            </w:r>
          </w:p>
        </w:tc>
        <w:tc>
          <w:tcPr>
            <w:tcW w:w="696" w:type="dxa"/>
            <w:vAlign w:val="bottom"/>
          </w:tcPr>
          <w:p w:rsidR="00AF077A" w:rsidRDefault="000402B4">
            <w:pPr>
              <w:spacing w:after="120"/>
              <w:ind w:right="28"/>
              <w:jc w:val="right"/>
            </w:pPr>
            <w:r>
              <w:rPr>
                <w:rFonts w:hint="eastAsia"/>
              </w:rPr>
              <w:t>48</w:t>
            </w:r>
          </w:p>
        </w:tc>
      </w:tr>
      <w:tr w:rsidR="00AF077A" w:rsidTr="00AD704A">
        <w:trPr>
          <w:cantSplit/>
        </w:trPr>
        <w:tc>
          <w:tcPr>
            <w:tcW w:w="9369" w:type="dxa"/>
            <w:gridSpan w:val="3"/>
          </w:tcPr>
          <w:p w:rsidR="00AF077A" w:rsidRPr="00ED0D15" w:rsidRDefault="00AF077A" w:rsidP="00ED0D15">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ind w:left="1722"/>
            </w:pPr>
            <w:r>
              <w:rPr>
                <w:rFonts w:hint="eastAsia"/>
              </w:rPr>
              <w:t>2.</w:t>
            </w:r>
            <w:r>
              <w:rPr>
                <w:rFonts w:hint="eastAsia"/>
              </w:rPr>
              <w:tab/>
            </w:r>
            <w:r>
              <w:rPr>
                <w:rFonts w:hint="eastAsia"/>
              </w:rPr>
              <w:t>委员会第六十七届会议暂时通过的条款草案案文及其评注</w:t>
            </w:r>
            <w:r w:rsidR="00ED0D15">
              <w:tab/>
            </w:r>
          </w:p>
        </w:tc>
        <w:tc>
          <w:tcPr>
            <w:tcW w:w="696" w:type="dxa"/>
            <w:vAlign w:val="bottom"/>
          </w:tcPr>
          <w:p w:rsidR="00AF077A" w:rsidRDefault="000402B4">
            <w:pPr>
              <w:spacing w:after="120"/>
              <w:ind w:right="28"/>
              <w:jc w:val="right"/>
            </w:pPr>
            <w:r>
              <w:rPr>
                <w:rFonts w:hint="eastAsia"/>
              </w:rPr>
              <w:t>50</w:t>
            </w:r>
          </w:p>
        </w:tc>
      </w:tr>
      <w:tr w:rsidR="00AF077A" w:rsidTr="00AD704A">
        <w:trPr>
          <w:cantSplit/>
        </w:trPr>
        <w:tc>
          <w:tcPr>
            <w:tcW w:w="9369" w:type="dxa"/>
            <w:gridSpan w:val="3"/>
          </w:tcPr>
          <w:p w:rsidR="00AF077A" w:rsidRPr="00F34E50" w:rsidRDefault="00AF077A" w:rsidP="00F34E50">
            <w:pPr>
              <w:tabs>
                <w:tab w:val="right" w:pos="1080"/>
                <w:tab w:val="left" w:pos="1296"/>
                <w:tab w:val="left" w:pos="1728"/>
                <w:tab w:val="left" w:pos="2160"/>
                <w:tab w:val="left" w:pos="2592"/>
                <w:tab w:val="left" w:pos="3024"/>
                <w:tab w:val="right" w:leader="dot" w:pos="9371"/>
              </w:tabs>
              <w:spacing w:after="120"/>
              <w:ind w:left="2142"/>
            </w:pPr>
            <w:r>
              <w:rPr>
                <w:rFonts w:hint="eastAsia"/>
              </w:rPr>
              <w:t>第</w:t>
            </w:r>
            <w:r>
              <w:rPr>
                <w:rFonts w:hint="eastAsia"/>
              </w:rPr>
              <w:t>1</w:t>
            </w:r>
            <w:r>
              <w:rPr>
                <w:rFonts w:hint="eastAsia"/>
              </w:rPr>
              <w:t>条</w:t>
            </w:r>
            <w:r>
              <w:rPr>
                <w:rFonts w:hint="eastAsia"/>
              </w:rPr>
              <w:t xml:space="preserve"> </w:t>
            </w:r>
            <w:r w:rsidR="00ED0D15">
              <w:rPr>
                <w:rFonts w:hint="eastAsia"/>
              </w:rPr>
              <w:t xml:space="preserve"> </w:t>
            </w:r>
            <w:r>
              <w:rPr>
                <w:rFonts w:hint="eastAsia"/>
              </w:rPr>
              <w:t>范围</w:t>
            </w:r>
            <w:r w:rsidR="00F34E50">
              <w:tab/>
            </w:r>
          </w:p>
        </w:tc>
        <w:tc>
          <w:tcPr>
            <w:tcW w:w="696" w:type="dxa"/>
            <w:vAlign w:val="bottom"/>
          </w:tcPr>
          <w:p w:rsidR="00AF077A" w:rsidRDefault="000402B4" w:rsidP="000402B4">
            <w:pPr>
              <w:spacing w:after="120"/>
              <w:ind w:right="28"/>
              <w:jc w:val="right"/>
            </w:pPr>
            <w:r>
              <w:rPr>
                <w:rFonts w:hint="eastAsia"/>
              </w:rPr>
              <w:t>50</w:t>
            </w:r>
          </w:p>
        </w:tc>
      </w:tr>
      <w:tr w:rsidR="00AF077A" w:rsidTr="00AD704A">
        <w:trPr>
          <w:cantSplit/>
        </w:trPr>
        <w:tc>
          <w:tcPr>
            <w:tcW w:w="9369" w:type="dxa"/>
            <w:gridSpan w:val="3"/>
          </w:tcPr>
          <w:p w:rsidR="00AF077A" w:rsidRPr="00142E6B" w:rsidRDefault="00AA5C75" w:rsidP="00142E6B">
            <w:pPr>
              <w:tabs>
                <w:tab w:val="right" w:pos="1080"/>
                <w:tab w:val="left" w:pos="1296"/>
                <w:tab w:val="left" w:pos="1728"/>
                <w:tab w:val="left" w:pos="2160"/>
                <w:tab w:val="left" w:pos="2592"/>
                <w:tab w:val="left" w:pos="3024"/>
                <w:tab w:val="right" w:leader="dot" w:pos="9371"/>
              </w:tabs>
              <w:spacing w:after="120"/>
              <w:ind w:left="2940" w:firstLine="56"/>
            </w:pPr>
            <w:r>
              <w:rPr>
                <w:rFonts w:hint="eastAsia"/>
              </w:rPr>
              <w:lastRenderedPageBreak/>
              <w:t>评注</w:t>
            </w:r>
            <w:r w:rsidR="00142E6B">
              <w:tab/>
            </w:r>
          </w:p>
        </w:tc>
        <w:tc>
          <w:tcPr>
            <w:tcW w:w="696" w:type="dxa"/>
            <w:vAlign w:val="bottom"/>
          </w:tcPr>
          <w:p w:rsidR="00AF077A" w:rsidRDefault="000402B4" w:rsidP="000402B4">
            <w:pPr>
              <w:spacing w:after="120"/>
              <w:ind w:right="28"/>
              <w:jc w:val="right"/>
            </w:pPr>
            <w:r>
              <w:rPr>
                <w:rFonts w:hint="eastAsia"/>
              </w:rPr>
              <w:t>50</w:t>
            </w:r>
          </w:p>
        </w:tc>
      </w:tr>
      <w:tr w:rsidR="000F7D03" w:rsidTr="00AD704A">
        <w:trPr>
          <w:cantSplit/>
        </w:trPr>
        <w:tc>
          <w:tcPr>
            <w:tcW w:w="9369" w:type="dxa"/>
            <w:gridSpan w:val="3"/>
          </w:tcPr>
          <w:p w:rsidR="000F7D03" w:rsidRPr="00142E6B" w:rsidRDefault="00AA5C75" w:rsidP="00142E6B">
            <w:pPr>
              <w:tabs>
                <w:tab w:val="right" w:pos="1080"/>
                <w:tab w:val="left" w:pos="1296"/>
                <w:tab w:val="left" w:pos="1728"/>
                <w:tab w:val="left" w:pos="2160"/>
                <w:tab w:val="left" w:pos="2592"/>
                <w:tab w:val="left" w:pos="3024"/>
                <w:tab w:val="left" w:pos="3456"/>
                <w:tab w:val="right" w:leader="dot" w:pos="9371"/>
              </w:tabs>
              <w:spacing w:after="120"/>
              <w:ind w:left="2142"/>
            </w:pPr>
            <w:r>
              <w:rPr>
                <w:rFonts w:hint="eastAsia"/>
              </w:rPr>
              <w:t>第</w:t>
            </w:r>
            <w:r>
              <w:rPr>
                <w:rFonts w:hint="eastAsia"/>
              </w:rPr>
              <w:t>2</w:t>
            </w:r>
            <w:r>
              <w:rPr>
                <w:rFonts w:hint="eastAsia"/>
              </w:rPr>
              <w:t>条</w:t>
            </w:r>
            <w:r>
              <w:rPr>
                <w:rFonts w:hint="eastAsia"/>
              </w:rPr>
              <w:t xml:space="preserve"> </w:t>
            </w:r>
            <w:r w:rsidR="00ED0D15">
              <w:rPr>
                <w:rFonts w:hint="eastAsia"/>
              </w:rPr>
              <w:t xml:space="preserve"> </w:t>
            </w:r>
            <w:r>
              <w:rPr>
                <w:rFonts w:hint="eastAsia"/>
              </w:rPr>
              <w:t>一般义务</w:t>
            </w:r>
            <w:r w:rsidR="00142E6B">
              <w:tab/>
            </w:r>
          </w:p>
        </w:tc>
        <w:tc>
          <w:tcPr>
            <w:tcW w:w="696" w:type="dxa"/>
            <w:vAlign w:val="bottom"/>
          </w:tcPr>
          <w:p w:rsidR="000F7D03" w:rsidRDefault="000402B4">
            <w:pPr>
              <w:spacing w:after="120"/>
              <w:ind w:right="28"/>
              <w:jc w:val="right"/>
            </w:pPr>
            <w:r>
              <w:rPr>
                <w:rFonts w:hint="eastAsia"/>
              </w:rPr>
              <w:t>51</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right" w:leader="dot" w:pos="9371"/>
              </w:tabs>
              <w:spacing w:after="120"/>
              <w:ind w:left="2940" w:firstLine="56"/>
            </w:pPr>
            <w:r>
              <w:rPr>
                <w:rFonts w:hint="eastAsia"/>
              </w:rPr>
              <w:t>评注</w:t>
            </w:r>
            <w:r w:rsidR="00142E6B">
              <w:tab/>
            </w:r>
          </w:p>
        </w:tc>
        <w:tc>
          <w:tcPr>
            <w:tcW w:w="696" w:type="dxa"/>
            <w:vAlign w:val="bottom"/>
          </w:tcPr>
          <w:p w:rsidR="00AA5C75" w:rsidRDefault="000402B4">
            <w:pPr>
              <w:spacing w:after="120"/>
              <w:ind w:right="28"/>
              <w:jc w:val="right"/>
            </w:pPr>
            <w:r>
              <w:rPr>
                <w:rFonts w:hint="eastAsia"/>
              </w:rPr>
              <w:t>51</w:t>
            </w:r>
          </w:p>
        </w:tc>
      </w:tr>
      <w:tr w:rsidR="00AA5C75" w:rsidTr="00AD704A">
        <w:trPr>
          <w:cantSplit/>
        </w:trPr>
        <w:tc>
          <w:tcPr>
            <w:tcW w:w="9369" w:type="dxa"/>
            <w:gridSpan w:val="3"/>
          </w:tcPr>
          <w:p w:rsidR="00AA5C75" w:rsidRPr="000402B4" w:rsidRDefault="00AA5C75" w:rsidP="000402B4">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2142"/>
            </w:pPr>
            <w:r>
              <w:rPr>
                <w:rFonts w:hint="eastAsia"/>
              </w:rPr>
              <w:t>第</w:t>
            </w:r>
            <w:r>
              <w:rPr>
                <w:rFonts w:hint="eastAsia"/>
              </w:rPr>
              <w:t>3</w:t>
            </w:r>
            <w:r>
              <w:rPr>
                <w:rFonts w:hint="eastAsia"/>
              </w:rPr>
              <w:t>条</w:t>
            </w:r>
            <w:r>
              <w:rPr>
                <w:rFonts w:hint="eastAsia"/>
              </w:rPr>
              <w:t xml:space="preserve"> </w:t>
            </w:r>
            <w:r w:rsidR="00ED0D15">
              <w:rPr>
                <w:rFonts w:hint="eastAsia"/>
              </w:rPr>
              <w:t xml:space="preserve"> </w:t>
            </w:r>
            <w:r>
              <w:rPr>
                <w:rFonts w:hint="eastAsia"/>
              </w:rPr>
              <w:t>危害人类罪的定义</w:t>
            </w:r>
            <w:r w:rsidR="000402B4">
              <w:tab/>
            </w:r>
          </w:p>
        </w:tc>
        <w:tc>
          <w:tcPr>
            <w:tcW w:w="696" w:type="dxa"/>
            <w:vAlign w:val="bottom"/>
          </w:tcPr>
          <w:p w:rsidR="00AA5C75" w:rsidRDefault="000402B4">
            <w:pPr>
              <w:spacing w:after="120"/>
              <w:ind w:right="28"/>
              <w:jc w:val="right"/>
            </w:pPr>
            <w:r>
              <w:rPr>
                <w:rFonts w:hint="eastAsia"/>
              </w:rPr>
              <w:t>54</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right" w:leader="dot" w:pos="9371"/>
              </w:tabs>
              <w:spacing w:after="120"/>
              <w:ind w:left="2940" w:firstLine="56"/>
            </w:pPr>
            <w:r>
              <w:rPr>
                <w:rFonts w:hint="eastAsia"/>
              </w:rPr>
              <w:t>评注</w:t>
            </w:r>
            <w:r w:rsidR="00142E6B">
              <w:tab/>
            </w:r>
          </w:p>
        </w:tc>
        <w:tc>
          <w:tcPr>
            <w:tcW w:w="696" w:type="dxa"/>
            <w:vAlign w:val="bottom"/>
          </w:tcPr>
          <w:p w:rsidR="00AA5C75" w:rsidRDefault="000402B4">
            <w:pPr>
              <w:spacing w:after="120"/>
              <w:ind w:right="28"/>
              <w:jc w:val="right"/>
            </w:pPr>
            <w:r>
              <w:rPr>
                <w:rFonts w:hint="eastAsia"/>
              </w:rPr>
              <w:t>55</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left" w:pos="3456"/>
                <w:tab w:val="right" w:leader="dot" w:pos="9371"/>
              </w:tabs>
              <w:spacing w:after="120"/>
              <w:ind w:left="2142"/>
            </w:pPr>
            <w:r>
              <w:rPr>
                <w:rFonts w:hint="eastAsia"/>
              </w:rPr>
              <w:t>第</w:t>
            </w:r>
            <w:r>
              <w:rPr>
                <w:rFonts w:hint="eastAsia"/>
              </w:rPr>
              <w:t>4</w:t>
            </w:r>
            <w:r>
              <w:rPr>
                <w:rFonts w:hint="eastAsia"/>
              </w:rPr>
              <w:t>条</w:t>
            </w:r>
            <w:r>
              <w:rPr>
                <w:rFonts w:hint="eastAsia"/>
              </w:rPr>
              <w:t xml:space="preserve"> </w:t>
            </w:r>
            <w:r w:rsidR="00ED0D15">
              <w:rPr>
                <w:rFonts w:hint="eastAsia"/>
              </w:rPr>
              <w:t xml:space="preserve"> </w:t>
            </w:r>
            <w:r>
              <w:rPr>
                <w:rFonts w:hint="eastAsia"/>
              </w:rPr>
              <w:t>预防义务</w:t>
            </w:r>
            <w:r w:rsidR="00142E6B">
              <w:tab/>
            </w:r>
          </w:p>
        </w:tc>
        <w:tc>
          <w:tcPr>
            <w:tcW w:w="696" w:type="dxa"/>
            <w:vAlign w:val="bottom"/>
          </w:tcPr>
          <w:p w:rsidR="00AA5C75" w:rsidRDefault="000402B4">
            <w:pPr>
              <w:spacing w:after="120"/>
              <w:ind w:right="28"/>
              <w:jc w:val="right"/>
            </w:pPr>
            <w:r>
              <w:rPr>
                <w:rFonts w:hint="eastAsia"/>
              </w:rPr>
              <w:t>70</w:t>
            </w:r>
          </w:p>
        </w:tc>
      </w:tr>
      <w:tr w:rsidR="000F7D03" w:rsidTr="00AD704A">
        <w:trPr>
          <w:cantSplit/>
        </w:trPr>
        <w:tc>
          <w:tcPr>
            <w:tcW w:w="9369" w:type="dxa"/>
            <w:gridSpan w:val="3"/>
          </w:tcPr>
          <w:p w:rsidR="000F7D03" w:rsidRPr="00142E6B" w:rsidRDefault="00AA5C75" w:rsidP="00142E6B">
            <w:pPr>
              <w:tabs>
                <w:tab w:val="right" w:pos="1080"/>
                <w:tab w:val="left" w:pos="1296"/>
                <w:tab w:val="left" w:pos="1728"/>
                <w:tab w:val="left" w:pos="2160"/>
                <w:tab w:val="left" w:pos="2592"/>
                <w:tab w:val="left" w:pos="3024"/>
                <w:tab w:val="right" w:leader="dot" w:pos="9371"/>
              </w:tabs>
              <w:spacing w:after="120"/>
              <w:ind w:left="2940" w:firstLine="56"/>
            </w:pPr>
            <w:r>
              <w:rPr>
                <w:rFonts w:hint="eastAsia"/>
              </w:rPr>
              <w:t>评注</w:t>
            </w:r>
            <w:r w:rsidR="00142E6B">
              <w:tab/>
            </w:r>
          </w:p>
        </w:tc>
        <w:tc>
          <w:tcPr>
            <w:tcW w:w="696" w:type="dxa"/>
            <w:vAlign w:val="bottom"/>
          </w:tcPr>
          <w:p w:rsidR="000F7D03" w:rsidRDefault="000402B4">
            <w:pPr>
              <w:spacing w:after="120"/>
              <w:ind w:right="28"/>
              <w:jc w:val="right"/>
            </w:pPr>
            <w:r>
              <w:rPr>
                <w:rFonts w:hint="eastAsia"/>
              </w:rPr>
              <w:t>70</w:t>
            </w:r>
          </w:p>
        </w:tc>
      </w:tr>
      <w:tr w:rsidR="000F7D03" w:rsidTr="00AD704A">
        <w:trPr>
          <w:cantSplit/>
        </w:trPr>
        <w:tc>
          <w:tcPr>
            <w:tcW w:w="9369" w:type="dxa"/>
            <w:gridSpan w:val="3"/>
          </w:tcPr>
          <w:p w:rsidR="000F7D03" w:rsidRPr="00E31F78" w:rsidRDefault="00AA5C75" w:rsidP="00E31F78">
            <w:p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ind w:left="854"/>
            </w:pPr>
            <w:r>
              <w:rPr>
                <w:rFonts w:hint="eastAsia"/>
              </w:rPr>
              <w:tab/>
            </w:r>
            <w:r>
              <w:rPr>
                <w:rFonts w:hint="eastAsia"/>
              </w:rPr>
              <w:t>八</w:t>
            </w:r>
            <w:r>
              <w:rPr>
                <w:rFonts w:hint="eastAsia"/>
              </w:rPr>
              <w:t xml:space="preserve">. </w:t>
            </w:r>
            <w:r w:rsidR="00E31F78">
              <w:rPr>
                <w:rFonts w:hint="eastAsia"/>
              </w:rPr>
              <w:t xml:space="preserve"> </w:t>
            </w:r>
            <w:r>
              <w:rPr>
                <w:rFonts w:hint="eastAsia"/>
              </w:rPr>
              <w:t>与条约解释相关的嗣后协定和嗣后惯例</w:t>
            </w:r>
            <w:r w:rsidR="00E31F78">
              <w:tab/>
            </w:r>
          </w:p>
        </w:tc>
        <w:tc>
          <w:tcPr>
            <w:tcW w:w="696" w:type="dxa"/>
            <w:vAlign w:val="bottom"/>
          </w:tcPr>
          <w:p w:rsidR="000F7D03" w:rsidRDefault="000402B4">
            <w:pPr>
              <w:spacing w:after="120"/>
              <w:ind w:right="28"/>
              <w:jc w:val="right"/>
            </w:pPr>
            <w:r>
              <w:rPr>
                <w:rFonts w:hint="eastAsia"/>
              </w:rPr>
              <w:t>80</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142E6B">
              <w:tab/>
            </w:r>
          </w:p>
        </w:tc>
        <w:tc>
          <w:tcPr>
            <w:tcW w:w="696" w:type="dxa"/>
            <w:vAlign w:val="bottom"/>
          </w:tcPr>
          <w:p w:rsidR="00AA5C75" w:rsidRDefault="000402B4">
            <w:pPr>
              <w:spacing w:after="120"/>
              <w:ind w:right="28"/>
              <w:jc w:val="right"/>
            </w:pPr>
            <w:r>
              <w:rPr>
                <w:rFonts w:hint="eastAsia"/>
              </w:rPr>
              <w:t>80</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142E6B">
              <w:tab/>
            </w:r>
          </w:p>
        </w:tc>
        <w:tc>
          <w:tcPr>
            <w:tcW w:w="696" w:type="dxa"/>
            <w:vAlign w:val="bottom"/>
          </w:tcPr>
          <w:p w:rsidR="00AA5C75" w:rsidRDefault="000402B4">
            <w:pPr>
              <w:spacing w:after="120"/>
              <w:ind w:right="28"/>
              <w:jc w:val="right"/>
            </w:pPr>
            <w:r>
              <w:rPr>
                <w:rFonts w:hint="eastAsia"/>
              </w:rPr>
              <w:t>81</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722" w:hanging="378"/>
            </w:pPr>
            <w:r>
              <w:rPr>
                <w:rFonts w:hint="eastAsia"/>
              </w:rPr>
              <w:t>C.</w:t>
            </w:r>
            <w:r>
              <w:rPr>
                <w:rFonts w:hint="eastAsia"/>
              </w:rPr>
              <w:tab/>
            </w:r>
            <w:r>
              <w:rPr>
                <w:rFonts w:hint="eastAsia"/>
              </w:rPr>
              <w:t>委员会迄今为止暂时通过的关于与条约解释相关的嗣后协定和</w:t>
            </w:r>
            <w:r w:rsidR="00142E6B">
              <w:br/>
            </w:r>
            <w:r>
              <w:rPr>
                <w:rFonts w:hint="eastAsia"/>
              </w:rPr>
              <w:t>嗣后惯例的结论草案案文</w:t>
            </w:r>
            <w:r w:rsidR="00142E6B">
              <w:tab/>
            </w:r>
          </w:p>
        </w:tc>
        <w:tc>
          <w:tcPr>
            <w:tcW w:w="696" w:type="dxa"/>
            <w:vAlign w:val="bottom"/>
          </w:tcPr>
          <w:p w:rsidR="00AA5C75" w:rsidRDefault="000402B4">
            <w:pPr>
              <w:spacing w:after="120"/>
              <w:ind w:right="28"/>
              <w:jc w:val="right"/>
            </w:pPr>
            <w:r>
              <w:rPr>
                <w:rFonts w:hint="eastAsia"/>
              </w:rPr>
              <w:t>81</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right" w:leader="dot" w:pos="9371"/>
              </w:tabs>
              <w:spacing w:after="120"/>
              <w:ind w:left="1722"/>
            </w:pPr>
            <w:r>
              <w:rPr>
                <w:rFonts w:hint="eastAsia"/>
              </w:rPr>
              <w:t>1.</w:t>
            </w:r>
            <w:r>
              <w:rPr>
                <w:rFonts w:hint="eastAsia"/>
              </w:rPr>
              <w:tab/>
            </w:r>
            <w:r>
              <w:rPr>
                <w:rFonts w:hint="eastAsia"/>
              </w:rPr>
              <w:t>结论草案案文</w:t>
            </w:r>
            <w:r w:rsidR="00142E6B">
              <w:tab/>
            </w:r>
          </w:p>
        </w:tc>
        <w:tc>
          <w:tcPr>
            <w:tcW w:w="696" w:type="dxa"/>
            <w:vAlign w:val="bottom"/>
          </w:tcPr>
          <w:p w:rsidR="00AA5C75" w:rsidRDefault="000402B4">
            <w:pPr>
              <w:spacing w:after="120"/>
              <w:ind w:right="28"/>
              <w:jc w:val="right"/>
            </w:pPr>
            <w:r>
              <w:rPr>
                <w:rFonts w:hint="eastAsia"/>
              </w:rPr>
              <w:t>81</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ind w:left="1722"/>
            </w:pPr>
            <w:r>
              <w:rPr>
                <w:rFonts w:hint="eastAsia"/>
              </w:rPr>
              <w:t>2.</w:t>
            </w:r>
            <w:r>
              <w:rPr>
                <w:rFonts w:hint="eastAsia"/>
              </w:rPr>
              <w:tab/>
            </w:r>
            <w:r>
              <w:rPr>
                <w:rFonts w:hint="eastAsia"/>
              </w:rPr>
              <w:t>委员会第六十七届会议暂时通过的结论草案案文及其评注</w:t>
            </w:r>
            <w:r w:rsidR="00142E6B">
              <w:tab/>
            </w:r>
          </w:p>
        </w:tc>
        <w:tc>
          <w:tcPr>
            <w:tcW w:w="696" w:type="dxa"/>
            <w:vAlign w:val="bottom"/>
          </w:tcPr>
          <w:p w:rsidR="00AA5C75" w:rsidRDefault="000402B4" w:rsidP="000402B4">
            <w:pPr>
              <w:spacing w:after="120"/>
              <w:ind w:right="28"/>
              <w:jc w:val="right"/>
            </w:pPr>
            <w:r>
              <w:rPr>
                <w:rFonts w:hint="eastAsia"/>
              </w:rPr>
              <w:t>84</w:t>
            </w:r>
          </w:p>
        </w:tc>
      </w:tr>
      <w:tr w:rsidR="00AA5C75" w:rsidTr="00AD704A">
        <w:trPr>
          <w:cantSplit/>
        </w:trPr>
        <w:tc>
          <w:tcPr>
            <w:tcW w:w="9369" w:type="dxa"/>
            <w:gridSpan w:val="3"/>
          </w:tcPr>
          <w:p w:rsidR="00AA5C75" w:rsidRPr="00142E6B" w:rsidRDefault="00AA5C75" w:rsidP="00142E6B">
            <w:p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ind w:left="2142"/>
            </w:pPr>
            <w:r>
              <w:rPr>
                <w:rFonts w:hint="eastAsia"/>
              </w:rPr>
              <w:t>结论</w:t>
            </w:r>
            <w:r>
              <w:rPr>
                <w:rFonts w:hint="eastAsia"/>
              </w:rPr>
              <w:t>11</w:t>
            </w:r>
            <w:r w:rsidR="00F34E50">
              <w:rPr>
                <w:rFonts w:hint="eastAsia"/>
              </w:rPr>
              <w:t xml:space="preserve">  </w:t>
            </w:r>
            <w:r>
              <w:rPr>
                <w:rFonts w:hint="eastAsia"/>
              </w:rPr>
              <w:t>国际组织的组成文书</w:t>
            </w:r>
            <w:r w:rsidR="00142E6B">
              <w:tab/>
            </w:r>
          </w:p>
        </w:tc>
        <w:tc>
          <w:tcPr>
            <w:tcW w:w="696" w:type="dxa"/>
            <w:vAlign w:val="bottom"/>
          </w:tcPr>
          <w:p w:rsidR="00AA5C75" w:rsidRDefault="000402B4">
            <w:pPr>
              <w:spacing w:after="120"/>
              <w:ind w:right="28"/>
              <w:jc w:val="right"/>
            </w:pPr>
            <w:r>
              <w:rPr>
                <w:rFonts w:hint="eastAsia"/>
              </w:rPr>
              <w:t>84</w:t>
            </w:r>
          </w:p>
        </w:tc>
      </w:tr>
      <w:tr w:rsidR="00AA5C75" w:rsidTr="00AD704A">
        <w:trPr>
          <w:cantSplit/>
        </w:trPr>
        <w:tc>
          <w:tcPr>
            <w:tcW w:w="9369" w:type="dxa"/>
            <w:gridSpan w:val="3"/>
          </w:tcPr>
          <w:p w:rsidR="00AA5C75" w:rsidRPr="00142E6B" w:rsidRDefault="00823252" w:rsidP="004925F0">
            <w:pPr>
              <w:tabs>
                <w:tab w:val="right" w:pos="1080"/>
                <w:tab w:val="left" w:pos="1296"/>
                <w:tab w:val="left" w:pos="1728"/>
                <w:tab w:val="left" w:pos="2160"/>
                <w:tab w:val="left" w:pos="2592"/>
                <w:tab w:val="right" w:leader="dot" w:pos="9371"/>
              </w:tabs>
              <w:spacing w:after="120"/>
              <w:ind w:left="3066" w:hanging="14"/>
            </w:pPr>
            <w:r>
              <w:rPr>
                <w:rFonts w:hint="eastAsia"/>
              </w:rPr>
              <w:t>评注</w:t>
            </w:r>
            <w:r w:rsidR="00142E6B">
              <w:tab/>
            </w:r>
          </w:p>
        </w:tc>
        <w:tc>
          <w:tcPr>
            <w:tcW w:w="696" w:type="dxa"/>
            <w:vAlign w:val="bottom"/>
          </w:tcPr>
          <w:p w:rsidR="00AA5C75" w:rsidRDefault="000402B4">
            <w:pPr>
              <w:spacing w:after="120"/>
              <w:ind w:right="28"/>
              <w:jc w:val="right"/>
            </w:pPr>
            <w:r>
              <w:rPr>
                <w:rFonts w:hint="eastAsia"/>
              </w:rPr>
              <w:t>85</w:t>
            </w:r>
          </w:p>
        </w:tc>
      </w:tr>
      <w:tr w:rsidR="00AA5C75" w:rsidTr="00AD704A">
        <w:trPr>
          <w:cantSplit/>
        </w:trPr>
        <w:tc>
          <w:tcPr>
            <w:tcW w:w="9369" w:type="dxa"/>
            <w:gridSpan w:val="3"/>
          </w:tcPr>
          <w:p w:rsidR="00AA5C75" w:rsidRPr="00E31F78" w:rsidRDefault="00823252" w:rsidP="00E31F78">
            <w:pPr>
              <w:tabs>
                <w:tab w:val="right" w:pos="1080"/>
                <w:tab w:val="left" w:pos="1296"/>
                <w:tab w:val="left" w:pos="1728"/>
                <w:tab w:val="left" w:pos="2160"/>
                <w:tab w:val="left" w:pos="2592"/>
                <w:tab w:val="left" w:pos="3024"/>
                <w:tab w:val="left" w:pos="3456"/>
                <w:tab w:val="right" w:leader="dot" w:pos="9371"/>
              </w:tabs>
              <w:spacing w:after="120"/>
              <w:ind w:left="854"/>
            </w:pPr>
            <w:r>
              <w:rPr>
                <w:rFonts w:hint="eastAsia"/>
              </w:rPr>
              <w:t>九</w:t>
            </w:r>
            <w:r>
              <w:rPr>
                <w:rFonts w:hint="eastAsia"/>
              </w:rPr>
              <w:t>.</w:t>
            </w:r>
            <w:r w:rsidR="00E31F78">
              <w:rPr>
                <w:rFonts w:hint="eastAsia"/>
              </w:rPr>
              <w:t xml:space="preserve">  </w:t>
            </w:r>
            <w:r>
              <w:rPr>
                <w:rFonts w:hint="eastAsia"/>
              </w:rPr>
              <w:t>与武装冲突有关的环境保护</w:t>
            </w:r>
            <w:r w:rsidR="00E31F78">
              <w:tab/>
            </w:r>
          </w:p>
        </w:tc>
        <w:tc>
          <w:tcPr>
            <w:tcW w:w="696" w:type="dxa"/>
            <w:vAlign w:val="bottom"/>
          </w:tcPr>
          <w:p w:rsidR="00AA5C75" w:rsidRDefault="000402B4">
            <w:pPr>
              <w:spacing w:after="120"/>
              <w:ind w:right="28"/>
              <w:jc w:val="right"/>
            </w:pPr>
            <w:r>
              <w:rPr>
                <w:rFonts w:hint="eastAsia"/>
              </w:rPr>
              <w:t>99</w:t>
            </w:r>
          </w:p>
        </w:tc>
      </w:tr>
      <w:tr w:rsidR="000F7D03" w:rsidTr="00AD704A">
        <w:trPr>
          <w:cantSplit/>
        </w:trPr>
        <w:tc>
          <w:tcPr>
            <w:tcW w:w="9369" w:type="dxa"/>
            <w:gridSpan w:val="3"/>
          </w:tcPr>
          <w:p w:rsidR="000F7D03" w:rsidRPr="00142E6B" w:rsidRDefault="00823252" w:rsidP="00142E6B">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142E6B">
              <w:tab/>
            </w:r>
          </w:p>
        </w:tc>
        <w:tc>
          <w:tcPr>
            <w:tcW w:w="696" w:type="dxa"/>
            <w:vAlign w:val="bottom"/>
          </w:tcPr>
          <w:p w:rsidR="000F7D03" w:rsidRDefault="000402B4">
            <w:pPr>
              <w:spacing w:after="120"/>
              <w:ind w:right="28"/>
              <w:jc w:val="right"/>
            </w:pPr>
            <w:r>
              <w:rPr>
                <w:rFonts w:hint="eastAsia"/>
              </w:rPr>
              <w:t>99</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142E6B">
              <w:tab/>
            </w:r>
          </w:p>
        </w:tc>
        <w:tc>
          <w:tcPr>
            <w:tcW w:w="696" w:type="dxa"/>
            <w:vAlign w:val="bottom"/>
          </w:tcPr>
          <w:p w:rsidR="00823252" w:rsidRDefault="000402B4">
            <w:pPr>
              <w:spacing w:after="120"/>
              <w:ind w:right="28"/>
              <w:jc w:val="right"/>
            </w:pPr>
            <w:r>
              <w:rPr>
                <w:rFonts w:hint="eastAsia"/>
              </w:rPr>
              <w:t>99</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722"/>
            </w:pPr>
            <w:r>
              <w:rPr>
                <w:rFonts w:hint="eastAsia"/>
              </w:rPr>
              <w:t>1.</w:t>
            </w:r>
            <w:r>
              <w:rPr>
                <w:rFonts w:hint="eastAsia"/>
              </w:rPr>
              <w:tab/>
            </w:r>
            <w:r>
              <w:rPr>
                <w:rFonts w:hint="eastAsia"/>
              </w:rPr>
              <w:t>特别报告员介绍第二次报告</w:t>
            </w:r>
            <w:r w:rsidR="00142E6B">
              <w:tab/>
            </w:r>
          </w:p>
        </w:tc>
        <w:tc>
          <w:tcPr>
            <w:tcW w:w="696" w:type="dxa"/>
            <w:vAlign w:val="bottom"/>
          </w:tcPr>
          <w:p w:rsidR="00823252" w:rsidRDefault="000402B4">
            <w:pPr>
              <w:spacing w:after="120"/>
              <w:ind w:right="28"/>
              <w:jc w:val="right"/>
            </w:pPr>
            <w:r>
              <w:rPr>
                <w:rFonts w:hint="eastAsia"/>
              </w:rPr>
              <w:t>101</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right" w:leader="dot" w:pos="9371"/>
              </w:tabs>
              <w:spacing w:after="120"/>
              <w:ind w:left="1722"/>
            </w:pPr>
            <w:r>
              <w:rPr>
                <w:rFonts w:hint="eastAsia"/>
              </w:rPr>
              <w:t>2.</w:t>
            </w:r>
            <w:r>
              <w:rPr>
                <w:rFonts w:hint="eastAsia"/>
              </w:rPr>
              <w:tab/>
            </w:r>
            <w:r>
              <w:rPr>
                <w:rFonts w:hint="eastAsia"/>
              </w:rPr>
              <w:t>辩论摘要</w:t>
            </w:r>
            <w:r w:rsidR="00142E6B">
              <w:tab/>
            </w:r>
          </w:p>
        </w:tc>
        <w:tc>
          <w:tcPr>
            <w:tcW w:w="696" w:type="dxa"/>
            <w:vAlign w:val="bottom"/>
          </w:tcPr>
          <w:p w:rsidR="00325197" w:rsidRDefault="000402B4">
            <w:pPr>
              <w:spacing w:after="120"/>
              <w:ind w:right="28"/>
              <w:jc w:val="right"/>
            </w:pPr>
            <w:r>
              <w:rPr>
                <w:rFonts w:hint="eastAsia"/>
              </w:rPr>
              <w:t>102</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right" w:leader="dot" w:pos="9371"/>
              </w:tabs>
              <w:spacing w:after="120"/>
              <w:ind w:left="2170"/>
            </w:pPr>
            <w:r>
              <w:rPr>
                <w:rFonts w:hint="eastAsia"/>
              </w:rPr>
              <w:t>(a)</w:t>
            </w:r>
            <w:r>
              <w:rPr>
                <w:rFonts w:hint="eastAsia"/>
              </w:rPr>
              <w:tab/>
            </w:r>
            <w:r>
              <w:rPr>
                <w:rFonts w:hint="eastAsia"/>
              </w:rPr>
              <w:t>一般评论</w:t>
            </w:r>
            <w:r w:rsidR="00142E6B">
              <w:tab/>
            </w:r>
          </w:p>
        </w:tc>
        <w:tc>
          <w:tcPr>
            <w:tcW w:w="696" w:type="dxa"/>
            <w:vAlign w:val="bottom"/>
          </w:tcPr>
          <w:p w:rsidR="00823252" w:rsidRDefault="000402B4">
            <w:pPr>
              <w:spacing w:after="120"/>
              <w:ind w:right="28"/>
              <w:jc w:val="right"/>
            </w:pPr>
            <w:r>
              <w:rPr>
                <w:rFonts w:hint="eastAsia"/>
              </w:rPr>
              <w:t>102</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right" w:leader="dot" w:pos="9371"/>
              </w:tabs>
              <w:spacing w:after="120"/>
              <w:ind w:left="2170"/>
            </w:pPr>
            <w:r>
              <w:rPr>
                <w:rFonts w:hint="eastAsia"/>
              </w:rPr>
              <w:t>(b)</w:t>
            </w:r>
            <w:r>
              <w:rPr>
                <w:rFonts w:hint="eastAsia"/>
              </w:rPr>
              <w:tab/>
            </w:r>
            <w:r>
              <w:rPr>
                <w:rFonts w:hint="eastAsia"/>
              </w:rPr>
              <w:t>范围</w:t>
            </w:r>
            <w:r w:rsidR="00142E6B">
              <w:tab/>
            </w:r>
          </w:p>
        </w:tc>
        <w:tc>
          <w:tcPr>
            <w:tcW w:w="696" w:type="dxa"/>
            <w:vAlign w:val="bottom"/>
          </w:tcPr>
          <w:p w:rsidR="00823252" w:rsidRDefault="000402B4">
            <w:pPr>
              <w:spacing w:after="120"/>
              <w:ind w:right="28"/>
              <w:jc w:val="right"/>
            </w:pPr>
            <w:r>
              <w:rPr>
                <w:rFonts w:hint="eastAsia"/>
              </w:rPr>
              <w:t>103</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right" w:leader="dot" w:pos="9371"/>
              </w:tabs>
              <w:spacing w:after="120"/>
              <w:ind w:left="2170"/>
            </w:pPr>
            <w:r>
              <w:rPr>
                <w:rFonts w:hint="eastAsia"/>
              </w:rPr>
              <w:t>(c)</w:t>
            </w:r>
            <w:r>
              <w:rPr>
                <w:rFonts w:hint="eastAsia"/>
              </w:rPr>
              <w:tab/>
            </w:r>
            <w:r>
              <w:rPr>
                <w:rFonts w:hint="eastAsia"/>
              </w:rPr>
              <w:t>宗旨</w:t>
            </w:r>
            <w:r w:rsidR="00142E6B">
              <w:tab/>
            </w:r>
          </w:p>
        </w:tc>
        <w:tc>
          <w:tcPr>
            <w:tcW w:w="696" w:type="dxa"/>
            <w:vAlign w:val="bottom"/>
          </w:tcPr>
          <w:p w:rsidR="00823252" w:rsidRDefault="000402B4">
            <w:pPr>
              <w:spacing w:after="120"/>
              <w:ind w:right="28"/>
              <w:jc w:val="right"/>
            </w:pPr>
            <w:r>
              <w:rPr>
                <w:rFonts w:hint="eastAsia"/>
              </w:rPr>
              <w:t>104</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right" w:leader="dot" w:pos="9371"/>
              </w:tabs>
              <w:spacing w:after="120"/>
              <w:ind w:left="2170"/>
            </w:pPr>
            <w:r>
              <w:rPr>
                <w:rFonts w:hint="eastAsia"/>
              </w:rPr>
              <w:t>(d)</w:t>
            </w:r>
            <w:r>
              <w:rPr>
                <w:rFonts w:hint="eastAsia"/>
              </w:rPr>
              <w:tab/>
            </w:r>
            <w:r>
              <w:rPr>
                <w:rFonts w:hint="eastAsia"/>
              </w:rPr>
              <w:t>用语</w:t>
            </w:r>
            <w:r w:rsidR="00142E6B">
              <w:tab/>
            </w:r>
          </w:p>
        </w:tc>
        <w:tc>
          <w:tcPr>
            <w:tcW w:w="696" w:type="dxa"/>
            <w:vAlign w:val="bottom"/>
          </w:tcPr>
          <w:p w:rsidR="00823252" w:rsidRDefault="000402B4">
            <w:pPr>
              <w:spacing w:after="120"/>
              <w:ind w:right="28"/>
              <w:jc w:val="right"/>
            </w:pPr>
            <w:r>
              <w:rPr>
                <w:rFonts w:hint="eastAsia"/>
              </w:rPr>
              <w:t>104</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(e)</w:t>
            </w:r>
            <w:r>
              <w:rPr>
                <w:rFonts w:hint="eastAsia"/>
              </w:rPr>
              <w:tab/>
            </w:r>
            <w:r>
              <w:rPr>
                <w:rFonts w:hint="eastAsia"/>
              </w:rPr>
              <w:t>原则草案</w:t>
            </w:r>
            <w:r>
              <w:rPr>
                <w:rFonts w:hint="eastAsia"/>
              </w:rPr>
              <w:t>1</w:t>
            </w:r>
            <w:r w:rsidR="00142E6B">
              <w:tab/>
            </w:r>
          </w:p>
        </w:tc>
        <w:tc>
          <w:tcPr>
            <w:tcW w:w="696" w:type="dxa"/>
            <w:vAlign w:val="bottom"/>
          </w:tcPr>
          <w:p w:rsidR="00823252" w:rsidRDefault="000402B4">
            <w:pPr>
              <w:spacing w:after="120"/>
              <w:ind w:right="28"/>
              <w:jc w:val="right"/>
            </w:pPr>
            <w:r>
              <w:rPr>
                <w:rFonts w:hint="eastAsia"/>
              </w:rPr>
              <w:t>105</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(f)</w:t>
            </w:r>
            <w:r>
              <w:rPr>
                <w:rFonts w:hint="eastAsia"/>
              </w:rPr>
              <w:tab/>
            </w:r>
            <w:r>
              <w:rPr>
                <w:rFonts w:hint="eastAsia"/>
              </w:rPr>
              <w:t>原则草案</w:t>
            </w:r>
            <w:r>
              <w:rPr>
                <w:rFonts w:hint="eastAsia"/>
              </w:rPr>
              <w:t>2</w:t>
            </w:r>
            <w:r w:rsidR="00142E6B">
              <w:tab/>
            </w:r>
          </w:p>
        </w:tc>
        <w:tc>
          <w:tcPr>
            <w:tcW w:w="696" w:type="dxa"/>
            <w:vAlign w:val="bottom"/>
          </w:tcPr>
          <w:p w:rsidR="00823252" w:rsidRDefault="000402B4">
            <w:pPr>
              <w:spacing w:after="120"/>
              <w:ind w:right="28"/>
              <w:jc w:val="right"/>
            </w:pPr>
            <w:r>
              <w:rPr>
                <w:rFonts w:hint="eastAsia"/>
              </w:rPr>
              <w:t>105</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(g)</w:t>
            </w:r>
            <w:r>
              <w:rPr>
                <w:rFonts w:hint="eastAsia"/>
              </w:rPr>
              <w:tab/>
            </w:r>
            <w:r>
              <w:rPr>
                <w:rFonts w:hint="eastAsia"/>
              </w:rPr>
              <w:t>原则草案</w:t>
            </w:r>
            <w:r>
              <w:rPr>
                <w:rFonts w:hint="eastAsia"/>
              </w:rPr>
              <w:t>3</w:t>
            </w:r>
            <w:r w:rsidR="00142E6B">
              <w:tab/>
            </w:r>
          </w:p>
        </w:tc>
        <w:tc>
          <w:tcPr>
            <w:tcW w:w="696" w:type="dxa"/>
            <w:vAlign w:val="bottom"/>
          </w:tcPr>
          <w:p w:rsidR="00823252" w:rsidRDefault="000402B4">
            <w:pPr>
              <w:spacing w:after="120"/>
              <w:ind w:right="28"/>
              <w:jc w:val="right"/>
            </w:pPr>
            <w:r>
              <w:rPr>
                <w:rFonts w:hint="eastAsia"/>
              </w:rPr>
              <w:t>105</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(h)</w:t>
            </w:r>
            <w:r>
              <w:rPr>
                <w:rFonts w:hint="eastAsia"/>
              </w:rPr>
              <w:tab/>
            </w:r>
            <w:r>
              <w:rPr>
                <w:rFonts w:hint="eastAsia"/>
              </w:rPr>
              <w:t>原则草案</w:t>
            </w:r>
            <w:r>
              <w:rPr>
                <w:rFonts w:hint="eastAsia"/>
              </w:rPr>
              <w:t>4</w:t>
            </w:r>
            <w:r w:rsidR="00142E6B">
              <w:tab/>
            </w:r>
          </w:p>
        </w:tc>
        <w:tc>
          <w:tcPr>
            <w:tcW w:w="696" w:type="dxa"/>
            <w:vAlign w:val="bottom"/>
          </w:tcPr>
          <w:p w:rsidR="00823252" w:rsidRDefault="000402B4">
            <w:pPr>
              <w:spacing w:after="120"/>
              <w:ind w:right="28"/>
              <w:jc w:val="right"/>
            </w:pPr>
            <w:r>
              <w:rPr>
                <w:rFonts w:hint="eastAsia"/>
              </w:rPr>
              <w:t>106</w:t>
            </w:r>
          </w:p>
        </w:tc>
      </w:tr>
      <w:tr w:rsidR="00823252" w:rsidTr="00AD704A">
        <w:trPr>
          <w:cantSplit/>
        </w:trPr>
        <w:tc>
          <w:tcPr>
            <w:tcW w:w="9369" w:type="dxa"/>
            <w:gridSpan w:val="3"/>
          </w:tcPr>
          <w:p w:rsidR="00823252" w:rsidRPr="00142E6B" w:rsidRDefault="00823252" w:rsidP="00142E6B">
            <w:pPr>
              <w:tabs>
                <w:tab w:val="right" w:pos="1080"/>
                <w:tab w:val="left" w:pos="1296"/>
                <w:tab w:val="left" w:pos="1728"/>
                <w:tab w:val="left" w:pos="2160"/>
                <w:tab w:val="left" w:pos="2592"/>
                <w:tab w:val="left" w:pos="3024"/>
                <w:tab w:val="left" w:pos="3456"/>
                <w:tab w:val="right" w:leader="dot" w:pos="9371"/>
              </w:tabs>
              <w:spacing w:after="120"/>
              <w:ind w:left="2170"/>
            </w:pPr>
            <w:r>
              <w:rPr>
                <w:rFonts w:hint="eastAsia"/>
              </w:rPr>
              <w:t>(i)</w:t>
            </w:r>
            <w:r>
              <w:rPr>
                <w:rFonts w:hint="eastAsia"/>
              </w:rPr>
              <w:tab/>
            </w:r>
            <w:r>
              <w:rPr>
                <w:rFonts w:hint="eastAsia"/>
              </w:rPr>
              <w:t>原则草案</w:t>
            </w:r>
            <w:r>
              <w:rPr>
                <w:rFonts w:hint="eastAsia"/>
              </w:rPr>
              <w:t>5</w:t>
            </w:r>
            <w:r w:rsidR="00142E6B">
              <w:tab/>
            </w:r>
          </w:p>
        </w:tc>
        <w:tc>
          <w:tcPr>
            <w:tcW w:w="696" w:type="dxa"/>
            <w:vAlign w:val="bottom"/>
          </w:tcPr>
          <w:p w:rsidR="00823252" w:rsidRDefault="000402B4">
            <w:pPr>
              <w:spacing w:after="120"/>
              <w:ind w:right="28"/>
              <w:jc w:val="right"/>
            </w:pPr>
            <w:r>
              <w:rPr>
                <w:rFonts w:hint="eastAsia"/>
              </w:rPr>
              <w:t>106</w:t>
            </w:r>
          </w:p>
        </w:tc>
      </w:tr>
      <w:tr w:rsidR="00823252" w:rsidTr="00AD704A">
        <w:trPr>
          <w:cantSplit/>
        </w:trPr>
        <w:tc>
          <w:tcPr>
            <w:tcW w:w="9369" w:type="dxa"/>
            <w:gridSpan w:val="3"/>
          </w:tcPr>
          <w:p w:rsidR="00823252" w:rsidRPr="00142E6B" w:rsidRDefault="0032519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2170"/>
            </w:pPr>
            <w:r>
              <w:rPr>
                <w:rFonts w:hint="eastAsia"/>
              </w:rPr>
              <w:lastRenderedPageBreak/>
              <w:t>(j)</w:t>
            </w:r>
            <w:r>
              <w:rPr>
                <w:rFonts w:hint="eastAsia"/>
              </w:rPr>
              <w:tab/>
            </w:r>
            <w:r>
              <w:rPr>
                <w:rFonts w:hint="eastAsia"/>
              </w:rPr>
              <w:t>今后的工作方案</w:t>
            </w:r>
            <w:r w:rsidR="00142E6B">
              <w:tab/>
            </w:r>
          </w:p>
        </w:tc>
        <w:tc>
          <w:tcPr>
            <w:tcW w:w="696" w:type="dxa"/>
            <w:vAlign w:val="bottom"/>
          </w:tcPr>
          <w:p w:rsidR="00823252" w:rsidRDefault="000402B4">
            <w:pPr>
              <w:spacing w:after="120"/>
              <w:ind w:right="28"/>
              <w:jc w:val="right"/>
            </w:pPr>
            <w:r>
              <w:rPr>
                <w:rFonts w:hint="eastAsia"/>
              </w:rPr>
              <w:t>107</w:t>
            </w:r>
          </w:p>
        </w:tc>
      </w:tr>
      <w:tr w:rsidR="00823252" w:rsidTr="00AD704A">
        <w:trPr>
          <w:cantSplit/>
        </w:trPr>
        <w:tc>
          <w:tcPr>
            <w:tcW w:w="9369" w:type="dxa"/>
            <w:gridSpan w:val="3"/>
          </w:tcPr>
          <w:p w:rsidR="00823252" w:rsidRPr="0092558D" w:rsidRDefault="00325197" w:rsidP="0092558D">
            <w:pPr>
              <w:tabs>
                <w:tab w:val="right" w:pos="1080"/>
                <w:tab w:val="left" w:pos="1296"/>
                <w:tab w:val="left" w:pos="1728"/>
                <w:tab w:val="left" w:pos="2160"/>
                <w:tab w:val="left" w:pos="2592"/>
                <w:tab w:val="left" w:pos="3024"/>
                <w:tab w:val="left" w:pos="3456"/>
                <w:tab w:val="right" w:leader="dot" w:pos="9371"/>
              </w:tabs>
              <w:spacing w:after="120"/>
              <w:ind w:left="1722"/>
            </w:pPr>
            <w:r>
              <w:rPr>
                <w:rFonts w:hint="eastAsia"/>
              </w:rPr>
              <w:t>3.</w:t>
            </w:r>
            <w:r>
              <w:rPr>
                <w:rFonts w:hint="eastAsia"/>
              </w:rPr>
              <w:tab/>
            </w:r>
            <w:r>
              <w:rPr>
                <w:rFonts w:hint="eastAsia"/>
              </w:rPr>
              <w:t>特别报告员的总结</w:t>
            </w:r>
            <w:r w:rsidR="0092558D">
              <w:tab/>
            </w:r>
          </w:p>
        </w:tc>
        <w:tc>
          <w:tcPr>
            <w:tcW w:w="696" w:type="dxa"/>
            <w:vAlign w:val="bottom"/>
          </w:tcPr>
          <w:p w:rsidR="00823252" w:rsidRDefault="000402B4">
            <w:pPr>
              <w:spacing w:after="120"/>
              <w:ind w:right="28"/>
              <w:jc w:val="right"/>
            </w:pPr>
            <w:r>
              <w:rPr>
                <w:rFonts w:hint="eastAsia"/>
              </w:rPr>
              <w:t>107</w:t>
            </w:r>
          </w:p>
        </w:tc>
      </w:tr>
      <w:tr w:rsidR="00823252" w:rsidTr="00AD704A">
        <w:trPr>
          <w:cantSplit/>
        </w:trPr>
        <w:tc>
          <w:tcPr>
            <w:tcW w:w="9369" w:type="dxa"/>
            <w:gridSpan w:val="3"/>
          </w:tcPr>
          <w:p w:rsidR="00823252" w:rsidRPr="00E31F78" w:rsidRDefault="00325197" w:rsidP="00E31F78">
            <w:pPr>
              <w:tabs>
                <w:tab w:val="right" w:pos="1080"/>
                <w:tab w:val="left" w:pos="1296"/>
                <w:tab w:val="left" w:pos="1728"/>
                <w:tab w:val="left" w:pos="2160"/>
                <w:tab w:val="left" w:pos="2592"/>
                <w:tab w:val="left" w:pos="3024"/>
                <w:tab w:val="left" w:pos="3456"/>
                <w:tab w:val="left" w:pos="3888"/>
                <w:tab w:val="right" w:leader="dot" w:pos="9371"/>
              </w:tabs>
              <w:spacing w:after="120"/>
              <w:ind w:left="854"/>
            </w:pPr>
            <w:r>
              <w:rPr>
                <w:rFonts w:hint="eastAsia"/>
              </w:rPr>
              <w:t>十</w:t>
            </w:r>
            <w:r>
              <w:rPr>
                <w:rFonts w:hint="eastAsia"/>
              </w:rPr>
              <w:t xml:space="preserve">. </w:t>
            </w:r>
            <w:r w:rsidR="00E31F78">
              <w:rPr>
                <w:rFonts w:hint="eastAsia"/>
              </w:rPr>
              <w:t xml:space="preserve"> </w:t>
            </w:r>
            <w:r>
              <w:rPr>
                <w:rFonts w:hint="eastAsia"/>
              </w:rPr>
              <w:t>国家官员的外国刑事管辖豁免</w:t>
            </w:r>
            <w:r w:rsidR="00E31F78">
              <w:tab/>
            </w:r>
          </w:p>
        </w:tc>
        <w:tc>
          <w:tcPr>
            <w:tcW w:w="696" w:type="dxa"/>
            <w:vAlign w:val="bottom"/>
          </w:tcPr>
          <w:p w:rsidR="00823252" w:rsidRDefault="000402B4">
            <w:pPr>
              <w:spacing w:after="120"/>
              <w:ind w:right="28"/>
              <w:jc w:val="right"/>
            </w:pPr>
            <w:r>
              <w:rPr>
                <w:rFonts w:hint="eastAsia"/>
              </w:rPr>
              <w:t>109</w:t>
            </w:r>
          </w:p>
        </w:tc>
      </w:tr>
      <w:tr w:rsidR="00823252" w:rsidTr="00AD704A">
        <w:trPr>
          <w:cantSplit/>
        </w:trPr>
        <w:tc>
          <w:tcPr>
            <w:tcW w:w="9369" w:type="dxa"/>
            <w:gridSpan w:val="3"/>
          </w:tcPr>
          <w:p w:rsidR="00823252" w:rsidRPr="00142E6B" w:rsidRDefault="00325197" w:rsidP="00142E6B">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142E6B">
              <w:tab/>
            </w:r>
          </w:p>
        </w:tc>
        <w:tc>
          <w:tcPr>
            <w:tcW w:w="696" w:type="dxa"/>
            <w:vAlign w:val="bottom"/>
          </w:tcPr>
          <w:p w:rsidR="00823252" w:rsidRDefault="0034089F">
            <w:pPr>
              <w:spacing w:after="120"/>
              <w:ind w:right="28"/>
              <w:jc w:val="right"/>
            </w:pPr>
            <w:r>
              <w:rPr>
                <w:rFonts w:hint="eastAsia"/>
              </w:rPr>
              <w:t>109</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142E6B">
              <w:tab/>
            </w:r>
          </w:p>
        </w:tc>
        <w:tc>
          <w:tcPr>
            <w:tcW w:w="696" w:type="dxa"/>
            <w:vAlign w:val="bottom"/>
          </w:tcPr>
          <w:p w:rsidR="00325197" w:rsidRDefault="0034089F">
            <w:pPr>
              <w:spacing w:after="120"/>
              <w:ind w:right="28"/>
              <w:jc w:val="right"/>
            </w:pPr>
            <w:r>
              <w:rPr>
                <w:rFonts w:hint="eastAsia"/>
              </w:rPr>
              <w:t>109</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722"/>
            </w:pPr>
            <w:r>
              <w:rPr>
                <w:rFonts w:hint="eastAsia"/>
              </w:rPr>
              <w:t>1.</w:t>
            </w:r>
            <w:r>
              <w:rPr>
                <w:rFonts w:hint="eastAsia"/>
              </w:rPr>
              <w:tab/>
            </w:r>
            <w:r>
              <w:rPr>
                <w:rFonts w:hint="eastAsia"/>
              </w:rPr>
              <w:t>特别报告员介绍第四次报告</w:t>
            </w:r>
            <w:r w:rsidR="00142E6B">
              <w:tab/>
            </w:r>
          </w:p>
        </w:tc>
        <w:tc>
          <w:tcPr>
            <w:tcW w:w="696" w:type="dxa"/>
            <w:vAlign w:val="bottom"/>
          </w:tcPr>
          <w:p w:rsidR="00325197" w:rsidRDefault="0034089F">
            <w:pPr>
              <w:spacing w:after="120"/>
              <w:ind w:right="28"/>
              <w:jc w:val="right"/>
            </w:pPr>
            <w:r>
              <w:rPr>
                <w:rFonts w:hint="eastAsia"/>
              </w:rPr>
              <w:t>111</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right" w:leader="dot" w:pos="9371"/>
              </w:tabs>
              <w:spacing w:after="120"/>
              <w:ind w:left="1722"/>
            </w:pPr>
            <w:r>
              <w:rPr>
                <w:rFonts w:hint="eastAsia"/>
              </w:rPr>
              <w:t>2.</w:t>
            </w:r>
            <w:r>
              <w:rPr>
                <w:rFonts w:hint="eastAsia"/>
              </w:rPr>
              <w:tab/>
            </w:r>
            <w:r>
              <w:rPr>
                <w:rFonts w:hint="eastAsia"/>
              </w:rPr>
              <w:t>辩论摘要</w:t>
            </w:r>
            <w:r w:rsidR="00142E6B">
              <w:tab/>
            </w:r>
          </w:p>
        </w:tc>
        <w:tc>
          <w:tcPr>
            <w:tcW w:w="696" w:type="dxa"/>
            <w:vAlign w:val="bottom"/>
          </w:tcPr>
          <w:p w:rsidR="00325197" w:rsidRDefault="0034089F">
            <w:pPr>
              <w:spacing w:after="120"/>
              <w:ind w:right="28"/>
              <w:jc w:val="right"/>
            </w:pPr>
            <w:r>
              <w:rPr>
                <w:rFonts w:hint="eastAsia"/>
              </w:rPr>
              <w:t>114</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right" w:leader="dot" w:pos="9371"/>
              </w:tabs>
              <w:spacing w:after="120"/>
              <w:ind w:left="2170"/>
            </w:pPr>
            <w:r>
              <w:rPr>
                <w:rFonts w:hint="eastAsia"/>
              </w:rPr>
              <w:t>(a)</w:t>
            </w:r>
            <w:r>
              <w:rPr>
                <w:rFonts w:hint="eastAsia"/>
              </w:rPr>
              <w:tab/>
            </w:r>
            <w:r>
              <w:rPr>
                <w:rFonts w:hint="eastAsia"/>
              </w:rPr>
              <w:t>一般评论</w:t>
            </w:r>
            <w:r w:rsidR="00142E6B">
              <w:tab/>
            </w:r>
          </w:p>
        </w:tc>
        <w:tc>
          <w:tcPr>
            <w:tcW w:w="696" w:type="dxa"/>
            <w:vAlign w:val="bottom"/>
          </w:tcPr>
          <w:p w:rsidR="00325197" w:rsidRDefault="0034089F">
            <w:pPr>
              <w:spacing w:after="120"/>
              <w:ind w:right="28"/>
              <w:jc w:val="right"/>
            </w:pPr>
            <w:r>
              <w:rPr>
                <w:rFonts w:hint="eastAsia"/>
              </w:rPr>
              <w:t>114</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right" w:leader="dot" w:pos="9371"/>
              </w:tabs>
              <w:spacing w:after="120"/>
              <w:ind w:left="2170"/>
            </w:pPr>
            <w:r>
              <w:rPr>
                <w:rFonts w:hint="eastAsia"/>
              </w:rPr>
              <w:t>(b)</w:t>
            </w:r>
            <w:r>
              <w:rPr>
                <w:rFonts w:hint="eastAsia"/>
              </w:rPr>
              <w:tab/>
            </w:r>
            <w:r>
              <w:rPr>
                <w:rFonts w:hint="eastAsia"/>
              </w:rPr>
              <w:t>方法</w:t>
            </w:r>
            <w:r w:rsidR="00142E6B">
              <w:tab/>
            </w:r>
          </w:p>
        </w:tc>
        <w:tc>
          <w:tcPr>
            <w:tcW w:w="696" w:type="dxa"/>
            <w:vAlign w:val="bottom"/>
          </w:tcPr>
          <w:p w:rsidR="00325197" w:rsidRDefault="0034089F">
            <w:pPr>
              <w:spacing w:after="120"/>
              <w:ind w:right="28"/>
              <w:jc w:val="right"/>
            </w:pPr>
            <w:r>
              <w:rPr>
                <w:rFonts w:hint="eastAsia"/>
              </w:rPr>
              <w:t>115</w:t>
            </w:r>
          </w:p>
        </w:tc>
      </w:tr>
      <w:tr w:rsidR="00325197" w:rsidTr="00AD704A">
        <w:trPr>
          <w:cantSplit/>
        </w:trPr>
        <w:tc>
          <w:tcPr>
            <w:tcW w:w="9369" w:type="dxa"/>
            <w:gridSpan w:val="3"/>
          </w:tcPr>
          <w:p w:rsidR="00325197" w:rsidRPr="000B239E" w:rsidRDefault="00325197" w:rsidP="000B23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20"/>
              <w:ind w:left="2170"/>
            </w:pPr>
            <w:r>
              <w:rPr>
                <w:rFonts w:hint="eastAsia"/>
              </w:rPr>
              <w:t>(c)</w:t>
            </w:r>
            <w:r>
              <w:rPr>
                <w:rFonts w:hint="eastAsia"/>
              </w:rPr>
              <w:tab/>
            </w:r>
            <w:r>
              <w:rPr>
                <w:rFonts w:hint="eastAsia"/>
              </w:rPr>
              <w:t>第</w:t>
            </w:r>
            <w:r>
              <w:rPr>
                <w:rFonts w:hint="eastAsia"/>
              </w:rPr>
              <w:t>2</w:t>
            </w:r>
            <w:r>
              <w:rPr>
                <w:rFonts w:hint="eastAsia"/>
              </w:rPr>
              <w:t>条草案</w:t>
            </w:r>
            <w:r>
              <w:rPr>
                <w:rFonts w:hint="eastAsia"/>
              </w:rPr>
              <w:t>(f)</w:t>
            </w:r>
            <w:r>
              <w:rPr>
                <w:rFonts w:hint="eastAsia"/>
              </w:rPr>
              <w:t>款：“以官方身份实施的行为”的定义</w:t>
            </w:r>
            <w:r w:rsidR="00142E6B">
              <w:tab/>
            </w:r>
            <w:r w:rsidR="000B239E">
              <w:tab/>
            </w:r>
          </w:p>
        </w:tc>
        <w:tc>
          <w:tcPr>
            <w:tcW w:w="696" w:type="dxa"/>
            <w:vAlign w:val="bottom"/>
          </w:tcPr>
          <w:p w:rsidR="00325197" w:rsidRDefault="00044196">
            <w:pPr>
              <w:spacing w:after="120"/>
              <w:ind w:right="28"/>
              <w:jc w:val="right"/>
            </w:pPr>
            <w:r>
              <w:rPr>
                <w:rFonts w:hint="eastAsia"/>
              </w:rPr>
              <w:t>116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456"/>
                <w:tab w:val="left" w:pos="3888"/>
                <w:tab w:val="left" w:pos="4320"/>
                <w:tab w:val="right" w:leader="dot" w:pos="9371"/>
              </w:tabs>
              <w:spacing w:after="120"/>
              <w:ind w:left="3178" w:hanging="532"/>
            </w:pPr>
            <w:r>
              <w:rPr>
                <w:rFonts w:hint="eastAsia"/>
              </w:rPr>
              <w:t>(</w:t>
            </w:r>
            <w:r>
              <w:rPr>
                <w:rFonts w:hint="eastAsia"/>
              </w:rPr>
              <w:t>一</w:t>
            </w:r>
            <w:r>
              <w:rPr>
                <w:rFonts w:hint="eastAsia"/>
              </w:rPr>
              <w:t>)</w:t>
            </w:r>
            <w:r>
              <w:rPr>
                <w:rFonts w:hint="eastAsia"/>
              </w:rPr>
              <w:tab/>
            </w:r>
            <w:r>
              <w:rPr>
                <w:rFonts w:hint="eastAsia"/>
              </w:rPr>
              <w:t>“以官方身份实施的行为”相对于“以私人身</w:t>
            </w:r>
            <w:r w:rsidR="00142E6B">
              <w:br/>
            </w:r>
            <w:r>
              <w:rPr>
                <w:rFonts w:hint="eastAsia"/>
              </w:rPr>
              <w:t>份实施的行为”</w:t>
            </w:r>
            <w:r w:rsidR="00142E6B">
              <w:tab/>
            </w:r>
          </w:p>
        </w:tc>
        <w:tc>
          <w:tcPr>
            <w:tcW w:w="696" w:type="dxa"/>
            <w:vAlign w:val="bottom"/>
          </w:tcPr>
          <w:p w:rsidR="00325197" w:rsidRDefault="00044196">
            <w:pPr>
              <w:spacing w:after="120"/>
              <w:ind w:right="28"/>
              <w:jc w:val="right"/>
            </w:pPr>
            <w:r>
              <w:rPr>
                <w:rFonts w:hint="eastAsia"/>
              </w:rPr>
              <w:t>116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456"/>
                <w:tab w:val="left" w:pos="3888"/>
                <w:tab w:val="left" w:pos="4320"/>
                <w:tab w:val="right" w:leader="dot" w:pos="9371"/>
              </w:tabs>
              <w:spacing w:after="120"/>
              <w:ind w:left="3178" w:hanging="532"/>
            </w:pPr>
            <w:r>
              <w:rPr>
                <w:rFonts w:hint="eastAsia"/>
              </w:rPr>
              <w:t>(</w:t>
            </w:r>
            <w:r>
              <w:rPr>
                <w:rFonts w:hint="eastAsia"/>
              </w:rPr>
              <w:t>二</w:t>
            </w:r>
            <w:r>
              <w:rPr>
                <w:rFonts w:hint="eastAsia"/>
              </w:rPr>
              <w:t>)</w:t>
            </w:r>
            <w:r>
              <w:rPr>
                <w:rFonts w:hint="eastAsia"/>
              </w:rPr>
              <w:tab/>
            </w:r>
            <w:r>
              <w:rPr>
                <w:rFonts w:hint="eastAsia"/>
              </w:rPr>
              <w:t>行为的犯罪性质</w:t>
            </w:r>
            <w:r w:rsidR="00142E6B">
              <w:tab/>
            </w:r>
          </w:p>
        </w:tc>
        <w:tc>
          <w:tcPr>
            <w:tcW w:w="696" w:type="dxa"/>
            <w:vAlign w:val="bottom"/>
          </w:tcPr>
          <w:p w:rsidR="00325197" w:rsidRDefault="00044196">
            <w:pPr>
              <w:spacing w:after="120"/>
              <w:ind w:right="28"/>
              <w:jc w:val="right"/>
            </w:pPr>
            <w:r>
              <w:rPr>
                <w:rFonts w:hint="eastAsia"/>
              </w:rPr>
              <w:t>116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456"/>
                <w:tab w:val="left" w:pos="3888"/>
                <w:tab w:val="left" w:pos="4320"/>
                <w:tab w:val="right" w:leader="dot" w:pos="9371"/>
              </w:tabs>
              <w:spacing w:after="120"/>
              <w:ind w:left="3178" w:hanging="532"/>
            </w:pPr>
            <w:r>
              <w:rPr>
                <w:rFonts w:hint="eastAsia"/>
              </w:rPr>
              <w:t>(</w:t>
            </w:r>
            <w:r>
              <w:rPr>
                <w:rFonts w:hint="eastAsia"/>
              </w:rPr>
              <w:t>三</w:t>
            </w:r>
            <w:r>
              <w:rPr>
                <w:rFonts w:hint="eastAsia"/>
              </w:rPr>
              <w:t>)</w:t>
            </w:r>
            <w:r>
              <w:rPr>
                <w:rFonts w:hint="eastAsia"/>
              </w:rPr>
              <w:tab/>
            </w:r>
            <w:r>
              <w:rPr>
                <w:rFonts w:hint="eastAsia"/>
              </w:rPr>
              <w:t>行为归于国家</w:t>
            </w:r>
            <w:r w:rsidR="00142E6B">
              <w:tab/>
            </w:r>
          </w:p>
        </w:tc>
        <w:tc>
          <w:tcPr>
            <w:tcW w:w="696" w:type="dxa"/>
            <w:vAlign w:val="bottom"/>
          </w:tcPr>
          <w:p w:rsidR="00325197" w:rsidRDefault="00044196">
            <w:pPr>
              <w:spacing w:after="120"/>
              <w:ind w:right="28"/>
              <w:jc w:val="right"/>
            </w:pPr>
            <w:r>
              <w:rPr>
                <w:rFonts w:hint="eastAsia"/>
              </w:rPr>
              <w:t>117</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456"/>
                <w:tab w:val="left" w:pos="3888"/>
                <w:tab w:val="left" w:pos="4320"/>
                <w:tab w:val="left" w:pos="4752"/>
                <w:tab w:val="left" w:pos="5184"/>
                <w:tab w:val="right" w:leader="dot" w:pos="9371"/>
              </w:tabs>
              <w:spacing w:after="120"/>
              <w:ind w:left="3178" w:hanging="532"/>
            </w:pPr>
            <w:r>
              <w:rPr>
                <w:rFonts w:hint="eastAsia"/>
              </w:rPr>
              <w:t>(</w:t>
            </w:r>
            <w:r>
              <w:rPr>
                <w:rFonts w:hint="eastAsia"/>
              </w:rPr>
              <w:t>四</w:t>
            </w:r>
            <w:r>
              <w:rPr>
                <w:rFonts w:hint="eastAsia"/>
              </w:rPr>
              <w:t>)</w:t>
            </w:r>
            <w:r>
              <w:rPr>
                <w:rFonts w:hint="eastAsia"/>
              </w:rPr>
              <w:tab/>
            </w:r>
            <w:r>
              <w:rPr>
                <w:rFonts w:hint="eastAsia"/>
              </w:rPr>
              <w:t>主权和行使政府权力要素</w:t>
            </w:r>
            <w:r w:rsidR="00142E6B">
              <w:tab/>
            </w:r>
          </w:p>
        </w:tc>
        <w:tc>
          <w:tcPr>
            <w:tcW w:w="696" w:type="dxa"/>
            <w:vAlign w:val="bottom"/>
          </w:tcPr>
          <w:p w:rsidR="00325197" w:rsidRDefault="00044196">
            <w:pPr>
              <w:spacing w:after="120"/>
              <w:ind w:right="28"/>
              <w:jc w:val="right"/>
            </w:pPr>
            <w:r>
              <w:rPr>
                <w:rFonts w:hint="eastAsia"/>
              </w:rPr>
              <w:t>118</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ind w:left="2170"/>
            </w:pPr>
            <w:r>
              <w:rPr>
                <w:rFonts w:hint="eastAsia"/>
              </w:rPr>
              <w:t>(d)</w:t>
            </w:r>
            <w:r>
              <w:rPr>
                <w:rFonts w:hint="eastAsia"/>
              </w:rPr>
              <w:tab/>
            </w:r>
            <w:r>
              <w:rPr>
                <w:rFonts w:hint="eastAsia"/>
              </w:rPr>
              <w:t>第</w:t>
            </w:r>
            <w:r>
              <w:rPr>
                <w:rFonts w:hint="eastAsia"/>
              </w:rPr>
              <w:t>6</w:t>
            </w:r>
            <w:r>
              <w:rPr>
                <w:rFonts w:hint="eastAsia"/>
              </w:rPr>
              <w:t>条草案：属事豁免的范围</w:t>
            </w:r>
            <w:r w:rsidR="00142E6B">
              <w:tab/>
            </w:r>
          </w:p>
        </w:tc>
        <w:tc>
          <w:tcPr>
            <w:tcW w:w="696" w:type="dxa"/>
            <w:vAlign w:val="bottom"/>
          </w:tcPr>
          <w:p w:rsidR="00325197" w:rsidRDefault="00044196">
            <w:pPr>
              <w:spacing w:after="120"/>
              <w:ind w:right="28"/>
              <w:jc w:val="right"/>
            </w:pPr>
            <w:r>
              <w:rPr>
                <w:rFonts w:hint="eastAsia"/>
              </w:rPr>
              <w:t>119</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2170"/>
            </w:pPr>
            <w:r>
              <w:rPr>
                <w:rFonts w:hint="eastAsia"/>
              </w:rPr>
              <w:t>(e)</w:t>
            </w:r>
            <w:r>
              <w:rPr>
                <w:rFonts w:hint="eastAsia"/>
              </w:rPr>
              <w:tab/>
            </w:r>
            <w:r>
              <w:rPr>
                <w:rFonts w:hint="eastAsia"/>
              </w:rPr>
              <w:t>今后的工作计划</w:t>
            </w:r>
            <w:r w:rsidR="00142E6B">
              <w:tab/>
            </w:r>
          </w:p>
        </w:tc>
        <w:tc>
          <w:tcPr>
            <w:tcW w:w="696" w:type="dxa"/>
            <w:vAlign w:val="bottom"/>
          </w:tcPr>
          <w:p w:rsidR="00325197" w:rsidRDefault="00044196">
            <w:pPr>
              <w:spacing w:after="120"/>
              <w:ind w:right="28"/>
              <w:jc w:val="right"/>
            </w:pPr>
            <w:r>
              <w:rPr>
                <w:rFonts w:hint="eastAsia"/>
              </w:rPr>
              <w:t>119</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right" w:leader="dot" w:pos="9371"/>
              </w:tabs>
              <w:spacing w:after="120"/>
              <w:ind w:left="1722"/>
            </w:pPr>
            <w:r>
              <w:rPr>
                <w:rFonts w:hint="eastAsia"/>
              </w:rPr>
              <w:t>3.</w:t>
            </w:r>
            <w:r>
              <w:rPr>
                <w:rFonts w:hint="eastAsia"/>
              </w:rPr>
              <w:tab/>
            </w:r>
            <w:r>
              <w:rPr>
                <w:rFonts w:hint="eastAsia"/>
              </w:rPr>
              <w:t>特别报告员的总结</w:t>
            </w:r>
            <w:r w:rsidR="00142E6B">
              <w:tab/>
            </w:r>
          </w:p>
        </w:tc>
        <w:tc>
          <w:tcPr>
            <w:tcW w:w="696" w:type="dxa"/>
            <w:vAlign w:val="bottom"/>
          </w:tcPr>
          <w:p w:rsidR="00325197" w:rsidRDefault="00044196">
            <w:pPr>
              <w:spacing w:after="120"/>
              <w:ind w:right="28"/>
              <w:jc w:val="right"/>
            </w:pPr>
            <w:r>
              <w:rPr>
                <w:rFonts w:hint="eastAsia"/>
              </w:rPr>
              <w:t>120</w:t>
            </w:r>
          </w:p>
        </w:tc>
      </w:tr>
      <w:tr w:rsidR="00325197" w:rsidTr="00AD704A">
        <w:trPr>
          <w:cantSplit/>
        </w:trPr>
        <w:tc>
          <w:tcPr>
            <w:tcW w:w="9369" w:type="dxa"/>
            <w:gridSpan w:val="3"/>
          </w:tcPr>
          <w:p w:rsidR="00325197" w:rsidRPr="00976122" w:rsidRDefault="00325197" w:rsidP="00976122">
            <w:pPr>
              <w:tabs>
                <w:tab w:val="right" w:pos="1080"/>
                <w:tab w:val="left" w:pos="1296"/>
                <w:tab w:val="left" w:pos="1728"/>
                <w:tab w:val="left" w:pos="2160"/>
                <w:tab w:val="left" w:pos="2592"/>
                <w:tab w:val="right" w:leader="dot" w:pos="9371"/>
              </w:tabs>
              <w:spacing w:after="120"/>
              <w:ind w:left="616"/>
            </w:pPr>
            <w:r>
              <w:rPr>
                <w:rFonts w:hint="eastAsia"/>
              </w:rPr>
              <w:t>十一</w:t>
            </w:r>
            <w:r>
              <w:rPr>
                <w:rFonts w:hint="eastAsia"/>
              </w:rPr>
              <w:t>.</w:t>
            </w:r>
            <w:r w:rsidR="00E31F78">
              <w:rPr>
                <w:rFonts w:hint="eastAsia"/>
              </w:rPr>
              <w:t xml:space="preserve">  </w:t>
            </w:r>
            <w:r>
              <w:rPr>
                <w:rFonts w:hint="eastAsia"/>
              </w:rPr>
              <w:t>条约的暂时适用</w:t>
            </w:r>
            <w:r w:rsidR="00976122">
              <w:tab/>
            </w:r>
          </w:p>
        </w:tc>
        <w:tc>
          <w:tcPr>
            <w:tcW w:w="696" w:type="dxa"/>
            <w:vAlign w:val="bottom"/>
          </w:tcPr>
          <w:p w:rsidR="00325197" w:rsidRPr="00E31F78" w:rsidRDefault="00044196" w:rsidP="00E31F78">
            <w:pPr>
              <w:tabs>
                <w:tab w:val="right" w:pos="1080"/>
                <w:tab w:val="right" w:leader="dot" w:pos="9371"/>
              </w:tabs>
              <w:spacing w:after="120"/>
              <w:ind w:right="28"/>
              <w:jc w:val="right"/>
            </w:pPr>
            <w:r>
              <w:rPr>
                <w:rFonts w:hint="eastAsia"/>
              </w:rPr>
              <w:t>122</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right" w:leader="dot" w:pos="9371"/>
              </w:tabs>
              <w:spacing w:after="120"/>
              <w:ind w:left="1080" w:firstLine="264"/>
            </w:pPr>
            <w:r>
              <w:rPr>
                <w:rFonts w:hint="eastAsia"/>
              </w:rPr>
              <w:t>A.</w:t>
            </w:r>
            <w:r>
              <w:rPr>
                <w:rFonts w:hint="eastAsia"/>
              </w:rPr>
              <w:tab/>
            </w:r>
            <w:r>
              <w:rPr>
                <w:rFonts w:hint="eastAsia"/>
              </w:rPr>
              <w:t>导言</w:t>
            </w:r>
            <w:r w:rsidR="00142E6B">
              <w:tab/>
            </w:r>
          </w:p>
        </w:tc>
        <w:tc>
          <w:tcPr>
            <w:tcW w:w="696" w:type="dxa"/>
            <w:vAlign w:val="bottom"/>
          </w:tcPr>
          <w:p w:rsidR="00325197" w:rsidRDefault="00044196">
            <w:pPr>
              <w:spacing w:after="120"/>
              <w:ind w:right="28"/>
              <w:jc w:val="right"/>
            </w:pPr>
            <w:r>
              <w:rPr>
                <w:rFonts w:hint="eastAsia"/>
              </w:rPr>
              <w:t>122</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080" w:firstLine="264"/>
            </w:pPr>
            <w:r>
              <w:rPr>
                <w:rFonts w:hint="eastAsia"/>
              </w:rPr>
              <w:t>B.</w:t>
            </w:r>
            <w:r>
              <w:rPr>
                <w:rFonts w:hint="eastAsia"/>
              </w:rPr>
              <w:tab/>
            </w:r>
            <w:r>
              <w:rPr>
                <w:rFonts w:hint="eastAsia"/>
              </w:rPr>
              <w:t>本届会议审议此专题的情况</w:t>
            </w:r>
            <w:r w:rsidR="00142E6B">
              <w:tab/>
            </w:r>
          </w:p>
        </w:tc>
        <w:tc>
          <w:tcPr>
            <w:tcW w:w="696" w:type="dxa"/>
            <w:vAlign w:val="bottom"/>
          </w:tcPr>
          <w:p w:rsidR="00325197" w:rsidRDefault="00044196">
            <w:pPr>
              <w:spacing w:after="120"/>
              <w:ind w:right="28"/>
              <w:jc w:val="right"/>
            </w:pPr>
            <w:r>
              <w:rPr>
                <w:rFonts w:hint="eastAsia"/>
              </w:rPr>
              <w:t>122</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722"/>
            </w:pPr>
            <w:r>
              <w:rPr>
                <w:rFonts w:hint="eastAsia"/>
              </w:rPr>
              <w:t>1.</w:t>
            </w:r>
            <w:r>
              <w:rPr>
                <w:rFonts w:hint="eastAsia"/>
              </w:rPr>
              <w:tab/>
            </w:r>
            <w:r>
              <w:rPr>
                <w:rFonts w:hint="eastAsia"/>
              </w:rPr>
              <w:t>特别报告员介绍第三次报告</w:t>
            </w:r>
            <w:r w:rsidR="00142E6B">
              <w:tab/>
            </w:r>
          </w:p>
        </w:tc>
        <w:tc>
          <w:tcPr>
            <w:tcW w:w="696" w:type="dxa"/>
            <w:vAlign w:val="bottom"/>
          </w:tcPr>
          <w:p w:rsidR="00325197" w:rsidRDefault="00044196">
            <w:pPr>
              <w:spacing w:after="120"/>
              <w:ind w:right="28"/>
              <w:jc w:val="right"/>
            </w:pPr>
            <w:r>
              <w:rPr>
                <w:rFonts w:hint="eastAsia"/>
              </w:rPr>
              <w:t>123</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right" w:leader="dot" w:pos="9371"/>
              </w:tabs>
              <w:spacing w:after="120"/>
              <w:ind w:left="1722"/>
            </w:pPr>
            <w:r>
              <w:rPr>
                <w:rFonts w:hint="eastAsia"/>
              </w:rPr>
              <w:t>2.</w:t>
            </w:r>
            <w:r>
              <w:rPr>
                <w:rFonts w:hint="eastAsia"/>
              </w:rPr>
              <w:tab/>
            </w:r>
            <w:r>
              <w:rPr>
                <w:rFonts w:hint="eastAsia"/>
              </w:rPr>
              <w:t>辩论摘要</w:t>
            </w:r>
            <w:r w:rsidR="00142E6B">
              <w:tab/>
            </w:r>
          </w:p>
        </w:tc>
        <w:tc>
          <w:tcPr>
            <w:tcW w:w="696" w:type="dxa"/>
            <w:vAlign w:val="bottom"/>
          </w:tcPr>
          <w:p w:rsidR="00325197" w:rsidRDefault="00044196">
            <w:pPr>
              <w:spacing w:after="120"/>
              <w:ind w:right="28"/>
              <w:jc w:val="right"/>
            </w:pPr>
            <w:r>
              <w:rPr>
                <w:rFonts w:hint="eastAsia"/>
              </w:rPr>
              <w:t>124</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right" w:leader="dot" w:pos="9371"/>
              </w:tabs>
              <w:spacing w:after="120"/>
              <w:ind w:left="2170"/>
            </w:pPr>
            <w:r>
              <w:rPr>
                <w:rFonts w:hint="eastAsia"/>
              </w:rPr>
              <w:t>(a)</w:t>
            </w:r>
            <w:r>
              <w:rPr>
                <w:rFonts w:hint="eastAsia"/>
              </w:rPr>
              <w:tab/>
            </w:r>
            <w:r>
              <w:rPr>
                <w:rFonts w:hint="eastAsia"/>
              </w:rPr>
              <w:t>一般评论</w:t>
            </w:r>
            <w:r w:rsidR="00142E6B">
              <w:tab/>
            </w:r>
          </w:p>
        </w:tc>
        <w:tc>
          <w:tcPr>
            <w:tcW w:w="696" w:type="dxa"/>
            <w:vAlign w:val="bottom"/>
          </w:tcPr>
          <w:p w:rsidR="00325197" w:rsidRDefault="00044196">
            <w:pPr>
              <w:spacing w:after="120"/>
              <w:ind w:right="28"/>
              <w:jc w:val="right"/>
            </w:pPr>
            <w:r>
              <w:rPr>
                <w:rFonts w:hint="eastAsia"/>
              </w:rPr>
              <w:t>124</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71"/>
              </w:tabs>
              <w:spacing w:after="120"/>
              <w:ind w:left="2170"/>
            </w:pPr>
            <w:r>
              <w:rPr>
                <w:rFonts w:hint="eastAsia"/>
              </w:rPr>
              <w:t>(b)</w:t>
            </w:r>
            <w:r>
              <w:rPr>
                <w:rFonts w:hint="eastAsia"/>
              </w:rPr>
              <w:tab/>
            </w:r>
            <w:r>
              <w:rPr>
                <w:rFonts w:hint="eastAsia"/>
              </w:rPr>
              <w:t>与</w:t>
            </w:r>
            <w:r>
              <w:rPr>
                <w:rFonts w:hint="eastAsia"/>
              </w:rPr>
              <w:t>1969</w:t>
            </w:r>
            <w:r>
              <w:rPr>
                <w:rFonts w:hint="eastAsia"/>
              </w:rPr>
              <w:t>年《维也纳公约》其他规定的关系</w:t>
            </w:r>
            <w:r w:rsidR="00142E6B">
              <w:tab/>
            </w:r>
            <w:r w:rsidR="00142E6B">
              <w:tab/>
            </w:r>
          </w:p>
        </w:tc>
        <w:tc>
          <w:tcPr>
            <w:tcW w:w="696" w:type="dxa"/>
            <w:vAlign w:val="bottom"/>
          </w:tcPr>
          <w:p w:rsidR="00325197" w:rsidRDefault="00044196">
            <w:pPr>
              <w:spacing w:after="120"/>
              <w:ind w:right="28"/>
              <w:jc w:val="right"/>
            </w:pPr>
            <w:r>
              <w:rPr>
                <w:rFonts w:hint="eastAsia"/>
              </w:rPr>
              <w:t>126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ind w:left="2170"/>
            </w:pPr>
            <w:r>
              <w:rPr>
                <w:rFonts w:hint="eastAsia"/>
              </w:rPr>
              <w:t>(c)</w:t>
            </w:r>
            <w:r>
              <w:rPr>
                <w:rFonts w:hint="eastAsia"/>
              </w:rPr>
              <w:tab/>
            </w:r>
            <w:r>
              <w:rPr>
                <w:rFonts w:hint="eastAsia"/>
              </w:rPr>
              <w:t>有国际组织参加的条约的暂时适用</w:t>
            </w:r>
            <w:r w:rsidR="00142E6B">
              <w:tab/>
            </w:r>
          </w:p>
        </w:tc>
        <w:tc>
          <w:tcPr>
            <w:tcW w:w="696" w:type="dxa"/>
            <w:vAlign w:val="bottom"/>
          </w:tcPr>
          <w:p w:rsidR="00325197" w:rsidRDefault="00044196">
            <w:pPr>
              <w:spacing w:after="120"/>
              <w:ind w:right="28"/>
              <w:jc w:val="right"/>
            </w:pPr>
            <w:r>
              <w:rPr>
                <w:rFonts w:hint="eastAsia"/>
              </w:rPr>
              <w:t>126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2170"/>
            </w:pPr>
            <w:r>
              <w:rPr>
                <w:rFonts w:hint="eastAsia"/>
              </w:rPr>
              <w:t>(d)</w:t>
            </w:r>
            <w:r>
              <w:rPr>
                <w:rFonts w:hint="eastAsia"/>
              </w:rPr>
              <w:tab/>
            </w:r>
            <w:r>
              <w:rPr>
                <w:rFonts w:hint="eastAsia"/>
              </w:rPr>
              <w:t>关于准则草案的评论</w:t>
            </w:r>
            <w:r w:rsidR="00142E6B">
              <w:tab/>
            </w:r>
          </w:p>
        </w:tc>
        <w:tc>
          <w:tcPr>
            <w:tcW w:w="696" w:type="dxa"/>
            <w:vAlign w:val="bottom"/>
          </w:tcPr>
          <w:p w:rsidR="00325197" w:rsidRDefault="00044196">
            <w:pPr>
              <w:spacing w:after="120"/>
              <w:ind w:right="28"/>
              <w:jc w:val="right"/>
            </w:pPr>
            <w:r>
              <w:rPr>
                <w:rFonts w:hint="eastAsia"/>
              </w:rPr>
              <w:t>126</w:t>
            </w:r>
          </w:p>
        </w:tc>
      </w:tr>
      <w:tr w:rsidR="00325197" w:rsidTr="00AD704A">
        <w:trPr>
          <w:cantSplit/>
        </w:trPr>
        <w:tc>
          <w:tcPr>
            <w:tcW w:w="9369" w:type="dxa"/>
            <w:gridSpan w:val="3"/>
          </w:tcPr>
          <w:p w:rsidR="00325197" w:rsidRPr="00142E6B" w:rsidRDefault="00325197" w:rsidP="00142E6B">
            <w:pPr>
              <w:tabs>
                <w:tab w:val="right" w:pos="1080"/>
                <w:tab w:val="left" w:pos="1296"/>
                <w:tab w:val="left" w:pos="1728"/>
                <w:tab w:val="left" w:pos="2160"/>
                <w:tab w:val="left" w:pos="2592"/>
                <w:tab w:val="left" w:pos="3024"/>
                <w:tab w:val="left" w:pos="3456"/>
                <w:tab w:val="right" w:leader="dot" w:pos="9371"/>
              </w:tabs>
              <w:spacing w:after="120"/>
              <w:ind w:left="1722"/>
            </w:pPr>
            <w:r>
              <w:rPr>
                <w:rFonts w:hint="eastAsia"/>
              </w:rPr>
              <w:t>3.</w:t>
            </w:r>
            <w:r>
              <w:rPr>
                <w:rFonts w:hint="eastAsia"/>
              </w:rPr>
              <w:tab/>
            </w:r>
            <w:r>
              <w:rPr>
                <w:rFonts w:hint="eastAsia"/>
              </w:rPr>
              <w:t>特别报告员的总结</w:t>
            </w:r>
            <w:r w:rsidR="00142E6B">
              <w:tab/>
            </w:r>
          </w:p>
        </w:tc>
        <w:tc>
          <w:tcPr>
            <w:tcW w:w="696" w:type="dxa"/>
            <w:vAlign w:val="bottom"/>
          </w:tcPr>
          <w:p w:rsidR="00325197" w:rsidRDefault="00044196">
            <w:pPr>
              <w:spacing w:after="120"/>
              <w:ind w:right="28"/>
              <w:jc w:val="right"/>
            </w:pPr>
            <w:r>
              <w:rPr>
                <w:rFonts w:hint="eastAsia"/>
              </w:rPr>
              <w:t>127</w:t>
            </w:r>
          </w:p>
        </w:tc>
      </w:tr>
      <w:tr w:rsidR="00325197" w:rsidTr="00AD704A">
        <w:trPr>
          <w:cantSplit/>
        </w:trPr>
        <w:tc>
          <w:tcPr>
            <w:tcW w:w="9369" w:type="dxa"/>
            <w:gridSpan w:val="3"/>
          </w:tcPr>
          <w:p w:rsidR="00325197" w:rsidRPr="00E31F78" w:rsidRDefault="00325197" w:rsidP="00E31F78">
            <w:pPr>
              <w:tabs>
                <w:tab w:val="left" w:pos="1728"/>
                <w:tab w:val="left" w:pos="2160"/>
                <w:tab w:val="left" w:pos="2592"/>
                <w:tab w:val="left" w:pos="3024"/>
                <w:tab w:val="left" w:pos="3456"/>
                <w:tab w:val="right" w:leader="dot" w:pos="9371"/>
              </w:tabs>
              <w:spacing w:after="120"/>
              <w:ind w:left="616"/>
            </w:pPr>
            <w:r>
              <w:rPr>
                <w:rFonts w:hint="eastAsia"/>
              </w:rPr>
              <w:t>十二</w:t>
            </w:r>
            <w:r>
              <w:rPr>
                <w:rFonts w:hint="eastAsia"/>
              </w:rPr>
              <w:t>.</w:t>
            </w:r>
            <w:r w:rsidR="00E31F78">
              <w:rPr>
                <w:rFonts w:hint="eastAsia"/>
              </w:rPr>
              <w:t xml:space="preserve">  </w:t>
            </w:r>
            <w:r>
              <w:rPr>
                <w:rFonts w:hint="eastAsia"/>
              </w:rPr>
              <w:t>委员会的其他决定和结论</w:t>
            </w:r>
            <w:r w:rsidR="00E31F78">
              <w:tab/>
            </w:r>
          </w:p>
        </w:tc>
        <w:tc>
          <w:tcPr>
            <w:tcW w:w="696" w:type="dxa"/>
            <w:vAlign w:val="bottom"/>
          </w:tcPr>
          <w:p w:rsidR="00325197" w:rsidRDefault="00044196">
            <w:pPr>
              <w:spacing w:after="120"/>
              <w:ind w:right="28"/>
              <w:jc w:val="right"/>
            </w:pPr>
            <w:r>
              <w:rPr>
                <w:rFonts w:hint="eastAsia"/>
              </w:rPr>
              <w:t>129</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ind w:left="1080" w:firstLine="264"/>
            </w:pPr>
            <w:r w:rsidRPr="00490059">
              <w:rPr>
                <w:rFonts w:hint="eastAsia"/>
              </w:rPr>
              <w:t>A.</w:t>
            </w:r>
            <w:r w:rsidRPr="00490059">
              <w:rPr>
                <w:rFonts w:hint="eastAsia"/>
              </w:rPr>
              <w:tab/>
            </w:r>
            <w:r w:rsidRPr="00490059">
              <w:rPr>
                <w:rFonts w:hint="eastAsia"/>
              </w:rPr>
              <w:t>委员会的方案、程序和工作方法以及文件</w:t>
            </w:r>
            <w:r w:rsidR="00142E6B">
              <w:tab/>
            </w:r>
          </w:p>
        </w:tc>
        <w:tc>
          <w:tcPr>
            <w:tcW w:w="696" w:type="dxa"/>
            <w:vAlign w:val="bottom"/>
          </w:tcPr>
          <w:p w:rsidR="001354B7" w:rsidRDefault="00044196">
            <w:pPr>
              <w:spacing w:after="120"/>
              <w:ind w:right="28"/>
              <w:jc w:val="right"/>
            </w:pPr>
            <w:r>
              <w:rPr>
                <w:rFonts w:hint="eastAsia"/>
              </w:rPr>
              <w:t>129</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ind w:left="1722"/>
            </w:pPr>
            <w:r w:rsidRPr="00490059">
              <w:rPr>
                <w:rFonts w:hint="eastAsia"/>
              </w:rPr>
              <w:lastRenderedPageBreak/>
              <w:t>1.</w:t>
            </w:r>
            <w:r w:rsidRPr="00490059">
              <w:rPr>
                <w:rFonts w:hint="eastAsia"/>
              </w:rPr>
              <w:tab/>
            </w:r>
            <w:r w:rsidRPr="00490059">
              <w:rPr>
                <w:rFonts w:hint="eastAsia"/>
              </w:rPr>
              <w:t>将新专题列入委员会工作方案</w:t>
            </w:r>
            <w:r w:rsidR="00142E6B">
              <w:tab/>
            </w:r>
          </w:p>
        </w:tc>
        <w:tc>
          <w:tcPr>
            <w:tcW w:w="696" w:type="dxa"/>
            <w:vAlign w:val="bottom"/>
          </w:tcPr>
          <w:p w:rsidR="001354B7" w:rsidRDefault="00044196">
            <w:pPr>
              <w:spacing w:after="120"/>
              <w:ind w:right="28"/>
              <w:jc w:val="right"/>
            </w:pPr>
            <w:r>
              <w:rPr>
                <w:rFonts w:hint="eastAsia"/>
              </w:rPr>
              <w:t>129</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722"/>
            </w:pPr>
            <w:r w:rsidRPr="00490059">
              <w:rPr>
                <w:rFonts w:hint="eastAsia"/>
              </w:rPr>
              <w:t>2.</w:t>
            </w:r>
            <w:r w:rsidRPr="00490059">
              <w:rPr>
                <w:rFonts w:hint="eastAsia"/>
              </w:rPr>
              <w:tab/>
            </w:r>
            <w:r w:rsidRPr="00490059">
              <w:rPr>
                <w:rFonts w:hint="eastAsia"/>
              </w:rPr>
              <w:t>长期工作方案工作组</w:t>
            </w:r>
            <w:r w:rsidR="00142E6B">
              <w:tab/>
            </w:r>
          </w:p>
        </w:tc>
        <w:tc>
          <w:tcPr>
            <w:tcW w:w="696" w:type="dxa"/>
            <w:vAlign w:val="bottom"/>
          </w:tcPr>
          <w:p w:rsidR="001354B7" w:rsidRDefault="00044196">
            <w:pPr>
              <w:spacing w:after="120"/>
              <w:ind w:right="28"/>
              <w:jc w:val="right"/>
            </w:pPr>
            <w:r>
              <w:rPr>
                <w:rFonts w:hint="eastAsia"/>
              </w:rPr>
              <w:t>129</w:t>
            </w:r>
          </w:p>
        </w:tc>
      </w:tr>
      <w:tr w:rsidR="001354B7" w:rsidTr="00AD704A">
        <w:trPr>
          <w:cantSplit/>
        </w:trPr>
        <w:tc>
          <w:tcPr>
            <w:tcW w:w="9369" w:type="dxa"/>
            <w:gridSpan w:val="3"/>
          </w:tcPr>
          <w:p w:rsidR="001354B7" w:rsidRPr="003E0696" w:rsidRDefault="001354B7" w:rsidP="003E0696">
            <w:pPr>
              <w:tabs>
                <w:tab w:val="right" w:pos="1080"/>
                <w:tab w:val="left" w:pos="1296"/>
                <w:tab w:val="left" w:pos="1728"/>
                <w:tab w:val="left" w:pos="2160"/>
                <w:tab w:val="left" w:pos="2592"/>
                <w:tab w:val="left" w:pos="3024"/>
                <w:tab w:val="left" w:pos="3456"/>
                <w:tab w:val="right" w:leader="dot" w:pos="9371"/>
              </w:tabs>
              <w:spacing w:after="120"/>
              <w:ind w:left="2156" w:hanging="434"/>
            </w:pPr>
            <w:r w:rsidRPr="00490059">
              <w:rPr>
                <w:rFonts w:hint="eastAsia"/>
              </w:rPr>
              <w:t>3.</w:t>
            </w:r>
            <w:r w:rsidRPr="00490059">
              <w:rPr>
                <w:rFonts w:hint="eastAsia"/>
              </w:rPr>
              <w:tab/>
            </w:r>
            <w:r w:rsidRPr="00490059">
              <w:rPr>
                <w:rFonts w:hint="eastAsia"/>
              </w:rPr>
              <w:t>审议大会</w:t>
            </w:r>
            <w:r w:rsidRPr="00490059">
              <w:rPr>
                <w:rFonts w:hint="eastAsia"/>
              </w:rPr>
              <w:t>2014</w:t>
            </w:r>
            <w:r w:rsidRPr="00490059">
              <w:rPr>
                <w:rFonts w:hint="eastAsia"/>
              </w:rPr>
              <w:t>年</w:t>
            </w:r>
            <w:r w:rsidRPr="00490059">
              <w:rPr>
                <w:rFonts w:hint="eastAsia"/>
              </w:rPr>
              <w:t>12</w:t>
            </w:r>
            <w:r w:rsidRPr="00490059">
              <w:rPr>
                <w:rFonts w:hint="eastAsia"/>
              </w:rPr>
              <w:t>月</w:t>
            </w:r>
            <w:r w:rsidRPr="00490059">
              <w:rPr>
                <w:rFonts w:hint="eastAsia"/>
              </w:rPr>
              <w:t>10</w:t>
            </w:r>
            <w:r w:rsidRPr="00490059">
              <w:rPr>
                <w:rFonts w:hint="eastAsia"/>
              </w:rPr>
              <w:t>日关于国内和国际法治的</w:t>
            </w:r>
            <w:r w:rsidR="003E0696">
              <w:br/>
            </w:r>
            <w:r w:rsidRPr="00490059">
              <w:rPr>
                <w:rFonts w:hint="eastAsia"/>
              </w:rPr>
              <w:t>第</w:t>
            </w:r>
            <w:r w:rsidRPr="00490059">
              <w:rPr>
                <w:rFonts w:hint="eastAsia"/>
              </w:rPr>
              <w:t>69/123</w:t>
            </w:r>
            <w:r w:rsidRPr="00490059">
              <w:rPr>
                <w:rFonts w:hint="eastAsia"/>
              </w:rPr>
              <w:t>号决议</w:t>
            </w:r>
            <w:r w:rsidR="003E0696">
              <w:tab/>
            </w:r>
          </w:p>
        </w:tc>
        <w:tc>
          <w:tcPr>
            <w:tcW w:w="696" w:type="dxa"/>
            <w:vAlign w:val="bottom"/>
          </w:tcPr>
          <w:p w:rsidR="001354B7" w:rsidRDefault="00044196">
            <w:pPr>
              <w:spacing w:after="120"/>
              <w:ind w:right="28"/>
              <w:jc w:val="right"/>
            </w:pPr>
            <w:r>
              <w:rPr>
                <w:rFonts w:hint="eastAsia"/>
              </w:rPr>
              <w:t>129</w:t>
            </w:r>
          </w:p>
        </w:tc>
      </w:tr>
      <w:tr w:rsidR="001354B7" w:rsidTr="00AD704A">
        <w:trPr>
          <w:cantSplit/>
        </w:trPr>
        <w:tc>
          <w:tcPr>
            <w:tcW w:w="9369" w:type="dxa"/>
            <w:gridSpan w:val="3"/>
          </w:tcPr>
          <w:p w:rsidR="001354B7" w:rsidRPr="003E0696" w:rsidRDefault="001354B7" w:rsidP="003E0696">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71"/>
              </w:tabs>
              <w:spacing w:after="120"/>
              <w:ind w:left="2142" w:hanging="420"/>
            </w:pPr>
            <w:r w:rsidRPr="00490059">
              <w:rPr>
                <w:rFonts w:hint="eastAsia"/>
              </w:rPr>
              <w:t>4.</w:t>
            </w:r>
            <w:r w:rsidRPr="00490059">
              <w:rPr>
                <w:rFonts w:hint="eastAsia"/>
              </w:rPr>
              <w:tab/>
            </w:r>
            <w:r w:rsidRPr="00490059">
              <w:rPr>
                <w:rFonts w:hint="eastAsia"/>
              </w:rPr>
              <w:t>审议大会</w:t>
            </w:r>
            <w:r w:rsidRPr="00490059">
              <w:rPr>
                <w:rFonts w:hint="eastAsia"/>
              </w:rPr>
              <w:t>2014</w:t>
            </w:r>
            <w:r w:rsidRPr="00490059">
              <w:rPr>
                <w:rFonts w:hint="eastAsia"/>
              </w:rPr>
              <w:t>年</w:t>
            </w:r>
            <w:r w:rsidRPr="00490059">
              <w:rPr>
                <w:rFonts w:hint="eastAsia"/>
              </w:rPr>
              <w:t>12</w:t>
            </w:r>
            <w:r w:rsidRPr="00490059">
              <w:rPr>
                <w:rFonts w:hint="eastAsia"/>
              </w:rPr>
              <w:t>月</w:t>
            </w:r>
            <w:r w:rsidRPr="00490059">
              <w:rPr>
                <w:rFonts w:hint="eastAsia"/>
              </w:rPr>
              <w:t>10</w:t>
            </w:r>
            <w:r w:rsidRPr="00490059">
              <w:rPr>
                <w:rFonts w:hint="eastAsia"/>
              </w:rPr>
              <w:t>日关于国际法委员会第</w:t>
            </w:r>
            <w:r w:rsidR="003E0696">
              <w:br/>
            </w:r>
            <w:r w:rsidRPr="00490059">
              <w:rPr>
                <w:rFonts w:hint="eastAsia"/>
              </w:rPr>
              <w:t>六十六届会议工作报告的第</w:t>
            </w:r>
            <w:r w:rsidRPr="00490059">
              <w:rPr>
                <w:rFonts w:hint="eastAsia"/>
              </w:rPr>
              <w:t>69/118</w:t>
            </w:r>
            <w:r w:rsidRPr="00490059">
              <w:rPr>
                <w:rFonts w:hint="eastAsia"/>
              </w:rPr>
              <w:t>号决议第</w:t>
            </w:r>
            <w:r w:rsidRPr="00490059">
              <w:rPr>
                <w:rFonts w:hint="eastAsia"/>
              </w:rPr>
              <w:t>10</w:t>
            </w:r>
            <w:r w:rsidRPr="00490059">
              <w:rPr>
                <w:rFonts w:hint="eastAsia"/>
              </w:rPr>
              <w:t>至</w:t>
            </w:r>
            <w:r w:rsidRPr="00490059">
              <w:rPr>
                <w:rFonts w:hint="eastAsia"/>
              </w:rPr>
              <w:t>13</w:t>
            </w:r>
            <w:r w:rsidRPr="00490059">
              <w:rPr>
                <w:rFonts w:hint="eastAsia"/>
              </w:rPr>
              <w:t>段</w:t>
            </w:r>
            <w:r w:rsidR="003E0696">
              <w:tab/>
            </w:r>
          </w:p>
        </w:tc>
        <w:tc>
          <w:tcPr>
            <w:tcW w:w="696" w:type="dxa"/>
            <w:vAlign w:val="bottom"/>
          </w:tcPr>
          <w:p w:rsidR="001354B7" w:rsidRDefault="00044196">
            <w:pPr>
              <w:spacing w:after="120"/>
              <w:ind w:right="28"/>
              <w:jc w:val="right"/>
            </w:pPr>
            <w:r>
              <w:rPr>
                <w:rFonts w:hint="eastAsia"/>
              </w:rPr>
              <w:t>131</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right" w:leader="dot" w:pos="9371"/>
              </w:tabs>
              <w:spacing w:after="120"/>
              <w:ind w:left="1722"/>
            </w:pPr>
            <w:r w:rsidRPr="00490059">
              <w:rPr>
                <w:rFonts w:hint="eastAsia"/>
              </w:rPr>
              <w:t>5.</w:t>
            </w:r>
            <w:r w:rsidRPr="00490059">
              <w:rPr>
                <w:rFonts w:hint="eastAsia"/>
              </w:rPr>
              <w:tab/>
            </w:r>
            <w:r w:rsidRPr="00490059">
              <w:rPr>
                <w:rFonts w:hint="eastAsia"/>
              </w:rPr>
              <w:t>酬金</w:t>
            </w:r>
            <w:r w:rsidR="00142E6B">
              <w:tab/>
            </w:r>
          </w:p>
        </w:tc>
        <w:tc>
          <w:tcPr>
            <w:tcW w:w="696" w:type="dxa"/>
            <w:vAlign w:val="bottom"/>
          </w:tcPr>
          <w:p w:rsidR="001354B7" w:rsidRDefault="00044196">
            <w:pPr>
              <w:spacing w:after="120"/>
              <w:ind w:right="28"/>
              <w:jc w:val="right"/>
            </w:pPr>
            <w:r>
              <w:rPr>
                <w:rFonts w:hint="eastAsia"/>
              </w:rPr>
              <w:t>131</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right" w:leader="dot" w:pos="9371"/>
              </w:tabs>
              <w:spacing w:after="120"/>
              <w:ind w:left="1722"/>
            </w:pPr>
            <w:r w:rsidRPr="00490059">
              <w:rPr>
                <w:rFonts w:hint="eastAsia"/>
              </w:rPr>
              <w:t>6.</w:t>
            </w:r>
            <w:r w:rsidRPr="00490059">
              <w:rPr>
                <w:rFonts w:hint="eastAsia"/>
              </w:rPr>
              <w:tab/>
            </w:r>
            <w:r w:rsidRPr="00490059">
              <w:rPr>
                <w:rFonts w:hint="eastAsia"/>
              </w:rPr>
              <w:t>文件和出版物</w:t>
            </w:r>
            <w:r w:rsidR="00142E6B">
              <w:tab/>
            </w:r>
          </w:p>
        </w:tc>
        <w:tc>
          <w:tcPr>
            <w:tcW w:w="696" w:type="dxa"/>
            <w:vAlign w:val="bottom"/>
          </w:tcPr>
          <w:p w:rsidR="001354B7" w:rsidRDefault="00044196">
            <w:pPr>
              <w:spacing w:after="120"/>
              <w:ind w:right="28"/>
              <w:jc w:val="right"/>
            </w:pPr>
            <w:r>
              <w:rPr>
                <w:rFonts w:hint="eastAsia"/>
              </w:rPr>
              <w:t>132</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right" w:leader="dot" w:pos="9371"/>
              </w:tabs>
              <w:spacing w:after="120"/>
              <w:ind w:left="1722"/>
            </w:pPr>
            <w:r w:rsidRPr="00490059">
              <w:rPr>
                <w:rFonts w:hint="eastAsia"/>
              </w:rPr>
              <w:t>7.</w:t>
            </w:r>
            <w:r w:rsidRPr="00490059">
              <w:rPr>
                <w:rFonts w:hint="eastAsia"/>
              </w:rPr>
              <w:tab/>
            </w:r>
            <w:r w:rsidRPr="00490059">
              <w:rPr>
                <w:rFonts w:hint="eastAsia"/>
              </w:rPr>
              <w:t>《国际法委员会年鉴》</w:t>
            </w:r>
            <w:r w:rsidR="00142E6B">
              <w:tab/>
            </w:r>
          </w:p>
        </w:tc>
        <w:tc>
          <w:tcPr>
            <w:tcW w:w="696" w:type="dxa"/>
            <w:vAlign w:val="bottom"/>
          </w:tcPr>
          <w:p w:rsidR="001354B7" w:rsidRDefault="00044196">
            <w:pPr>
              <w:spacing w:after="120"/>
              <w:ind w:right="28"/>
              <w:jc w:val="right"/>
            </w:pPr>
            <w:r>
              <w:rPr>
                <w:rFonts w:hint="eastAsia"/>
              </w:rPr>
              <w:t>132</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right" w:leader="dot" w:pos="9371"/>
              </w:tabs>
              <w:spacing w:after="120"/>
              <w:ind w:left="1722"/>
            </w:pPr>
            <w:r w:rsidRPr="00490059">
              <w:rPr>
                <w:rFonts w:hint="eastAsia"/>
              </w:rPr>
              <w:t>8.</w:t>
            </w:r>
            <w:r w:rsidRPr="00490059">
              <w:rPr>
                <w:rFonts w:hint="eastAsia"/>
              </w:rPr>
              <w:tab/>
            </w:r>
            <w:r w:rsidRPr="00490059">
              <w:rPr>
                <w:rFonts w:hint="eastAsia"/>
              </w:rPr>
              <w:t>编纂司的协助</w:t>
            </w:r>
            <w:r w:rsidR="00142E6B">
              <w:tab/>
            </w:r>
          </w:p>
        </w:tc>
        <w:tc>
          <w:tcPr>
            <w:tcW w:w="696" w:type="dxa"/>
            <w:vAlign w:val="bottom"/>
          </w:tcPr>
          <w:p w:rsidR="001354B7" w:rsidRDefault="00044196">
            <w:pPr>
              <w:spacing w:after="120"/>
              <w:ind w:right="28"/>
              <w:jc w:val="right"/>
            </w:pPr>
            <w:r>
              <w:rPr>
                <w:rFonts w:hint="eastAsia"/>
              </w:rPr>
              <w:t>133</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right" w:leader="dot" w:pos="9371"/>
              </w:tabs>
              <w:spacing w:after="120"/>
              <w:ind w:left="1722"/>
            </w:pPr>
            <w:r w:rsidRPr="00490059">
              <w:rPr>
                <w:rFonts w:hint="eastAsia"/>
              </w:rPr>
              <w:t>9.</w:t>
            </w:r>
            <w:r w:rsidRPr="00490059">
              <w:rPr>
                <w:rFonts w:hint="eastAsia"/>
              </w:rPr>
              <w:tab/>
            </w:r>
            <w:r w:rsidRPr="00490059">
              <w:rPr>
                <w:rFonts w:hint="eastAsia"/>
              </w:rPr>
              <w:t>网站</w:t>
            </w:r>
            <w:r w:rsidR="00142E6B">
              <w:tab/>
            </w:r>
          </w:p>
        </w:tc>
        <w:tc>
          <w:tcPr>
            <w:tcW w:w="696" w:type="dxa"/>
            <w:vAlign w:val="bottom"/>
          </w:tcPr>
          <w:p w:rsidR="001354B7" w:rsidRDefault="00044196">
            <w:pPr>
              <w:spacing w:after="120"/>
              <w:ind w:right="28"/>
              <w:jc w:val="right"/>
            </w:pPr>
            <w:r>
              <w:rPr>
                <w:rFonts w:hint="eastAsia"/>
              </w:rPr>
              <w:t>133</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722"/>
            </w:pPr>
            <w:r w:rsidRPr="00490059">
              <w:rPr>
                <w:rFonts w:hint="eastAsia"/>
              </w:rPr>
              <w:t>10.</w:t>
            </w:r>
            <w:r w:rsidRPr="00490059">
              <w:rPr>
                <w:rFonts w:hint="eastAsia"/>
              </w:rPr>
              <w:tab/>
            </w:r>
            <w:r w:rsidRPr="00490059">
              <w:rPr>
                <w:rFonts w:hint="eastAsia"/>
              </w:rPr>
              <w:t>联合国国际法视听图书馆</w:t>
            </w:r>
            <w:r w:rsidR="00142E6B">
              <w:tab/>
            </w:r>
          </w:p>
        </w:tc>
        <w:tc>
          <w:tcPr>
            <w:tcW w:w="696" w:type="dxa"/>
            <w:vAlign w:val="bottom"/>
          </w:tcPr>
          <w:p w:rsidR="001354B7" w:rsidRDefault="00044196">
            <w:pPr>
              <w:spacing w:after="120"/>
              <w:ind w:right="28"/>
              <w:jc w:val="right"/>
            </w:pPr>
            <w:r>
              <w:rPr>
                <w:rFonts w:hint="eastAsia"/>
              </w:rPr>
              <w:t>133</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ind w:left="1080" w:firstLine="264"/>
            </w:pPr>
            <w:r w:rsidRPr="00490059">
              <w:rPr>
                <w:rFonts w:hint="eastAsia"/>
              </w:rPr>
              <w:t>B.</w:t>
            </w:r>
            <w:r w:rsidRPr="00490059">
              <w:rPr>
                <w:rFonts w:hint="eastAsia"/>
              </w:rPr>
              <w:tab/>
            </w:r>
            <w:r w:rsidRPr="00490059">
              <w:rPr>
                <w:rFonts w:hint="eastAsia"/>
              </w:rPr>
              <w:t>委员会第六十八届会议的日期和地点</w:t>
            </w:r>
            <w:r w:rsidR="00142E6B">
              <w:tab/>
            </w:r>
          </w:p>
        </w:tc>
        <w:tc>
          <w:tcPr>
            <w:tcW w:w="696" w:type="dxa"/>
            <w:vAlign w:val="bottom"/>
          </w:tcPr>
          <w:p w:rsidR="001354B7" w:rsidRDefault="00044196">
            <w:pPr>
              <w:spacing w:after="120"/>
              <w:ind w:right="28"/>
              <w:jc w:val="right"/>
            </w:pPr>
            <w:r>
              <w:rPr>
                <w:rFonts w:hint="eastAsia"/>
              </w:rPr>
              <w:t>133</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right" w:leader="dot" w:pos="9371"/>
              </w:tabs>
              <w:spacing w:after="120"/>
              <w:ind w:left="1080" w:firstLine="264"/>
            </w:pPr>
            <w:r w:rsidRPr="00490059">
              <w:rPr>
                <w:rFonts w:hint="eastAsia"/>
              </w:rPr>
              <w:t>C.</w:t>
            </w:r>
            <w:r w:rsidRPr="00490059">
              <w:rPr>
                <w:rFonts w:hint="eastAsia"/>
              </w:rPr>
              <w:tab/>
            </w:r>
            <w:r w:rsidRPr="00490059">
              <w:rPr>
                <w:rFonts w:hint="eastAsia"/>
              </w:rPr>
              <w:t>向委员会秘书表示感谢</w:t>
            </w:r>
            <w:r w:rsidR="00142E6B">
              <w:tab/>
            </w:r>
          </w:p>
        </w:tc>
        <w:tc>
          <w:tcPr>
            <w:tcW w:w="696" w:type="dxa"/>
            <w:vAlign w:val="bottom"/>
          </w:tcPr>
          <w:p w:rsidR="001354B7" w:rsidRDefault="00044196">
            <w:pPr>
              <w:spacing w:after="120"/>
              <w:ind w:right="28"/>
              <w:jc w:val="right"/>
            </w:pPr>
            <w:r>
              <w:rPr>
                <w:rFonts w:hint="eastAsia"/>
              </w:rPr>
              <w:t>133</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right" w:leader="dot" w:pos="9371"/>
              </w:tabs>
              <w:spacing w:after="120"/>
              <w:ind w:left="1080" w:firstLine="264"/>
            </w:pPr>
            <w:r w:rsidRPr="00490059">
              <w:rPr>
                <w:rFonts w:hint="eastAsia"/>
              </w:rPr>
              <w:t>D.</w:t>
            </w:r>
            <w:r w:rsidRPr="00490059">
              <w:rPr>
                <w:rFonts w:hint="eastAsia"/>
              </w:rPr>
              <w:tab/>
            </w:r>
            <w:r w:rsidRPr="00490059">
              <w:rPr>
                <w:rFonts w:hint="eastAsia"/>
              </w:rPr>
              <w:t>与其他机构的合作</w:t>
            </w:r>
            <w:r w:rsidR="00142E6B">
              <w:tab/>
            </w:r>
          </w:p>
        </w:tc>
        <w:tc>
          <w:tcPr>
            <w:tcW w:w="696" w:type="dxa"/>
            <w:vAlign w:val="bottom"/>
          </w:tcPr>
          <w:p w:rsidR="001354B7" w:rsidRDefault="00044196">
            <w:pPr>
              <w:spacing w:after="120"/>
              <w:ind w:right="28"/>
              <w:jc w:val="right"/>
            </w:pPr>
            <w:r>
              <w:rPr>
                <w:rFonts w:hint="eastAsia"/>
              </w:rPr>
              <w:t>134</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080" w:firstLine="264"/>
            </w:pPr>
            <w:r w:rsidRPr="00490059">
              <w:rPr>
                <w:rFonts w:hint="eastAsia"/>
              </w:rPr>
              <w:t>E.</w:t>
            </w:r>
            <w:r w:rsidRPr="00490059">
              <w:rPr>
                <w:rFonts w:hint="eastAsia"/>
              </w:rPr>
              <w:tab/>
            </w:r>
            <w:r w:rsidRPr="00490059">
              <w:rPr>
                <w:rFonts w:hint="eastAsia"/>
              </w:rPr>
              <w:t>出席大会第七十届会议的代表</w:t>
            </w:r>
            <w:r w:rsidR="00142E6B">
              <w:tab/>
            </w:r>
          </w:p>
        </w:tc>
        <w:tc>
          <w:tcPr>
            <w:tcW w:w="696" w:type="dxa"/>
            <w:vAlign w:val="bottom"/>
          </w:tcPr>
          <w:p w:rsidR="001354B7" w:rsidRDefault="00044196">
            <w:pPr>
              <w:spacing w:after="120"/>
              <w:ind w:right="28"/>
              <w:jc w:val="right"/>
            </w:pPr>
            <w:r>
              <w:rPr>
                <w:rFonts w:hint="eastAsia"/>
              </w:rPr>
              <w:t>135</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right" w:leader="dot" w:pos="9371"/>
              </w:tabs>
              <w:spacing w:after="120"/>
              <w:ind w:left="1080" w:firstLine="264"/>
            </w:pPr>
            <w:r w:rsidRPr="00490059">
              <w:rPr>
                <w:rFonts w:hint="eastAsia"/>
              </w:rPr>
              <w:t>F.</w:t>
            </w:r>
            <w:r w:rsidRPr="00490059">
              <w:rPr>
                <w:rFonts w:hint="eastAsia"/>
              </w:rPr>
              <w:tab/>
            </w:r>
            <w:r w:rsidRPr="00490059">
              <w:rPr>
                <w:rFonts w:hint="eastAsia"/>
              </w:rPr>
              <w:t>国际法讲习班</w:t>
            </w:r>
            <w:r w:rsidR="00142E6B">
              <w:tab/>
            </w:r>
          </w:p>
        </w:tc>
        <w:tc>
          <w:tcPr>
            <w:tcW w:w="696" w:type="dxa"/>
            <w:vAlign w:val="bottom"/>
          </w:tcPr>
          <w:p w:rsidR="001354B7" w:rsidRDefault="00044196">
            <w:pPr>
              <w:spacing w:after="120"/>
              <w:ind w:right="28"/>
              <w:jc w:val="right"/>
            </w:pPr>
            <w:r>
              <w:rPr>
                <w:rFonts w:hint="eastAsia"/>
              </w:rPr>
              <w:t>135</w:t>
            </w:r>
          </w:p>
        </w:tc>
      </w:tr>
      <w:tr w:rsidR="001354B7" w:rsidTr="00AD704A">
        <w:trPr>
          <w:cantSplit/>
        </w:trPr>
        <w:tc>
          <w:tcPr>
            <w:tcW w:w="9369" w:type="dxa"/>
            <w:gridSpan w:val="3"/>
          </w:tcPr>
          <w:p w:rsidR="001354B7" w:rsidRPr="00142E6B" w:rsidRDefault="001354B7" w:rsidP="00142E6B">
            <w:pPr>
              <w:tabs>
                <w:tab w:val="left" w:pos="1728"/>
                <w:tab w:val="left" w:pos="2160"/>
                <w:tab w:val="right" w:leader="dot" w:pos="9371"/>
              </w:tabs>
              <w:spacing w:after="120"/>
              <w:ind w:left="616"/>
            </w:pPr>
            <w:r w:rsidRPr="00490059">
              <w:rPr>
                <w:rFonts w:hint="eastAsia"/>
              </w:rPr>
              <w:t>附件</w:t>
            </w:r>
            <w:r w:rsidR="003E0696">
              <w:rPr>
                <w:rFonts w:hint="eastAsia"/>
              </w:rPr>
              <w:tab/>
            </w:r>
            <w:r w:rsidRPr="00490059">
              <w:rPr>
                <w:rFonts w:hint="eastAsia"/>
              </w:rPr>
              <w:t>最后报告</w:t>
            </w:r>
            <w:r w:rsidR="00142E6B">
              <w:tab/>
            </w:r>
          </w:p>
        </w:tc>
        <w:tc>
          <w:tcPr>
            <w:tcW w:w="696" w:type="dxa"/>
            <w:vAlign w:val="bottom"/>
          </w:tcPr>
          <w:p w:rsidR="001354B7" w:rsidRDefault="00044196">
            <w:pPr>
              <w:spacing w:after="120"/>
              <w:ind w:right="28"/>
              <w:jc w:val="right"/>
            </w:pPr>
            <w:r>
              <w:rPr>
                <w:rFonts w:hint="eastAsia"/>
              </w:rPr>
              <w:t>138</w:t>
            </w:r>
          </w:p>
        </w:tc>
      </w:tr>
      <w:tr w:rsidR="001354B7" w:rsidTr="00AD704A">
        <w:trPr>
          <w:cantSplit/>
        </w:trPr>
        <w:tc>
          <w:tcPr>
            <w:tcW w:w="9369" w:type="dxa"/>
            <w:gridSpan w:val="3"/>
          </w:tcPr>
          <w:p w:rsidR="001354B7" w:rsidRPr="00142E6B" w:rsidRDefault="001354B7" w:rsidP="00142E6B">
            <w:pPr>
              <w:tabs>
                <w:tab w:val="right" w:pos="1080"/>
                <w:tab w:val="left" w:pos="1296"/>
                <w:tab w:val="left" w:pos="1728"/>
                <w:tab w:val="left" w:pos="2160"/>
                <w:tab w:val="left" w:pos="2592"/>
                <w:tab w:val="right" w:leader="dot" w:pos="9371"/>
              </w:tabs>
              <w:spacing w:after="120"/>
              <w:ind w:left="1330"/>
            </w:pPr>
            <w:r>
              <w:rPr>
                <w:rFonts w:hint="eastAsia"/>
              </w:rPr>
              <w:t>最惠国条款研究组</w:t>
            </w:r>
            <w:r w:rsidR="00142E6B">
              <w:tab/>
            </w:r>
          </w:p>
        </w:tc>
        <w:tc>
          <w:tcPr>
            <w:tcW w:w="696" w:type="dxa"/>
            <w:vAlign w:val="bottom"/>
          </w:tcPr>
          <w:p w:rsidR="001354B7" w:rsidRDefault="00044196">
            <w:pPr>
              <w:spacing w:after="120"/>
              <w:ind w:right="28"/>
              <w:jc w:val="right"/>
            </w:pPr>
            <w:r>
              <w:rPr>
                <w:rFonts w:hint="eastAsia"/>
              </w:rPr>
              <w:t>138</w:t>
            </w:r>
          </w:p>
        </w:tc>
      </w:tr>
    </w:tbl>
    <w:p w:rsidR="00DE61DE" w:rsidRDefault="00DE61DE"/>
    <w:p w:rsidR="000E7875" w:rsidRDefault="000E7875">
      <w:pPr>
        <w:spacing w:line="240" w:lineRule="auto"/>
        <w:jc w:val="left"/>
      </w:pPr>
      <w:bookmarkStart w:id="4" w:name="TmpSave"/>
      <w:bookmarkEnd w:id="4"/>
    </w:p>
    <w:p w:rsidR="000E7875" w:rsidRDefault="000E7875">
      <w:pPr>
        <w:spacing w:line="240" w:lineRule="auto"/>
        <w:jc w:val="left"/>
      </w:pPr>
    </w:p>
    <w:p w:rsidR="003531A9" w:rsidRDefault="003531A9" w:rsidP="003531A9">
      <w:pPr>
        <w:sectPr w:rsidR="003531A9" w:rsidSect="003531A9">
          <w:headerReference w:type="even" r:id="rId13"/>
          <w:headerReference w:type="default" r:id="rId14"/>
          <w:footerReference w:type="even" r:id="rId15"/>
          <w:footerReference w:type="default" r:id="rId16"/>
          <w:footnotePr>
            <w:numRestart w:val="eachSect"/>
          </w:footnotePr>
          <w:pgSz w:w="11909" w:h="16834" w:code="1"/>
          <w:pgMar w:top="1742" w:right="936" w:bottom="1898" w:left="936" w:header="576" w:footer="1030" w:gutter="0"/>
          <w:cols w:space="425"/>
          <w:docGrid w:linePitch="312"/>
        </w:sectPr>
      </w:pPr>
    </w:p>
    <w:p w:rsidR="005200D8" w:rsidRPr="005200D8" w:rsidRDefault="005200D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6920AE" w:rsidRDefault="00D92BEB" w:rsidP="00C70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C70268" w:rsidRPr="006920AE">
        <w:rPr>
          <w:rFonts w:hint="eastAsia"/>
        </w:rPr>
        <w:t>第一章</w:t>
      </w:r>
      <w:r w:rsidR="00C70268" w:rsidRPr="006920AE">
        <w:br/>
      </w:r>
      <w:r w:rsidR="00C70268" w:rsidRPr="006920AE">
        <w:rPr>
          <w:rFonts w:hint="eastAsia"/>
        </w:rPr>
        <w:t>导言</w:t>
      </w:r>
    </w:p>
    <w:p w:rsidR="00D92BEB" w:rsidRPr="00D92BEB" w:rsidRDefault="00D92BEB" w:rsidP="00D92BEB">
      <w:pPr>
        <w:pStyle w:val="SingleTxt"/>
        <w:overflowPunct w:val="0"/>
        <w:spacing w:after="0" w:line="120" w:lineRule="exact"/>
        <w:rPr>
          <w:sz w:val="10"/>
          <w:szCs w:val="21"/>
        </w:rPr>
      </w:pPr>
    </w:p>
    <w:p w:rsidR="00D92BEB" w:rsidRPr="00D92BEB" w:rsidRDefault="00D92BEB" w:rsidP="00D92BEB">
      <w:pPr>
        <w:pStyle w:val="SingleTxt"/>
        <w:overflowPunct w:val="0"/>
        <w:spacing w:after="0" w:line="120" w:lineRule="exact"/>
        <w:rPr>
          <w:sz w:val="10"/>
          <w:szCs w:val="21"/>
        </w:rPr>
      </w:pPr>
    </w:p>
    <w:p w:rsidR="00C70268" w:rsidRPr="00BB6462" w:rsidRDefault="00C70268" w:rsidP="00D92BEB">
      <w:pPr>
        <w:pStyle w:val="SingleTxt"/>
        <w:overflowPunct w:val="0"/>
        <w:rPr>
          <w:szCs w:val="21"/>
        </w:rPr>
      </w:pPr>
      <w:r w:rsidRPr="00BB6462">
        <w:rPr>
          <w:szCs w:val="21"/>
        </w:rPr>
        <w:t>1.</w:t>
      </w:r>
      <w:r w:rsidR="00D92BEB">
        <w:rPr>
          <w:rFonts w:hint="eastAsia"/>
          <w:szCs w:val="21"/>
        </w:rPr>
        <w:t xml:space="preserve">  </w:t>
      </w:r>
      <w:r w:rsidRPr="00BB6462">
        <w:rPr>
          <w:szCs w:val="21"/>
        </w:rPr>
        <w:t>国际法委员会分别于</w:t>
      </w:r>
      <w:r w:rsidRPr="00BB6462">
        <w:rPr>
          <w:szCs w:val="21"/>
        </w:rPr>
        <w:t>2015</w:t>
      </w:r>
      <w:r w:rsidRPr="00BB6462">
        <w:rPr>
          <w:szCs w:val="21"/>
        </w:rPr>
        <w:t>年</w:t>
      </w:r>
      <w:r w:rsidRPr="00BB6462">
        <w:rPr>
          <w:szCs w:val="21"/>
        </w:rPr>
        <w:t>5</w:t>
      </w:r>
      <w:r w:rsidRPr="00BB6462">
        <w:rPr>
          <w:szCs w:val="21"/>
        </w:rPr>
        <w:t>月</w:t>
      </w:r>
      <w:r w:rsidRPr="00BB6462">
        <w:rPr>
          <w:szCs w:val="21"/>
        </w:rPr>
        <w:t>4</w:t>
      </w:r>
      <w:r w:rsidRPr="00BB6462">
        <w:rPr>
          <w:szCs w:val="21"/>
        </w:rPr>
        <w:t>日至</w:t>
      </w:r>
      <w:r w:rsidRPr="00BB6462">
        <w:rPr>
          <w:szCs w:val="21"/>
        </w:rPr>
        <w:t>6</w:t>
      </w:r>
      <w:r w:rsidRPr="00BB6462">
        <w:rPr>
          <w:szCs w:val="21"/>
        </w:rPr>
        <w:t>月</w:t>
      </w:r>
      <w:r w:rsidRPr="00BB6462">
        <w:rPr>
          <w:szCs w:val="21"/>
        </w:rPr>
        <w:t>5</w:t>
      </w:r>
      <w:r w:rsidRPr="00BB6462">
        <w:rPr>
          <w:szCs w:val="21"/>
        </w:rPr>
        <w:t>日和</w:t>
      </w:r>
      <w:r w:rsidRPr="00BB6462">
        <w:rPr>
          <w:szCs w:val="21"/>
        </w:rPr>
        <w:t>2015</w:t>
      </w:r>
      <w:r w:rsidRPr="00BB6462">
        <w:rPr>
          <w:szCs w:val="21"/>
        </w:rPr>
        <w:t>年</w:t>
      </w:r>
      <w:r w:rsidRPr="00BB6462">
        <w:rPr>
          <w:szCs w:val="21"/>
        </w:rPr>
        <w:t>7</w:t>
      </w:r>
      <w:r w:rsidRPr="00BB6462">
        <w:rPr>
          <w:szCs w:val="21"/>
        </w:rPr>
        <w:t>月</w:t>
      </w:r>
      <w:r w:rsidRPr="00BB6462">
        <w:rPr>
          <w:szCs w:val="21"/>
        </w:rPr>
        <w:t>6</w:t>
      </w:r>
      <w:r w:rsidRPr="00BB6462">
        <w:rPr>
          <w:szCs w:val="21"/>
        </w:rPr>
        <w:t>日至</w:t>
      </w:r>
      <w:r w:rsidRPr="00BB6462">
        <w:rPr>
          <w:szCs w:val="21"/>
        </w:rPr>
        <w:t>8</w:t>
      </w:r>
      <w:r w:rsidRPr="00BB6462">
        <w:rPr>
          <w:szCs w:val="21"/>
        </w:rPr>
        <w:t>月</w:t>
      </w:r>
      <w:r w:rsidRPr="00BB6462">
        <w:rPr>
          <w:szCs w:val="21"/>
        </w:rPr>
        <w:t>7</w:t>
      </w:r>
      <w:r w:rsidRPr="00BB6462">
        <w:rPr>
          <w:szCs w:val="21"/>
        </w:rPr>
        <w:t>日在联合国日内瓦办事处委员会所在地举行了第六十七届会议第一期会议和第二期会议。本届会议由委员会第六十六届会议第一副主席村濑信也先生主持开幕。</w:t>
      </w: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tab/>
        <w:t>A.</w:t>
      </w:r>
      <w:r w:rsidRPr="00BB6462">
        <w:tab/>
        <w:t>委员</w:t>
      </w:r>
    </w:p>
    <w:p w:rsidR="00D92BEB" w:rsidRPr="00D92BEB" w:rsidRDefault="00D92BEB" w:rsidP="00D92BEB">
      <w:pPr>
        <w:pStyle w:val="SingleTxt"/>
        <w:overflowPunct w:val="0"/>
        <w:spacing w:after="0" w:line="120" w:lineRule="exact"/>
        <w:rPr>
          <w:snapToGrid w:val="0"/>
          <w:kern w:val="0"/>
          <w:sz w:val="10"/>
          <w:szCs w:val="21"/>
        </w:rPr>
      </w:pPr>
    </w:p>
    <w:p w:rsidR="00D92BEB" w:rsidRPr="00D92BEB" w:rsidRDefault="00D92BEB" w:rsidP="00D92BEB">
      <w:pPr>
        <w:pStyle w:val="SingleTxt"/>
        <w:overflowPunct w:val="0"/>
        <w:spacing w:after="0" w:line="120" w:lineRule="exact"/>
        <w:rPr>
          <w:snapToGrid w:val="0"/>
          <w:kern w:val="0"/>
          <w:sz w:val="10"/>
          <w:szCs w:val="21"/>
        </w:rPr>
      </w:pPr>
    </w:p>
    <w:p w:rsidR="00C70268" w:rsidRPr="00BB6462" w:rsidRDefault="00C70268" w:rsidP="00D92BEB">
      <w:pPr>
        <w:pStyle w:val="SingleTxt"/>
        <w:overflowPunct w:val="0"/>
        <w:rPr>
          <w:rFonts w:hAnsi="宋体"/>
          <w:snapToGrid w:val="0"/>
          <w:kern w:val="0"/>
          <w:szCs w:val="21"/>
        </w:rPr>
      </w:pPr>
      <w:r w:rsidRPr="00BB6462">
        <w:rPr>
          <w:snapToGrid w:val="0"/>
          <w:kern w:val="0"/>
          <w:szCs w:val="21"/>
        </w:rPr>
        <w:t>2.</w:t>
      </w:r>
      <w:r w:rsidR="00D92BEB">
        <w:rPr>
          <w:rFonts w:hint="eastAsia"/>
          <w:snapToGrid w:val="0"/>
          <w:kern w:val="0"/>
          <w:szCs w:val="21"/>
        </w:rPr>
        <w:t xml:space="preserve">  </w:t>
      </w:r>
      <w:r w:rsidRPr="00BB6462">
        <w:rPr>
          <w:snapToGrid w:val="0"/>
          <w:kern w:val="0"/>
          <w:szCs w:val="21"/>
        </w:rPr>
        <w:t>委员会</w:t>
      </w:r>
      <w:r w:rsidRPr="00BB6462">
        <w:rPr>
          <w:rFonts w:hAnsi="宋体"/>
          <w:snapToGrid w:val="0"/>
          <w:kern w:val="0"/>
          <w:szCs w:val="21"/>
        </w:rPr>
        <w:t>包括下列成员：</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穆罕默德</w:t>
      </w:r>
      <w:r w:rsidRPr="00BB6462">
        <w:rPr>
          <w:rFonts w:hint="eastAsia"/>
          <w:szCs w:val="21"/>
        </w:rPr>
        <w:t>·</w:t>
      </w:r>
      <w:r w:rsidRPr="00BB6462">
        <w:rPr>
          <w:rFonts w:hAnsi="宋体"/>
          <w:snapToGrid w:val="0"/>
          <w:kern w:val="0"/>
          <w:szCs w:val="21"/>
        </w:rPr>
        <w:t>贝洛</w:t>
      </w:r>
      <w:r w:rsidRPr="00BB6462">
        <w:rPr>
          <w:rFonts w:hint="eastAsia"/>
          <w:szCs w:val="21"/>
        </w:rPr>
        <w:t>·</w:t>
      </w:r>
      <w:r w:rsidRPr="00BB6462">
        <w:rPr>
          <w:rFonts w:hAnsi="宋体"/>
          <w:snapToGrid w:val="0"/>
          <w:kern w:val="0"/>
          <w:szCs w:val="21"/>
        </w:rPr>
        <w:t>阿多克先生</w:t>
      </w:r>
      <w:r w:rsidRPr="00BB6462">
        <w:rPr>
          <w:rFonts w:hAnsi="宋体"/>
          <w:snapToGrid w:val="0"/>
          <w:kern w:val="0"/>
          <w:szCs w:val="21"/>
        </w:rPr>
        <w:t>(</w:t>
      </w:r>
      <w:r w:rsidRPr="00BB6462">
        <w:rPr>
          <w:rFonts w:hAnsi="宋体"/>
          <w:snapToGrid w:val="0"/>
          <w:kern w:val="0"/>
          <w:szCs w:val="21"/>
        </w:rPr>
        <w:t>尼日利亚</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阿里</w:t>
      </w:r>
      <w:r w:rsidRPr="00BB6462">
        <w:rPr>
          <w:rFonts w:hint="eastAsia"/>
          <w:szCs w:val="21"/>
        </w:rPr>
        <w:t>·</w:t>
      </w:r>
      <w:r w:rsidRPr="00BB6462">
        <w:rPr>
          <w:rFonts w:hAnsi="宋体"/>
          <w:snapToGrid w:val="0"/>
          <w:kern w:val="0"/>
          <w:szCs w:val="21"/>
        </w:rPr>
        <w:t>穆赫辛</w:t>
      </w:r>
      <w:r w:rsidRPr="00BB6462">
        <w:rPr>
          <w:rFonts w:hint="eastAsia"/>
          <w:szCs w:val="21"/>
        </w:rPr>
        <w:t>·</w:t>
      </w:r>
      <w:r w:rsidRPr="00BB6462">
        <w:rPr>
          <w:rFonts w:hAnsi="宋体"/>
          <w:snapToGrid w:val="0"/>
          <w:kern w:val="0"/>
          <w:szCs w:val="21"/>
        </w:rPr>
        <w:t>费塔伊斯</w:t>
      </w:r>
      <w:r w:rsidRPr="00BB6462">
        <w:rPr>
          <w:rFonts w:hint="eastAsia"/>
          <w:szCs w:val="21"/>
        </w:rPr>
        <w:t>·</w:t>
      </w:r>
      <w:r w:rsidRPr="00BB6462">
        <w:rPr>
          <w:rFonts w:hAnsi="宋体"/>
          <w:snapToGrid w:val="0"/>
          <w:kern w:val="0"/>
          <w:szCs w:val="21"/>
        </w:rPr>
        <w:t>马里先生</w:t>
      </w:r>
      <w:r w:rsidRPr="00BB6462">
        <w:rPr>
          <w:rFonts w:hAnsi="宋体"/>
          <w:snapToGrid w:val="0"/>
          <w:kern w:val="0"/>
          <w:szCs w:val="21"/>
        </w:rPr>
        <w:t>(</w:t>
      </w:r>
      <w:r w:rsidRPr="00BB6462">
        <w:rPr>
          <w:rFonts w:hAnsi="宋体"/>
          <w:snapToGrid w:val="0"/>
          <w:kern w:val="0"/>
          <w:szCs w:val="21"/>
        </w:rPr>
        <w:t>卡塔尔</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卢修斯</w:t>
      </w:r>
      <w:r w:rsidRPr="00BB6462">
        <w:rPr>
          <w:rFonts w:hint="eastAsia"/>
          <w:szCs w:val="21"/>
        </w:rPr>
        <w:t>·</w:t>
      </w:r>
      <w:r w:rsidRPr="00BB6462">
        <w:rPr>
          <w:rFonts w:hAnsi="宋体"/>
          <w:snapToGrid w:val="0"/>
          <w:kern w:val="0"/>
          <w:szCs w:val="21"/>
        </w:rPr>
        <w:t>卡弗利施先生</w:t>
      </w:r>
      <w:r w:rsidRPr="00BB6462">
        <w:rPr>
          <w:rFonts w:hAnsi="宋体"/>
          <w:snapToGrid w:val="0"/>
          <w:kern w:val="0"/>
          <w:szCs w:val="21"/>
        </w:rPr>
        <w:t>(</w:t>
      </w:r>
      <w:r w:rsidRPr="00BB6462">
        <w:rPr>
          <w:rFonts w:hAnsi="宋体"/>
          <w:snapToGrid w:val="0"/>
          <w:kern w:val="0"/>
          <w:szCs w:val="21"/>
        </w:rPr>
        <w:t>瑞士</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恩里克·坎迪奥蒂先生</w:t>
      </w:r>
      <w:r w:rsidRPr="00BB6462">
        <w:rPr>
          <w:rFonts w:hAnsi="宋体"/>
          <w:snapToGrid w:val="0"/>
          <w:kern w:val="0"/>
          <w:szCs w:val="21"/>
        </w:rPr>
        <w:t>(</w:t>
      </w:r>
      <w:r w:rsidRPr="00BB6462">
        <w:rPr>
          <w:rFonts w:hAnsi="宋体"/>
          <w:snapToGrid w:val="0"/>
          <w:kern w:val="0"/>
          <w:szCs w:val="21"/>
        </w:rPr>
        <w:t>阿根廷</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佩德罗</w:t>
      </w:r>
      <w:r w:rsidRPr="00BB6462">
        <w:rPr>
          <w:rFonts w:hint="eastAsia"/>
          <w:szCs w:val="21"/>
        </w:rPr>
        <w:t>·</w:t>
      </w:r>
      <w:r w:rsidRPr="00BB6462">
        <w:rPr>
          <w:rFonts w:hAnsi="宋体"/>
          <w:snapToGrid w:val="0"/>
          <w:kern w:val="0"/>
          <w:szCs w:val="21"/>
        </w:rPr>
        <w:t>科米萨里奥</w:t>
      </w:r>
      <w:r w:rsidRPr="00BB6462">
        <w:rPr>
          <w:rFonts w:hint="eastAsia"/>
          <w:szCs w:val="21"/>
        </w:rPr>
        <w:t>·</w:t>
      </w:r>
      <w:r w:rsidRPr="00BB6462">
        <w:rPr>
          <w:rFonts w:hAnsi="宋体"/>
          <w:snapToGrid w:val="0"/>
          <w:kern w:val="0"/>
          <w:szCs w:val="21"/>
        </w:rPr>
        <w:t>阿丰索先生</w:t>
      </w:r>
      <w:r w:rsidRPr="00BB6462">
        <w:rPr>
          <w:rFonts w:hAnsi="宋体"/>
          <w:snapToGrid w:val="0"/>
          <w:kern w:val="0"/>
          <w:szCs w:val="21"/>
        </w:rPr>
        <w:t>(</w:t>
      </w:r>
      <w:r w:rsidRPr="00BB6462">
        <w:rPr>
          <w:rFonts w:hAnsi="宋体"/>
          <w:snapToGrid w:val="0"/>
          <w:kern w:val="0"/>
          <w:szCs w:val="21"/>
        </w:rPr>
        <w:t>莫桑比克</w:t>
      </w:r>
      <w:r w:rsidRPr="00BB6462">
        <w:rPr>
          <w:rFonts w:hAnsi="宋体"/>
          <w:snapToGrid w:val="0"/>
          <w:kern w:val="0"/>
          <w:szCs w:val="21"/>
        </w:rPr>
        <w:t>)</w:t>
      </w:r>
    </w:p>
    <w:p w:rsidR="00C70268" w:rsidRPr="00BB6462" w:rsidRDefault="00C70268" w:rsidP="00C70268">
      <w:pPr>
        <w:pStyle w:val="SingleTxt"/>
        <w:overflowPunct w:val="0"/>
        <w:ind w:left="1695"/>
        <w:rPr>
          <w:rFonts w:hAnsi="宋体"/>
          <w:szCs w:val="21"/>
        </w:rPr>
      </w:pPr>
      <w:r w:rsidRPr="00BB6462">
        <w:rPr>
          <w:rFonts w:hAnsi="宋体"/>
          <w:snapToGrid w:val="0"/>
          <w:kern w:val="0"/>
          <w:szCs w:val="21"/>
        </w:rPr>
        <w:t>阿卜杜勒拉齐克</w:t>
      </w:r>
      <w:r w:rsidRPr="00BB6462">
        <w:rPr>
          <w:rFonts w:hint="eastAsia"/>
          <w:szCs w:val="21"/>
        </w:rPr>
        <w:t>·</w:t>
      </w:r>
      <w:r w:rsidRPr="00BB6462">
        <w:rPr>
          <w:rFonts w:hAnsi="宋体"/>
          <w:snapToGrid w:val="0"/>
          <w:kern w:val="0"/>
          <w:szCs w:val="21"/>
        </w:rPr>
        <w:t>穆尔塔迪</w:t>
      </w:r>
      <w:r w:rsidRPr="00BB6462">
        <w:rPr>
          <w:rFonts w:hint="eastAsia"/>
          <w:szCs w:val="21"/>
        </w:rPr>
        <w:t>·</w:t>
      </w:r>
      <w:r w:rsidRPr="00BB6462">
        <w:rPr>
          <w:rFonts w:hAnsi="宋体"/>
          <w:snapToGrid w:val="0"/>
          <w:kern w:val="0"/>
          <w:szCs w:val="21"/>
        </w:rPr>
        <w:t>苏莱曼</w:t>
      </w:r>
      <w:r w:rsidRPr="00BB6462">
        <w:rPr>
          <w:rFonts w:hint="eastAsia"/>
          <w:szCs w:val="21"/>
        </w:rPr>
        <w:t>·</w:t>
      </w:r>
      <w:r w:rsidRPr="00BB6462">
        <w:rPr>
          <w:rFonts w:hAnsi="宋体"/>
          <w:snapToGrid w:val="0"/>
          <w:kern w:val="0"/>
          <w:szCs w:val="21"/>
        </w:rPr>
        <w:t>古伊德尔</w:t>
      </w:r>
      <w:r w:rsidRPr="00BB6462">
        <w:rPr>
          <w:rFonts w:hAnsi="宋体"/>
          <w:szCs w:val="21"/>
        </w:rPr>
        <w:t>先生</w:t>
      </w:r>
      <w:r w:rsidRPr="00BB6462">
        <w:rPr>
          <w:rFonts w:hAnsi="宋体"/>
          <w:szCs w:val="21"/>
        </w:rPr>
        <w:t>(</w:t>
      </w:r>
      <w:r w:rsidRPr="00BB6462">
        <w:rPr>
          <w:rFonts w:hAnsi="宋体"/>
          <w:szCs w:val="21"/>
        </w:rPr>
        <w:t>利比亚</w:t>
      </w:r>
      <w:r w:rsidRPr="00BB6462">
        <w:rPr>
          <w:rFonts w:hAnsi="宋体"/>
          <w:szCs w:val="21"/>
        </w:rPr>
        <w:t>)</w:t>
      </w:r>
    </w:p>
    <w:p w:rsidR="00C70268" w:rsidRPr="00BB6462" w:rsidRDefault="00C70268" w:rsidP="00C70268">
      <w:pPr>
        <w:pStyle w:val="SingleTxt"/>
        <w:overflowPunct w:val="0"/>
        <w:ind w:left="1695"/>
        <w:rPr>
          <w:rFonts w:hAnsi="宋体"/>
          <w:szCs w:val="21"/>
        </w:rPr>
      </w:pPr>
      <w:r w:rsidRPr="00BB6462">
        <w:rPr>
          <w:rFonts w:hAnsi="宋体"/>
          <w:szCs w:val="21"/>
        </w:rPr>
        <w:t>康塞普西翁</w:t>
      </w:r>
      <w:r w:rsidRPr="00BB6462">
        <w:rPr>
          <w:rFonts w:hint="eastAsia"/>
          <w:szCs w:val="21"/>
        </w:rPr>
        <w:t>·</w:t>
      </w:r>
      <w:r w:rsidRPr="00BB6462">
        <w:rPr>
          <w:rFonts w:hAnsi="宋体"/>
          <w:szCs w:val="21"/>
        </w:rPr>
        <w:t>埃斯科瓦尔</w:t>
      </w:r>
      <w:r w:rsidRPr="00BB6462">
        <w:rPr>
          <w:rFonts w:hint="eastAsia"/>
          <w:szCs w:val="21"/>
        </w:rPr>
        <w:t>·</w:t>
      </w:r>
      <w:r w:rsidRPr="00BB6462">
        <w:rPr>
          <w:rFonts w:hAnsi="宋体"/>
          <w:szCs w:val="21"/>
        </w:rPr>
        <w:t>埃尔南德斯女士</w:t>
      </w:r>
      <w:r w:rsidRPr="00BB6462">
        <w:rPr>
          <w:rFonts w:hAnsi="宋体"/>
          <w:szCs w:val="21"/>
        </w:rPr>
        <w:t>(</w:t>
      </w:r>
      <w:r w:rsidRPr="00BB6462">
        <w:rPr>
          <w:rFonts w:hAnsi="宋体"/>
          <w:szCs w:val="21"/>
        </w:rPr>
        <w:t>西班牙</w:t>
      </w:r>
      <w:r w:rsidRPr="00BB6462">
        <w:rPr>
          <w:rFonts w:hAnsi="宋体"/>
          <w:szCs w:val="21"/>
        </w:rPr>
        <w:t>)</w:t>
      </w:r>
    </w:p>
    <w:p w:rsidR="00C70268" w:rsidRPr="00BB6462" w:rsidRDefault="00C70268" w:rsidP="00C70268">
      <w:pPr>
        <w:pStyle w:val="SingleTxt"/>
        <w:overflowPunct w:val="0"/>
        <w:ind w:left="1695"/>
        <w:rPr>
          <w:rFonts w:hAnsi="宋体"/>
          <w:szCs w:val="21"/>
        </w:rPr>
      </w:pPr>
      <w:r w:rsidRPr="00BB6462">
        <w:rPr>
          <w:rFonts w:hAnsi="宋体"/>
          <w:szCs w:val="21"/>
        </w:rPr>
        <w:t>马蒂亚斯</w:t>
      </w:r>
      <w:r w:rsidRPr="00BB6462">
        <w:rPr>
          <w:rFonts w:hint="eastAsia"/>
          <w:szCs w:val="21"/>
        </w:rPr>
        <w:t>·</w:t>
      </w:r>
      <w:r w:rsidRPr="00BB6462">
        <w:rPr>
          <w:rFonts w:hAnsi="宋体"/>
          <w:szCs w:val="21"/>
        </w:rPr>
        <w:t>福尔托先生</w:t>
      </w:r>
      <w:r w:rsidRPr="00BB6462">
        <w:rPr>
          <w:rFonts w:hAnsi="宋体"/>
          <w:szCs w:val="21"/>
        </w:rPr>
        <w:t>(</w:t>
      </w:r>
      <w:r w:rsidRPr="00BB6462">
        <w:rPr>
          <w:rFonts w:hAnsi="宋体"/>
          <w:szCs w:val="21"/>
        </w:rPr>
        <w:t>法国</w:t>
      </w:r>
      <w:r w:rsidRPr="00BB6462">
        <w:rPr>
          <w:rFonts w:hAnsi="宋体"/>
          <w:szCs w:val="21"/>
        </w:rPr>
        <w:t>)</w:t>
      </w:r>
    </w:p>
    <w:p w:rsidR="00C70268" w:rsidRPr="00BB6462" w:rsidRDefault="00C70268" w:rsidP="00C70268">
      <w:pPr>
        <w:pStyle w:val="SingleTxt"/>
        <w:overflowPunct w:val="0"/>
        <w:ind w:left="1695"/>
        <w:rPr>
          <w:rFonts w:hAnsi="宋体"/>
          <w:szCs w:val="21"/>
        </w:rPr>
      </w:pPr>
      <w:r w:rsidRPr="00BB6462">
        <w:rPr>
          <w:rFonts w:hAnsi="宋体"/>
          <w:szCs w:val="21"/>
        </w:rPr>
        <w:t>胡安</w:t>
      </w:r>
      <w:r w:rsidRPr="00BB6462">
        <w:rPr>
          <w:rFonts w:hint="eastAsia"/>
          <w:szCs w:val="21"/>
        </w:rPr>
        <w:t>·</w:t>
      </w:r>
      <w:r w:rsidRPr="00BB6462">
        <w:rPr>
          <w:rFonts w:hAnsi="宋体"/>
          <w:szCs w:val="21"/>
        </w:rPr>
        <w:t>曼努埃尔</w:t>
      </w:r>
      <w:r w:rsidRPr="00BB6462">
        <w:rPr>
          <w:rFonts w:hint="eastAsia"/>
          <w:szCs w:val="21"/>
        </w:rPr>
        <w:t>·</w:t>
      </w:r>
      <w:r w:rsidRPr="00BB6462">
        <w:rPr>
          <w:rFonts w:hAnsi="宋体"/>
          <w:szCs w:val="21"/>
        </w:rPr>
        <w:t>戈麦斯－罗夫莱多先生</w:t>
      </w:r>
      <w:r w:rsidRPr="00BB6462">
        <w:rPr>
          <w:rFonts w:hAnsi="宋体"/>
          <w:szCs w:val="21"/>
        </w:rPr>
        <w:t>(</w:t>
      </w:r>
      <w:r w:rsidRPr="00BB6462">
        <w:rPr>
          <w:rFonts w:hAnsi="宋体"/>
          <w:szCs w:val="21"/>
        </w:rPr>
        <w:t>墨西哥</w:t>
      </w:r>
      <w:r w:rsidRPr="00BB6462">
        <w:rPr>
          <w:rFonts w:hAnsi="宋体"/>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侯赛因·哈苏纳先生</w:t>
      </w:r>
      <w:r w:rsidRPr="00BB6462">
        <w:rPr>
          <w:rFonts w:hAnsi="宋体"/>
          <w:snapToGrid w:val="0"/>
          <w:kern w:val="0"/>
          <w:szCs w:val="21"/>
        </w:rPr>
        <w:t>(</w:t>
      </w:r>
      <w:r w:rsidRPr="00BB6462">
        <w:rPr>
          <w:rFonts w:hAnsi="宋体"/>
          <w:snapToGrid w:val="0"/>
          <w:kern w:val="0"/>
          <w:szCs w:val="21"/>
        </w:rPr>
        <w:t>埃及</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马哈茂德</w:t>
      </w:r>
      <w:r w:rsidRPr="00BB6462">
        <w:rPr>
          <w:rFonts w:hint="eastAsia"/>
          <w:szCs w:val="21"/>
        </w:rPr>
        <w:t>·</w:t>
      </w:r>
      <w:r w:rsidRPr="00BB6462">
        <w:rPr>
          <w:rFonts w:hAnsi="宋体"/>
          <w:snapToGrid w:val="0"/>
          <w:kern w:val="0"/>
          <w:szCs w:val="21"/>
        </w:rPr>
        <w:t>哈穆德先生</w:t>
      </w:r>
      <w:r w:rsidRPr="00BB6462">
        <w:rPr>
          <w:rFonts w:hAnsi="宋体"/>
          <w:snapToGrid w:val="0"/>
          <w:kern w:val="0"/>
          <w:szCs w:val="21"/>
        </w:rPr>
        <w:t>(</w:t>
      </w:r>
      <w:r w:rsidRPr="00BB6462">
        <w:rPr>
          <w:rFonts w:hAnsi="宋体"/>
          <w:snapToGrid w:val="0"/>
          <w:kern w:val="0"/>
          <w:szCs w:val="21"/>
        </w:rPr>
        <w:t>约旦</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黄惠康先生</w:t>
      </w:r>
      <w:r w:rsidRPr="00BB6462">
        <w:rPr>
          <w:rFonts w:hAnsi="宋体"/>
          <w:snapToGrid w:val="0"/>
          <w:kern w:val="0"/>
          <w:szCs w:val="21"/>
        </w:rPr>
        <w:t>(</w:t>
      </w:r>
      <w:r w:rsidRPr="00BB6462">
        <w:rPr>
          <w:rFonts w:hAnsi="宋体"/>
          <w:snapToGrid w:val="0"/>
          <w:kern w:val="0"/>
          <w:szCs w:val="21"/>
        </w:rPr>
        <w:t>中国</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玛丽</w:t>
      </w:r>
      <w:r w:rsidRPr="00BB6462">
        <w:rPr>
          <w:rFonts w:hint="eastAsia"/>
          <w:szCs w:val="21"/>
        </w:rPr>
        <w:t>·</w:t>
      </w:r>
      <w:r w:rsidRPr="00BB6462">
        <w:rPr>
          <w:rFonts w:hAnsi="宋体"/>
          <w:snapToGrid w:val="0"/>
          <w:kern w:val="0"/>
          <w:szCs w:val="21"/>
        </w:rPr>
        <w:t>雅各布松女士</w:t>
      </w:r>
      <w:r w:rsidRPr="00BB6462">
        <w:rPr>
          <w:rFonts w:hAnsi="宋体"/>
          <w:snapToGrid w:val="0"/>
          <w:kern w:val="0"/>
          <w:szCs w:val="21"/>
        </w:rPr>
        <w:t>(</w:t>
      </w:r>
      <w:r w:rsidRPr="00BB6462">
        <w:rPr>
          <w:rFonts w:hAnsi="宋体"/>
          <w:snapToGrid w:val="0"/>
          <w:kern w:val="0"/>
          <w:szCs w:val="21"/>
        </w:rPr>
        <w:t>瑞典</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莫里斯</w:t>
      </w:r>
      <w:r w:rsidRPr="00BB6462">
        <w:rPr>
          <w:rFonts w:hint="eastAsia"/>
          <w:szCs w:val="21"/>
        </w:rPr>
        <w:t>·</w:t>
      </w:r>
      <w:r w:rsidRPr="00BB6462">
        <w:rPr>
          <w:rFonts w:hAnsi="宋体"/>
          <w:snapToGrid w:val="0"/>
          <w:kern w:val="0"/>
          <w:szCs w:val="21"/>
        </w:rPr>
        <w:t>卡姆托先生</w:t>
      </w:r>
      <w:r w:rsidRPr="00BB6462">
        <w:rPr>
          <w:rFonts w:hAnsi="宋体"/>
          <w:snapToGrid w:val="0"/>
          <w:kern w:val="0"/>
          <w:szCs w:val="21"/>
        </w:rPr>
        <w:t>(</w:t>
      </w:r>
      <w:r w:rsidRPr="00BB6462">
        <w:rPr>
          <w:rFonts w:hAnsi="宋体"/>
          <w:snapToGrid w:val="0"/>
          <w:kern w:val="0"/>
          <w:szCs w:val="21"/>
        </w:rPr>
        <w:t>喀麦隆</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江萨</w:t>
      </w:r>
      <w:r w:rsidRPr="00BB6462">
        <w:rPr>
          <w:rFonts w:hint="eastAsia"/>
          <w:szCs w:val="21"/>
        </w:rPr>
        <w:t>·</w:t>
      </w:r>
      <w:r w:rsidRPr="00BB6462">
        <w:rPr>
          <w:rFonts w:hAnsi="宋体"/>
          <w:snapToGrid w:val="0"/>
          <w:kern w:val="0"/>
          <w:szCs w:val="21"/>
        </w:rPr>
        <w:t>吉滴猜萨里先生</w:t>
      </w:r>
      <w:r w:rsidRPr="00BB6462">
        <w:rPr>
          <w:rFonts w:hAnsi="宋体"/>
          <w:snapToGrid w:val="0"/>
          <w:kern w:val="0"/>
          <w:szCs w:val="21"/>
        </w:rPr>
        <w:t>(</w:t>
      </w:r>
      <w:r w:rsidRPr="00BB6462">
        <w:rPr>
          <w:rFonts w:hAnsi="宋体"/>
          <w:snapToGrid w:val="0"/>
          <w:kern w:val="0"/>
          <w:szCs w:val="21"/>
        </w:rPr>
        <w:t>泰国</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罗曼</w:t>
      </w:r>
      <w:r w:rsidRPr="00BB6462">
        <w:rPr>
          <w:rFonts w:hint="eastAsia"/>
          <w:szCs w:val="21"/>
        </w:rPr>
        <w:t>·</w:t>
      </w:r>
      <w:r w:rsidRPr="00BB6462">
        <w:rPr>
          <w:rFonts w:hAnsi="宋体"/>
          <w:snapToGrid w:val="0"/>
          <w:kern w:val="0"/>
          <w:szCs w:val="21"/>
        </w:rPr>
        <w:t>阿</w:t>
      </w:r>
      <w:r w:rsidRPr="00BB6462">
        <w:rPr>
          <w:rFonts w:hint="eastAsia"/>
          <w:szCs w:val="21"/>
        </w:rPr>
        <w:t>·</w:t>
      </w:r>
      <w:r w:rsidRPr="00BB6462">
        <w:rPr>
          <w:rFonts w:hAnsi="宋体"/>
          <w:snapToGrid w:val="0"/>
          <w:kern w:val="0"/>
          <w:szCs w:val="21"/>
        </w:rPr>
        <w:t>科洛德金先生</w:t>
      </w:r>
      <w:r w:rsidRPr="00BB6462">
        <w:rPr>
          <w:rFonts w:hAnsi="宋体"/>
          <w:snapToGrid w:val="0"/>
          <w:kern w:val="0"/>
          <w:szCs w:val="21"/>
        </w:rPr>
        <w:t>(</w:t>
      </w:r>
      <w:r w:rsidRPr="00BB6462">
        <w:rPr>
          <w:rFonts w:hAnsi="宋体"/>
          <w:snapToGrid w:val="0"/>
          <w:kern w:val="0"/>
          <w:szCs w:val="21"/>
        </w:rPr>
        <w:t>俄罗斯联邦</w:t>
      </w:r>
      <w:r w:rsidRPr="00BB6462">
        <w:rPr>
          <w:rFonts w:hAnsi="宋体"/>
          <w:snapToGrid w:val="0"/>
          <w:kern w:val="0"/>
          <w:szCs w:val="21"/>
        </w:rPr>
        <w:t>)</w:t>
      </w:r>
      <w:r w:rsidRPr="003F1277">
        <w:rPr>
          <w:rStyle w:val="a3"/>
          <w:rFonts w:ascii="宋体" w:hAnsi="宋体"/>
          <w:snapToGrid w:val="0"/>
          <w:szCs w:val="21"/>
        </w:rPr>
        <w:footnoteReference w:id="1"/>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艾哈迈德</w:t>
      </w:r>
      <w:r w:rsidRPr="00BB6462">
        <w:rPr>
          <w:rFonts w:hint="eastAsia"/>
          <w:szCs w:val="21"/>
        </w:rPr>
        <w:t>·</w:t>
      </w:r>
      <w:r w:rsidRPr="00BB6462">
        <w:rPr>
          <w:rFonts w:hAnsi="宋体"/>
          <w:snapToGrid w:val="0"/>
          <w:kern w:val="0"/>
          <w:szCs w:val="21"/>
        </w:rPr>
        <w:t>拉腊巴先生</w:t>
      </w:r>
      <w:r w:rsidRPr="00BB6462">
        <w:rPr>
          <w:rFonts w:hAnsi="宋体"/>
          <w:snapToGrid w:val="0"/>
          <w:kern w:val="0"/>
          <w:szCs w:val="21"/>
        </w:rPr>
        <w:t>(</w:t>
      </w:r>
      <w:r w:rsidRPr="00BB6462">
        <w:rPr>
          <w:rFonts w:hAnsi="宋体"/>
          <w:snapToGrid w:val="0"/>
          <w:kern w:val="0"/>
          <w:szCs w:val="21"/>
        </w:rPr>
        <w:t>阿尔及利亚</w:t>
      </w:r>
      <w:r w:rsidRPr="00BB6462">
        <w:rPr>
          <w:rFonts w:hAnsi="宋体"/>
          <w:snapToGrid w:val="0"/>
          <w:kern w:val="0"/>
          <w:szCs w:val="21"/>
        </w:rPr>
        <w:t>)</w:t>
      </w:r>
    </w:p>
    <w:p w:rsidR="00C70268" w:rsidRPr="00BB6462" w:rsidRDefault="00C70268" w:rsidP="00C70268">
      <w:pPr>
        <w:pStyle w:val="SingleTxt"/>
        <w:overflowPunct w:val="0"/>
        <w:ind w:left="1695"/>
        <w:rPr>
          <w:rFonts w:hAnsi="宋体"/>
          <w:snapToGrid w:val="0"/>
          <w:kern w:val="0"/>
          <w:szCs w:val="21"/>
        </w:rPr>
      </w:pPr>
      <w:r w:rsidRPr="00BB6462">
        <w:rPr>
          <w:rFonts w:hAnsi="宋体"/>
          <w:snapToGrid w:val="0"/>
          <w:kern w:val="0"/>
          <w:szCs w:val="21"/>
        </w:rPr>
        <w:t>唐纳德</w:t>
      </w:r>
      <w:r w:rsidRPr="00BB6462">
        <w:rPr>
          <w:rFonts w:hint="eastAsia"/>
          <w:szCs w:val="21"/>
        </w:rPr>
        <w:t>·</w:t>
      </w:r>
      <w:r w:rsidRPr="00BB6462">
        <w:rPr>
          <w:rFonts w:hAnsi="宋体"/>
          <w:snapToGrid w:val="0"/>
          <w:kern w:val="0"/>
          <w:szCs w:val="21"/>
        </w:rPr>
        <w:t>麦克雷先生</w:t>
      </w:r>
      <w:r w:rsidRPr="00BB6462">
        <w:rPr>
          <w:rFonts w:hAnsi="宋体"/>
          <w:snapToGrid w:val="0"/>
          <w:kern w:val="0"/>
          <w:szCs w:val="21"/>
        </w:rPr>
        <w:t>(</w:t>
      </w:r>
      <w:r w:rsidRPr="00BB6462">
        <w:rPr>
          <w:rFonts w:hAnsi="宋体"/>
          <w:snapToGrid w:val="0"/>
          <w:kern w:val="0"/>
          <w:szCs w:val="21"/>
        </w:rPr>
        <w:t>加拿大</w:t>
      </w:r>
      <w:r w:rsidRPr="00BB6462">
        <w:rPr>
          <w:rFonts w:hAnsi="宋体"/>
          <w:snapToGrid w:val="0"/>
          <w:kern w:val="0"/>
          <w:szCs w:val="21"/>
        </w:rPr>
        <w:t>)</w:t>
      </w:r>
    </w:p>
    <w:p w:rsidR="00C70268" w:rsidRPr="00BB6462" w:rsidRDefault="00C70268" w:rsidP="00C70268">
      <w:pPr>
        <w:pStyle w:val="SingleTxt"/>
        <w:overflowPunct w:val="0"/>
        <w:ind w:left="1695"/>
        <w:rPr>
          <w:szCs w:val="21"/>
        </w:rPr>
      </w:pPr>
      <w:r w:rsidRPr="00BB6462">
        <w:rPr>
          <w:rFonts w:hint="eastAsia"/>
          <w:szCs w:val="21"/>
        </w:rPr>
        <w:t>村濑信也先生</w:t>
      </w:r>
      <w:r w:rsidRPr="00BB6462">
        <w:rPr>
          <w:rFonts w:hint="eastAsia"/>
          <w:szCs w:val="21"/>
        </w:rPr>
        <w:t>(</w:t>
      </w:r>
      <w:r w:rsidRPr="00BB6462">
        <w:rPr>
          <w:rFonts w:hint="eastAsia"/>
          <w:szCs w:val="21"/>
        </w:rPr>
        <w:t>日本</w:t>
      </w:r>
      <w:r w:rsidRPr="00BB6462">
        <w:rPr>
          <w:rFonts w:hint="eastAsia"/>
          <w:szCs w:val="21"/>
        </w:rPr>
        <w:t>)</w:t>
      </w:r>
    </w:p>
    <w:p w:rsidR="00C70268" w:rsidRPr="00BB6462" w:rsidRDefault="00C70268" w:rsidP="00C70268">
      <w:pPr>
        <w:pStyle w:val="SingleTxt"/>
        <w:overflowPunct w:val="0"/>
        <w:ind w:left="1695"/>
        <w:rPr>
          <w:szCs w:val="21"/>
        </w:rPr>
      </w:pPr>
      <w:r w:rsidRPr="00BB6462">
        <w:rPr>
          <w:rFonts w:hAnsi="宋体" w:hint="eastAsia"/>
          <w:snapToGrid w:val="0"/>
          <w:kern w:val="0"/>
          <w:szCs w:val="21"/>
        </w:rPr>
        <w:lastRenderedPageBreak/>
        <w:t>肖恩</w:t>
      </w:r>
      <w:r w:rsidRPr="00BB6462">
        <w:rPr>
          <w:rFonts w:hint="eastAsia"/>
          <w:szCs w:val="21"/>
        </w:rPr>
        <w:t>·墨菲先生</w:t>
      </w:r>
      <w:r w:rsidRPr="00BB6462">
        <w:rPr>
          <w:rFonts w:hint="eastAsia"/>
          <w:szCs w:val="21"/>
        </w:rPr>
        <w:t>(</w:t>
      </w:r>
      <w:r w:rsidRPr="00BB6462">
        <w:rPr>
          <w:rFonts w:hint="eastAsia"/>
          <w:szCs w:val="21"/>
        </w:rPr>
        <w:t>美利坚合众国</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贝恩德·尼豪斯先生</w:t>
      </w:r>
      <w:r w:rsidRPr="00BB6462">
        <w:rPr>
          <w:rFonts w:hint="eastAsia"/>
          <w:szCs w:val="21"/>
        </w:rPr>
        <w:t>(</w:t>
      </w:r>
      <w:r w:rsidRPr="00BB6462">
        <w:rPr>
          <w:rFonts w:hint="eastAsia"/>
          <w:szCs w:val="21"/>
        </w:rPr>
        <w:t>哥斯达黎加</w:t>
      </w:r>
      <w:r w:rsidRPr="00BB6462">
        <w:rPr>
          <w:rFonts w:hint="eastAsia"/>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格奥尔格·诺尔特先生</w:t>
      </w:r>
      <w:r w:rsidRPr="00BB6462">
        <w:rPr>
          <w:rFonts w:hAnsi="宋体" w:hint="eastAsia"/>
          <w:snapToGrid w:val="0"/>
          <w:kern w:val="0"/>
          <w:szCs w:val="21"/>
        </w:rPr>
        <w:t>(</w:t>
      </w:r>
      <w:r w:rsidRPr="00BB6462">
        <w:rPr>
          <w:rFonts w:hAnsi="宋体" w:hint="eastAsia"/>
          <w:snapToGrid w:val="0"/>
          <w:kern w:val="0"/>
          <w:szCs w:val="21"/>
        </w:rPr>
        <w:t>德国</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朴基甲先生</w:t>
      </w:r>
      <w:r w:rsidRPr="00BB6462">
        <w:rPr>
          <w:rFonts w:hAnsi="宋体" w:hint="eastAsia"/>
          <w:snapToGrid w:val="0"/>
          <w:kern w:val="0"/>
          <w:szCs w:val="21"/>
        </w:rPr>
        <w:t>(</w:t>
      </w:r>
      <w:r w:rsidRPr="00BB6462">
        <w:rPr>
          <w:rFonts w:hAnsi="宋体" w:hint="eastAsia"/>
          <w:snapToGrid w:val="0"/>
          <w:kern w:val="0"/>
          <w:szCs w:val="21"/>
        </w:rPr>
        <w:t>大韩民国</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克里斯·马伊纳·彼得先生</w:t>
      </w:r>
      <w:r w:rsidRPr="00BB6462">
        <w:rPr>
          <w:rFonts w:hAnsi="宋体" w:hint="eastAsia"/>
          <w:snapToGrid w:val="0"/>
          <w:kern w:val="0"/>
          <w:szCs w:val="21"/>
        </w:rPr>
        <w:t>(</w:t>
      </w:r>
      <w:r w:rsidRPr="00BB6462">
        <w:rPr>
          <w:rFonts w:hAnsi="宋体" w:hint="eastAsia"/>
          <w:snapToGrid w:val="0"/>
          <w:kern w:val="0"/>
          <w:szCs w:val="21"/>
        </w:rPr>
        <w:t>坦桑尼亚联合共和国</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埃内斯特·彼得里奇先生</w:t>
      </w:r>
      <w:r w:rsidRPr="00BB6462">
        <w:rPr>
          <w:rFonts w:hAnsi="宋体" w:hint="eastAsia"/>
          <w:snapToGrid w:val="0"/>
          <w:kern w:val="0"/>
          <w:szCs w:val="21"/>
        </w:rPr>
        <w:t>(</w:t>
      </w:r>
      <w:r w:rsidRPr="00BB6462">
        <w:rPr>
          <w:rFonts w:hAnsi="宋体" w:hint="eastAsia"/>
          <w:snapToGrid w:val="0"/>
          <w:kern w:val="0"/>
          <w:szCs w:val="21"/>
        </w:rPr>
        <w:t>斯洛文尼亚</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吉尔贝托·贝尔涅·萨博亚先生</w:t>
      </w:r>
      <w:r w:rsidRPr="00BB6462">
        <w:rPr>
          <w:rFonts w:hAnsi="宋体" w:hint="eastAsia"/>
          <w:snapToGrid w:val="0"/>
          <w:kern w:val="0"/>
          <w:szCs w:val="21"/>
        </w:rPr>
        <w:t>(</w:t>
      </w:r>
      <w:r w:rsidRPr="00BB6462">
        <w:rPr>
          <w:rFonts w:hAnsi="宋体" w:hint="eastAsia"/>
          <w:snapToGrid w:val="0"/>
          <w:kern w:val="0"/>
          <w:szCs w:val="21"/>
        </w:rPr>
        <w:t>巴西</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纳林德尔·辛格先生</w:t>
      </w:r>
      <w:r w:rsidRPr="00BB6462">
        <w:rPr>
          <w:rFonts w:hAnsi="宋体" w:hint="eastAsia"/>
          <w:snapToGrid w:val="0"/>
          <w:kern w:val="0"/>
          <w:szCs w:val="21"/>
        </w:rPr>
        <w:t>(</w:t>
      </w:r>
      <w:r w:rsidRPr="00BB6462">
        <w:rPr>
          <w:rFonts w:hAnsi="宋体" w:hint="eastAsia"/>
          <w:snapToGrid w:val="0"/>
          <w:kern w:val="0"/>
          <w:szCs w:val="21"/>
        </w:rPr>
        <w:t>印度</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帕维尔·</w:t>
      </w:r>
      <w:r>
        <w:rPr>
          <w:rFonts w:hAnsi="宋体" w:hint="eastAsia"/>
          <w:snapToGrid w:val="0"/>
          <w:kern w:val="0"/>
          <w:szCs w:val="21"/>
        </w:rPr>
        <w:t>斯图尔马</w:t>
      </w:r>
      <w:r w:rsidRPr="00BB6462">
        <w:rPr>
          <w:rFonts w:hAnsi="宋体" w:hint="eastAsia"/>
          <w:snapToGrid w:val="0"/>
          <w:kern w:val="0"/>
          <w:szCs w:val="21"/>
        </w:rPr>
        <w:t>先生</w:t>
      </w:r>
      <w:r w:rsidRPr="00BB6462">
        <w:rPr>
          <w:rFonts w:hAnsi="宋体" w:hint="eastAsia"/>
          <w:snapToGrid w:val="0"/>
          <w:kern w:val="0"/>
          <w:szCs w:val="21"/>
        </w:rPr>
        <w:t>(</w:t>
      </w:r>
      <w:r w:rsidRPr="00BB6462">
        <w:rPr>
          <w:rFonts w:hAnsi="宋体" w:hint="eastAsia"/>
          <w:snapToGrid w:val="0"/>
          <w:kern w:val="0"/>
          <w:szCs w:val="21"/>
        </w:rPr>
        <w:t>捷克共和国</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rFonts w:hAnsi="宋体"/>
          <w:snapToGrid w:val="0"/>
          <w:kern w:val="0"/>
          <w:szCs w:val="21"/>
        </w:rPr>
      </w:pPr>
      <w:r w:rsidRPr="00BB6462">
        <w:rPr>
          <w:rFonts w:hAnsi="宋体" w:hint="eastAsia"/>
          <w:snapToGrid w:val="0"/>
          <w:kern w:val="0"/>
          <w:szCs w:val="21"/>
        </w:rPr>
        <w:t>迪雷·特拉迪先生</w:t>
      </w:r>
      <w:r w:rsidRPr="00BB6462">
        <w:rPr>
          <w:rFonts w:hAnsi="宋体" w:hint="eastAsia"/>
          <w:snapToGrid w:val="0"/>
          <w:kern w:val="0"/>
          <w:szCs w:val="21"/>
        </w:rPr>
        <w:t>(</w:t>
      </w:r>
      <w:r w:rsidRPr="00BB6462">
        <w:rPr>
          <w:rFonts w:hAnsi="宋体" w:hint="eastAsia"/>
          <w:snapToGrid w:val="0"/>
          <w:kern w:val="0"/>
          <w:szCs w:val="21"/>
        </w:rPr>
        <w:t>南非</w:t>
      </w:r>
      <w:r w:rsidRPr="00BB6462">
        <w:rPr>
          <w:rFonts w:hAnsi="宋体" w:hint="eastAsia"/>
          <w:snapToGrid w:val="0"/>
          <w:kern w:val="0"/>
          <w:szCs w:val="21"/>
        </w:rPr>
        <w:t>)</w:t>
      </w:r>
    </w:p>
    <w:p w:rsidR="00C70268" w:rsidRPr="00BB6462" w:rsidRDefault="00C70268" w:rsidP="00C70268">
      <w:pPr>
        <w:pStyle w:val="SingleTxt"/>
        <w:overflowPunct w:val="0"/>
        <w:spacing w:after="120"/>
        <w:ind w:left="1695"/>
        <w:rPr>
          <w:szCs w:val="21"/>
        </w:rPr>
      </w:pPr>
      <w:r w:rsidRPr="00BB6462">
        <w:rPr>
          <w:rFonts w:hAnsi="宋体" w:hint="eastAsia"/>
          <w:snapToGrid w:val="0"/>
          <w:kern w:val="0"/>
          <w:szCs w:val="21"/>
        </w:rPr>
        <w:t>爱德华多·巴伦西亚－奥斯</w:t>
      </w:r>
      <w:r w:rsidRPr="00BB6462">
        <w:rPr>
          <w:rFonts w:hint="eastAsia"/>
          <w:szCs w:val="21"/>
        </w:rPr>
        <w:t>皮纳先生</w:t>
      </w:r>
      <w:r w:rsidRPr="00BB6462">
        <w:rPr>
          <w:rFonts w:hint="eastAsia"/>
          <w:szCs w:val="21"/>
        </w:rPr>
        <w:t>(</w:t>
      </w:r>
      <w:r w:rsidRPr="00BB6462">
        <w:rPr>
          <w:rFonts w:hint="eastAsia"/>
          <w:szCs w:val="21"/>
        </w:rPr>
        <w:t>哥伦比亚</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Ansi="宋体" w:hint="eastAsia"/>
          <w:snapToGrid w:val="0"/>
          <w:kern w:val="0"/>
          <w:szCs w:val="21"/>
        </w:rPr>
        <w:t>马塞洛·巴斯克斯</w:t>
      </w:r>
      <w:r w:rsidRPr="00BB6462">
        <w:rPr>
          <w:rFonts w:hint="eastAsia"/>
          <w:szCs w:val="21"/>
        </w:rPr>
        <w:t>－贝穆德斯先生</w:t>
      </w:r>
      <w:r w:rsidRPr="00BB6462">
        <w:rPr>
          <w:rFonts w:hint="eastAsia"/>
          <w:szCs w:val="21"/>
        </w:rPr>
        <w:t>(</w:t>
      </w:r>
      <w:r w:rsidRPr="00BB6462">
        <w:rPr>
          <w:rFonts w:hint="eastAsia"/>
          <w:szCs w:val="21"/>
        </w:rPr>
        <w:t>厄瓜多尔</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Ansi="宋体" w:hint="eastAsia"/>
          <w:snapToGrid w:val="0"/>
          <w:kern w:val="0"/>
          <w:szCs w:val="21"/>
        </w:rPr>
        <w:t>阿莫斯·瓦科</w:t>
      </w:r>
      <w:r w:rsidRPr="00BB6462">
        <w:rPr>
          <w:rFonts w:hint="eastAsia"/>
          <w:szCs w:val="21"/>
        </w:rPr>
        <w:t>先生</w:t>
      </w:r>
      <w:r w:rsidRPr="00BB6462">
        <w:rPr>
          <w:rFonts w:hint="eastAsia"/>
          <w:szCs w:val="21"/>
        </w:rPr>
        <w:t>(</w:t>
      </w:r>
      <w:r w:rsidRPr="00BB6462">
        <w:rPr>
          <w:rFonts w:hint="eastAsia"/>
          <w:szCs w:val="21"/>
        </w:rPr>
        <w:t>肯尼亚</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努格罗霍·维斯努穆尔蒂先生</w:t>
      </w:r>
      <w:r w:rsidRPr="00BB6462">
        <w:rPr>
          <w:rFonts w:hint="eastAsia"/>
          <w:szCs w:val="21"/>
        </w:rPr>
        <w:t>(</w:t>
      </w:r>
      <w:r w:rsidRPr="00BB6462">
        <w:rPr>
          <w:rFonts w:hint="eastAsia"/>
          <w:szCs w:val="21"/>
        </w:rPr>
        <w:t>印度尼西亚</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Ansi="宋体" w:hint="eastAsia"/>
          <w:snapToGrid w:val="0"/>
          <w:kern w:val="0"/>
          <w:szCs w:val="21"/>
        </w:rPr>
        <w:t>迈克尔·伍德</w:t>
      </w:r>
      <w:r w:rsidRPr="00BB6462">
        <w:rPr>
          <w:rFonts w:hint="eastAsia"/>
          <w:szCs w:val="21"/>
        </w:rPr>
        <w:t>先生</w:t>
      </w:r>
      <w:r w:rsidRPr="00BB6462">
        <w:rPr>
          <w:rFonts w:hint="eastAsia"/>
          <w:szCs w:val="21"/>
        </w:rPr>
        <w:t>(</w:t>
      </w:r>
      <w:r w:rsidRPr="00BB6462">
        <w:rPr>
          <w:rFonts w:hint="eastAsia"/>
          <w:szCs w:val="21"/>
        </w:rPr>
        <w:t>大不列颠及北爱尔兰联合王国</w:t>
      </w:r>
      <w:r w:rsidRPr="00BB6462">
        <w:rPr>
          <w:rFonts w:hint="eastAsia"/>
          <w:szCs w:val="21"/>
        </w:rPr>
        <w:t>)</w:t>
      </w: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B.</w:t>
      </w:r>
      <w:r w:rsidRPr="00BB6462">
        <w:rPr>
          <w:rFonts w:hint="eastAsia"/>
        </w:rPr>
        <w:tab/>
        <w:t>临时空缺</w:t>
      </w:r>
    </w:p>
    <w:p w:rsidR="00D92BEB" w:rsidRPr="00D92BEB" w:rsidRDefault="00D92BEB" w:rsidP="00D92BEB">
      <w:pPr>
        <w:pStyle w:val="SingleTxt"/>
        <w:overflowPunct w:val="0"/>
        <w:spacing w:after="0" w:line="120" w:lineRule="exact"/>
        <w:rPr>
          <w:sz w:val="10"/>
          <w:szCs w:val="21"/>
        </w:rPr>
      </w:pPr>
    </w:p>
    <w:p w:rsidR="00D92BEB" w:rsidRPr="00D92BEB" w:rsidRDefault="00D92BEB" w:rsidP="00D92BEB">
      <w:pPr>
        <w:pStyle w:val="SingleTxt"/>
        <w:overflowPunct w:val="0"/>
        <w:spacing w:after="0" w:line="120" w:lineRule="exact"/>
        <w:rPr>
          <w:sz w:val="10"/>
          <w:szCs w:val="21"/>
        </w:rPr>
      </w:pPr>
    </w:p>
    <w:p w:rsidR="00D92BEB" w:rsidRPr="00C41E4D" w:rsidRDefault="00C70268" w:rsidP="00C41E4D">
      <w:pPr>
        <w:pStyle w:val="SingleTxt"/>
        <w:overflowPunct w:val="0"/>
        <w:rPr>
          <w:szCs w:val="21"/>
        </w:rPr>
      </w:pPr>
      <w:r w:rsidRPr="00BB6462">
        <w:rPr>
          <w:szCs w:val="21"/>
        </w:rPr>
        <w:t>3.</w:t>
      </w:r>
      <w:r w:rsidR="00D92BEB">
        <w:rPr>
          <w:rFonts w:hint="eastAsia"/>
          <w:szCs w:val="21"/>
        </w:rPr>
        <w:t xml:space="preserve">  </w:t>
      </w:r>
      <w:r w:rsidRPr="00BB6462">
        <w:rPr>
          <w:szCs w:val="21"/>
        </w:rPr>
        <w:t>2015</w:t>
      </w:r>
      <w:r w:rsidRPr="00BB6462">
        <w:rPr>
          <w:szCs w:val="21"/>
        </w:rPr>
        <w:t>年</w:t>
      </w:r>
      <w:r w:rsidRPr="00BB6462">
        <w:rPr>
          <w:szCs w:val="21"/>
        </w:rPr>
        <w:t>5</w:t>
      </w:r>
      <w:r w:rsidRPr="00BB6462">
        <w:rPr>
          <w:szCs w:val="21"/>
        </w:rPr>
        <w:t>月</w:t>
      </w:r>
      <w:r w:rsidRPr="00BB6462">
        <w:rPr>
          <w:szCs w:val="21"/>
        </w:rPr>
        <w:t>8</w:t>
      </w:r>
      <w:r w:rsidRPr="00BB6462">
        <w:rPr>
          <w:szCs w:val="21"/>
        </w:rPr>
        <w:t>日，</w:t>
      </w:r>
      <w:r w:rsidRPr="00BB6462">
        <w:rPr>
          <w:rFonts w:hint="eastAsia"/>
          <w:szCs w:val="21"/>
        </w:rPr>
        <w:t>委员会选举罗曼·阿·科洛德金先生填补因基里尔·格沃尔吉扬先生辞职造成的临时空缺。</w:t>
      </w: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92BEB" w:rsidRPr="00D92BEB" w:rsidRDefault="00D92BEB" w:rsidP="00D92BE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C.</w:t>
      </w:r>
      <w:r w:rsidRPr="00BB6462">
        <w:rPr>
          <w:rFonts w:hint="eastAsia"/>
        </w:rPr>
        <w:tab/>
        <w:t>主席团成员和扩大的主席团</w:t>
      </w:r>
    </w:p>
    <w:p w:rsidR="00D92BEB" w:rsidRPr="00D92BEB" w:rsidRDefault="00D92BEB" w:rsidP="00D92BEB">
      <w:pPr>
        <w:pStyle w:val="SingleTxt"/>
        <w:overflowPunct w:val="0"/>
        <w:spacing w:after="0" w:line="120" w:lineRule="exact"/>
        <w:rPr>
          <w:sz w:val="10"/>
          <w:szCs w:val="21"/>
        </w:rPr>
      </w:pPr>
    </w:p>
    <w:p w:rsidR="00D92BEB" w:rsidRPr="00D92BEB" w:rsidRDefault="00D92BEB" w:rsidP="00D92BEB">
      <w:pPr>
        <w:pStyle w:val="SingleTxt"/>
        <w:overflowPunct w:val="0"/>
        <w:spacing w:after="0" w:line="120" w:lineRule="exact"/>
        <w:rPr>
          <w:sz w:val="10"/>
          <w:szCs w:val="21"/>
        </w:rPr>
      </w:pPr>
    </w:p>
    <w:p w:rsidR="00C70268" w:rsidRPr="00BB6462" w:rsidRDefault="00C70268" w:rsidP="00D92BEB">
      <w:pPr>
        <w:pStyle w:val="SingleTxt"/>
        <w:overflowPunct w:val="0"/>
        <w:rPr>
          <w:szCs w:val="21"/>
        </w:rPr>
      </w:pPr>
      <w:r w:rsidRPr="00BB6462">
        <w:rPr>
          <w:rFonts w:hint="eastAsia"/>
          <w:szCs w:val="21"/>
        </w:rPr>
        <w:t>4.</w:t>
      </w:r>
      <w:r w:rsidR="00D92BEB">
        <w:rPr>
          <w:rFonts w:hint="eastAsia"/>
          <w:szCs w:val="21"/>
        </w:rPr>
        <w:t xml:space="preserve">  </w:t>
      </w:r>
      <w:r w:rsidRPr="00BB6462">
        <w:rPr>
          <w:rFonts w:hint="eastAsia"/>
          <w:szCs w:val="21"/>
        </w:rPr>
        <w:t>委员会</w:t>
      </w:r>
      <w:r w:rsidRPr="00BB6462">
        <w:rPr>
          <w:szCs w:val="21"/>
        </w:rPr>
        <w:t>在</w:t>
      </w:r>
      <w:r w:rsidRPr="00BB6462">
        <w:rPr>
          <w:szCs w:val="21"/>
        </w:rPr>
        <w:t>2015</w:t>
      </w:r>
      <w:r w:rsidRPr="00BB6462">
        <w:rPr>
          <w:szCs w:val="21"/>
        </w:rPr>
        <w:t>年</w:t>
      </w:r>
      <w:r w:rsidRPr="00BB6462">
        <w:rPr>
          <w:szCs w:val="21"/>
        </w:rPr>
        <w:t>5</w:t>
      </w:r>
      <w:r w:rsidRPr="00BB6462">
        <w:rPr>
          <w:szCs w:val="21"/>
        </w:rPr>
        <w:t>月</w:t>
      </w:r>
      <w:r w:rsidRPr="00BB6462">
        <w:rPr>
          <w:szCs w:val="21"/>
        </w:rPr>
        <w:t>4</w:t>
      </w:r>
      <w:r w:rsidRPr="00BB6462">
        <w:rPr>
          <w:szCs w:val="21"/>
        </w:rPr>
        <w:t>日举行的第</w:t>
      </w:r>
      <w:r w:rsidRPr="00BB6462">
        <w:rPr>
          <w:szCs w:val="21"/>
        </w:rPr>
        <w:t>3244</w:t>
      </w:r>
      <w:r w:rsidRPr="00BB6462">
        <w:rPr>
          <w:szCs w:val="21"/>
        </w:rPr>
        <w:t>次</w:t>
      </w:r>
      <w:r w:rsidRPr="00BB6462">
        <w:rPr>
          <w:rFonts w:hint="eastAsia"/>
          <w:szCs w:val="21"/>
        </w:rPr>
        <w:t>会议上，选出了下列主席团成员：</w:t>
      </w:r>
    </w:p>
    <w:p w:rsidR="00C70268" w:rsidRPr="00BB6462" w:rsidRDefault="00C70268" w:rsidP="00C70268">
      <w:pPr>
        <w:pStyle w:val="SingleTxt"/>
        <w:overflowPunct w:val="0"/>
        <w:spacing w:after="120"/>
        <w:ind w:left="1695"/>
        <w:rPr>
          <w:szCs w:val="21"/>
        </w:rPr>
      </w:pPr>
      <w:r w:rsidRPr="00BB6462">
        <w:rPr>
          <w:rFonts w:hint="eastAsia"/>
          <w:szCs w:val="21"/>
        </w:rPr>
        <w:t>主席：</w:t>
      </w:r>
      <w:r w:rsidRPr="00BB6462">
        <w:rPr>
          <w:rFonts w:hint="eastAsia"/>
          <w:szCs w:val="21"/>
        </w:rPr>
        <w:tab/>
      </w:r>
      <w:r w:rsidRPr="00BB6462">
        <w:rPr>
          <w:rFonts w:hint="eastAsia"/>
          <w:szCs w:val="21"/>
        </w:rPr>
        <w:tab/>
      </w:r>
      <w:r w:rsidRPr="00BB6462">
        <w:rPr>
          <w:rFonts w:hint="eastAsia"/>
          <w:szCs w:val="21"/>
        </w:rPr>
        <w:tab/>
      </w:r>
      <w:r w:rsidRPr="00BB6462">
        <w:rPr>
          <w:rFonts w:hint="eastAsia"/>
          <w:szCs w:val="21"/>
        </w:rPr>
        <w:t>纳林德尔·辛格先生</w:t>
      </w:r>
      <w:r w:rsidRPr="00BB6462">
        <w:rPr>
          <w:rFonts w:hint="eastAsia"/>
          <w:szCs w:val="21"/>
        </w:rPr>
        <w:t>(</w:t>
      </w:r>
      <w:r w:rsidRPr="00BB6462">
        <w:rPr>
          <w:rFonts w:hint="eastAsia"/>
          <w:szCs w:val="21"/>
        </w:rPr>
        <w:t>印度</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第一副主席：</w:t>
      </w:r>
      <w:r w:rsidRPr="00BB6462">
        <w:rPr>
          <w:rFonts w:hint="eastAsia"/>
          <w:szCs w:val="21"/>
        </w:rPr>
        <w:tab/>
      </w:r>
      <w:r w:rsidRPr="00BB6462">
        <w:rPr>
          <w:rFonts w:hint="eastAsia"/>
          <w:szCs w:val="21"/>
        </w:rPr>
        <w:tab/>
      </w:r>
      <w:r w:rsidRPr="00BB6462">
        <w:rPr>
          <w:rFonts w:hint="eastAsia"/>
          <w:szCs w:val="21"/>
        </w:rPr>
        <w:t>阿莫斯·瓦科先生</w:t>
      </w:r>
      <w:r w:rsidRPr="00BB6462">
        <w:rPr>
          <w:rFonts w:hint="eastAsia"/>
          <w:szCs w:val="21"/>
        </w:rPr>
        <w:t>(</w:t>
      </w:r>
      <w:r w:rsidRPr="00BB6462">
        <w:rPr>
          <w:rFonts w:hint="eastAsia"/>
          <w:szCs w:val="21"/>
        </w:rPr>
        <w:t>肯尼亚</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第二副主席：</w:t>
      </w:r>
      <w:r w:rsidRPr="00BB6462">
        <w:rPr>
          <w:rFonts w:hint="eastAsia"/>
          <w:szCs w:val="21"/>
        </w:rPr>
        <w:tab/>
      </w:r>
      <w:r w:rsidRPr="00BB6462">
        <w:rPr>
          <w:rFonts w:hint="eastAsia"/>
          <w:szCs w:val="21"/>
        </w:rPr>
        <w:tab/>
      </w:r>
      <w:r w:rsidRPr="00BB6462">
        <w:rPr>
          <w:rFonts w:hint="eastAsia"/>
          <w:szCs w:val="21"/>
        </w:rPr>
        <w:t>帕维尔·</w:t>
      </w:r>
      <w:r>
        <w:rPr>
          <w:rFonts w:hint="eastAsia"/>
          <w:szCs w:val="21"/>
        </w:rPr>
        <w:t>斯图尔马</w:t>
      </w:r>
      <w:r w:rsidRPr="00BB6462">
        <w:rPr>
          <w:rFonts w:hint="eastAsia"/>
          <w:szCs w:val="21"/>
        </w:rPr>
        <w:t>先生</w:t>
      </w:r>
      <w:r w:rsidRPr="00BB6462">
        <w:rPr>
          <w:rFonts w:hint="eastAsia"/>
          <w:szCs w:val="21"/>
        </w:rPr>
        <w:t>(</w:t>
      </w:r>
      <w:r w:rsidRPr="00BB6462">
        <w:rPr>
          <w:rFonts w:hint="eastAsia"/>
          <w:szCs w:val="21"/>
        </w:rPr>
        <w:t>捷克共和国</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起草委员会主席：</w:t>
      </w:r>
      <w:r w:rsidRPr="00BB6462">
        <w:rPr>
          <w:rFonts w:hint="eastAsia"/>
          <w:szCs w:val="21"/>
        </w:rPr>
        <w:tab/>
      </w:r>
      <w:r w:rsidRPr="00BB6462">
        <w:rPr>
          <w:rFonts w:hint="eastAsia"/>
          <w:szCs w:val="21"/>
        </w:rPr>
        <w:t>马蒂亚斯·福尔托先生</w:t>
      </w:r>
      <w:r w:rsidRPr="00BB6462">
        <w:rPr>
          <w:rFonts w:hint="eastAsia"/>
          <w:szCs w:val="21"/>
        </w:rPr>
        <w:t>(</w:t>
      </w:r>
      <w:r w:rsidRPr="00BB6462">
        <w:rPr>
          <w:rFonts w:hint="eastAsia"/>
          <w:szCs w:val="21"/>
        </w:rPr>
        <w:t>法国</w:t>
      </w:r>
      <w:r w:rsidRPr="00BB6462">
        <w:rPr>
          <w:rFonts w:hint="eastAsia"/>
          <w:szCs w:val="21"/>
        </w:rPr>
        <w:t>)</w:t>
      </w:r>
    </w:p>
    <w:p w:rsidR="00C70268" w:rsidRPr="00BB6462" w:rsidRDefault="00C70268" w:rsidP="00C70268">
      <w:pPr>
        <w:pStyle w:val="SingleTxt"/>
        <w:overflowPunct w:val="0"/>
        <w:spacing w:after="120"/>
        <w:ind w:left="1695"/>
        <w:rPr>
          <w:szCs w:val="21"/>
        </w:rPr>
      </w:pPr>
      <w:r w:rsidRPr="00BB6462">
        <w:rPr>
          <w:rFonts w:hint="eastAsia"/>
          <w:szCs w:val="21"/>
        </w:rPr>
        <w:t>报告员：</w:t>
      </w:r>
      <w:r w:rsidRPr="00BB6462">
        <w:rPr>
          <w:rFonts w:hint="eastAsia"/>
          <w:szCs w:val="21"/>
        </w:rPr>
        <w:tab/>
      </w:r>
      <w:r w:rsidRPr="00BB6462">
        <w:rPr>
          <w:rFonts w:hint="eastAsia"/>
          <w:szCs w:val="21"/>
        </w:rPr>
        <w:tab/>
      </w:r>
      <w:r w:rsidRPr="00BB6462">
        <w:rPr>
          <w:rFonts w:hint="eastAsia"/>
          <w:szCs w:val="21"/>
        </w:rPr>
        <w:tab/>
      </w:r>
      <w:r w:rsidRPr="00BB6462">
        <w:rPr>
          <w:rFonts w:hint="eastAsia"/>
          <w:szCs w:val="21"/>
        </w:rPr>
        <w:t>马塞洛·巴斯克斯－贝穆德斯先生</w:t>
      </w:r>
      <w:r w:rsidRPr="00BB6462">
        <w:rPr>
          <w:rFonts w:hint="eastAsia"/>
          <w:szCs w:val="21"/>
        </w:rPr>
        <w:t>(</w:t>
      </w:r>
      <w:r w:rsidRPr="00BB6462">
        <w:rPr>
          <w:rFonts w:hint="eastAsia"/>
          <w:szCs w:val="21"/>
        </w:rPr>
        <w:t>厄瓜多尔</w:t>
      </w:r>
      <w:r w:rsidRPr="00BB6462">
        <w:rPr>
          <w:rFonts w:hint="eastAsia"/>
          <w:szCs w:val="21"/>
        </w:rPr>
        <w:t>)</w:t>
      </w:r>
    </w:p>
    <w:p w:rsidR="00C70268" w:rsidRPr="00BB6462" w:rsidRDefault="00C70268" w:rsidP="002B3BAB">
      <w:pPr>
        <w:pStyle w:val="SingleTxt"/>
        <w:overflowPunct w:val="0"/>
        <w:rPr>
          <w:szCs w:val="21"/>
        </w:rPr>
      </w:pPr>
      <w:r w:rsidRPr="00BB6462">
        <w:rPr>
          <w:rFonts w:hint="eastAsia"/>
          <w:szCs w:val="21"/>
        </w:rPr>
        <w:t>5.</w:t>
      </w:r>
      <w:r w:rsidR="002B3BAB">
        <w:rPr>
          <w:rFonts w:hint="eastAsia"/>
          <w:szCs w:val="21"/>
        </w:rPr>
        <w:t xml:space="preserve">  </w:t>
      </w:r>
      <w:r w:rsidRPr="00585D3D">
        <w:rPr>
          <w:rFonts w:hint="eastAsia"/>
          <w:spacing w:val="-4"/>
          <w:szCs w:val="21"/>
        </w:rPr>
        <w:t>委员会扩大的主席团由本届会议主席团成员、委员会前任主席</w:t>
      </w:r>
      <w:r w:rsidRPr="003F1277">
        <w:rPr>
          <w:rStyle w:val="a3"/>
          <w:spacing w:val="-4"/>
          <w:szCs w:val="21"/>
        </w:rPr>
        <w:footnoteReference w:id="2"/>
      </w:r>
      <w:r w:rsidRPr="00585D3D">
        <w:rPr>
          <w:rFonts w:hint="eastAsia"/>
          <w:spacing w:val="-4"/>
          <w:szCs w:val="21"/>
        </w:rPr>
        <w:t xml:space="preserve"> </w:t>
      </w:r>
      <w:r w:rsidRPr="00585D3D">
        <w:rPr>
          <w:rFonts w:hint="eastAsia"/>
          <w:spacing w:val="-4"/>
          <w:szCs w:val="21"/>
        </w:rPr>
        <w:t>和特别报告员</w:t>
      </w:r>
      <w:r w:rsidRPr="003F1277">
        <w:rPr>
          <w:rStyle w:val="a3"/>
          <w:spacing w:val="-4"/>
          <w:szCs w:val="21"/>
        </w:rPr>
        <w:footnoteReference w:id="3"/>
      </w:r>
      <w:r w:rsidR="005D4EF3">
        <w:rPr>
          <w:rFonts w:hint="eastAsia"/>
          <w:spacing w:val="-4"/>
          <w:szCs w:val="21"/>
        </w:rPr>
        <w:t xml:space="preserve"> </w:t>
      </w:r>
      <w:r w:rsidRPr="00BB6462">
        <w:rPr>
          <w:rFonts w:hint="eastAsia"/>
          <w:szCs w:val="21"/>
        </w:rPr>
        <w:t>组成。</w:t>
      </w:r>
    </w:p>
    <w:p w:rsidR="00C70268" w:rsidRPr="00BB6462" w:rsidRDefault="00C70268" w:rsidP="002B3BAB">
      <w:pPr>
        <w:pStyle w:val="SingleTxt"/>
        <w:rPr>
          <w:snapToGrid w:val="0"/>
          <w:spacing w:val="2"/>
          <w:kern w:val="0"/>
          <w:szCs w:val="21"/>
        </w:rPr>
      </w:pPr>
      <w:r w:rsidRPr="00BB6462">
        <w:rPr>
          <w:rFonts w:hint="eastAsia"/>
          <w:snapToGrid w:val="0"/>
          <w:szCs w:val="21"/>
        </w:rPr>
        <w:lastRenderedPageBreak/>
        <w:t>6.</w:t>
      </w:r>
      <w:r w:rsidR="002B3BAB">
        <w:rPr>
          <w:rFonts w:hint="eastAsia"/>
          <w:snapToGrid w:val="0"/>
          <w:szCs w:val="21"/>
        </w:rPr>
        <w:t xml:space="preserve">  </w:t>
      </w:r>
      <w:r w:rsidRPr="00BB6462">
        <w:rPr>
          <w:rFonts w:hint="eastAsia"/>
          <w:snapToGrid w:val="0"/>
          <w:spacing w:val="2"/>
          <w:kern w:val="0"/>
          <w:szCs w:val="21"/>
        </w:rPr>
        <w:t>委员会设立了由下列委员组成的规划组：阿莫斯·瓦科先生</w:t>
      </w:r>
      <w:r w:rsidRPr="00BB6462">
        <w:rPr>
          <w:rFonts w:hint="eastAsia"/>
          <w:snapToGrid w:val="0"/>
          <w:spacing w:val="2"/>
          <w:kern w:val="0"/>
          <w:szCs w:val="21"/>
        </w:rPr>
        <w:t>(</w:t>
      </w:r>
      <w:r w:rsidRPr="00BB6462">
        <w:rPr>
          <w:rFonts w:hint="eastAsia"/>
          <w:snapToGrid w:val="0"/>
          <w:spacing w:val="2"/>
          <w:kern w:val="0"/>
          <w:szCs w:val="21"/>
        </w:rPr>
        <w:t>主席</w:t>
      </w:r>
      <w:r w:rsidRPr="00BB6462">
        <w:rPr>
          <w:rFonts w:hint="eastAsia"/>
          <w:snapToGrid w:val="0"/>
          <w:spacing w:val="2"/>
          <w:kern w:val="0"/>
          <w:szCs w:val="21"/>
        </w:rPr>
        <w:t>)</w:t>
      </w:r>
      <w:r w:rsidRPr="00BB6462">
        <w:rPr>
          <w:rFonts w:hint="eastAsia"/>
          <w:snapToGrid w:val="0"/>
          <w:spacing w:val="2"/>
          <w:kern w:val="0"/>
          <w:szCs w:val="21"/>
        </w:rPr>
        <w:t>、卡弗利施先生、科米萨里奥·阿丰索先生、穆尔塔迪·苏莱曼·古伊德尔先生、埃斯科瓦尔·埃尔南德斯女士、福尔托先生、哈苏纳先生、哈穆德先生、黄先生、雅各布松女士、吉滴猜萨里先生、拉腊巴先生、麦克雷先生、村濑先生、墨菲先生、尼豪斯先生、诺尔特先生、朴先生、彼得里奇先生、</w:t>
      </w:r>
      <w:r>
        <w:rPr>
          <w:rFonts w:hint="eastAsia"/>
          <w:snapToGrid w:val="0"/>
          <w:spacing w:val="2"/>
          <w:kern w:val="0"/>
          <w:szCs w:val="21"/>
        </w:rPr>
        <w:t>斯图尔马</w:t>
      </w:r>
      <w:r w:rsidRPr="00BB6462">
        <w:rPr>
          <w:rFonts w:hint="eastAsia"/>
          <w:snapToGrid w:val="0"/>
          <w:spacing w:val="2"/>
          <w:kern w:val="0"/>
          <w:szCs w:val="21"/>
        </w:rPr>
        <w:t>先生、萨博亚先生、辛格先生、斯图尔马先生、特拉迪先生、维斯努穆尔蒂先生、伍德先生和巴斯克斯－贝穆德斯先生</w:t>
      </w:r>
      <w:r w:rsidRPr="00BB6462">
        <w:rPr>
          <w:rFonts w:hint="eastAsia"/>
          <w:snapToGrid w:val="0"/>
          <w:spacing w:val="2"/>
          <w:kern w:val="0"/>
          <w:szCs w:val="21"/>
        </w:rPr>
        <w:t>(</w:t>
      </w:r>
      <w:r w:rsidRPr="00BB6462">
        <w:rPr>
          <w:rFonts w:hint="eastAsia"/>
          <w:snapToGrid w:val="0"/>
          <w:spacing w:val="2"/>
          <w:kern w:val="0"/>
          <w:szCs w:val="21"/>
        </w:rPr>
        <w:t>当然成员</w:t>
      </w:r>
      <w:r w:rsidRPr="00BB6462">
        <w:rPr>
          <w:rFonts w:hint="eastAsia"/>
          <w:snapToGrid w:val="0"/>
          <w:spacing w:val="2"/>
          <w:kern w:val="0"/>
          <w:szCs w:val="21"/>
        </w:rPr>
        <w:t>)</w:t>
      </w:r>
      <w:r w:rsidRPr="00BB6462">
        <w:rPr>
          <w:rFonts w:hint="eastAsia"/>
          <w:snapToGrid w:val="0"/>
          <w:spacing w:val="2"/>
          <w:kern w:val="0"/>
          <w:szCs w:val="21"/>
        </w:rPr>
        <w:t>。</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D.</w:t>
      </w:r>
      <w:r w:rsidRPr="00BB6462">
        <w:rPr>
          <w:rFonts w:hint="eastAsia"/>
        </w:rPr>
        <w:tab/>
        <w:t>起草委员会</w:t>
      </w:r>
    </w:p>
    <w:p w:rsidR="002B3BAB" w:rsidRPr="002B3BAB" w:rsidRDefault="002B3BAB" w:rsidP="002B3BAB">
      <w:pPr>
        <w:pStyle w:val="SingleTxt"/>
        <w:overflowPunct w:val="0"/>
        <w:spacing w:after="0" w:line="120" w:lineRule="exact"/>
        <w:rPr>
          <w:sz w:val="10"/>
          <w:szCs w:val="21"/>
        </w:rPr>
      </w:pPr>
    </w:p>
    <w:p w:rsidR="002B3BAB" w:rsidRPr="002B3BAB" w:rsidRDefault="002B3BAB" w:rsidP="002B3BAB">
      <w:pPr>
        <w:pStyle w:val="SingleTxt"/>
        <w:overflowPunct w:val="0"/>
        <w:spacing w:after="0" w:line="120" w:lineRule="exact"/>
        <w:rPr>
          <w:sz w:val="10"/>
          <w:szCs w:val="21"/>
        </w:rPr>
      </w:pPr>
    </w:p>
    <w:p w:rsidR="00C70268" w:rsidRPr="00BB6462" w:rsidRDefault="00C70268" w:rsidP="002B3BAB">
      <w:pPr>
        <w:pStyle w:val="SingleTxt"/>
        <w:overflowPunct w:val="0"/>
        <w:rPr>
          <w:szCs w:val="21"/>
        </w:rPr>
      </w:pPr>
      <w:r w:rsidRPr="00BB6462">
        <w:rPr>
          <w:szCs w:val="21"/>
        </w:rPr>
        <w:t>7.</w:t>
      </w:r>
      <w:r w:rsidR="002B3BAB">
        <w:rPr>
          <w:rFonts w:hint="eastAsia"/>
          <w:szCs w:val="21"/>
        </w:rPr>
        <w:t xml:space="preserve">  </w:t>
      </w:r>
      <w:r w:rsidRPr="00BB6462">
        <w:rPr>
          <w:szCs w:val="21"/>
        </w:rPr>
        <w:t>委员会在分别于</w:t>
      </w:r>
      <w:r w:rsidRPr="00BB6462">
        <w:rPr>
          <w:szCs w:val="21"/>
        </w:rPr>
        <w:t>2015</w:t>
      </w:r>
      <w:r w:rsidRPr="00BB6462">
        <w:rPr>
          <w:szCs w:val="21"/>
        </w:rPr>
        <w:t>年</w:t>
      </w:r>
      <w:r w:rsidRPr="00BB6462">
        <w:rPr>
          <w:szCs w:val="21"/>
        </w:rPr>
        <w:t>5</w:t>
      </w:r>
      <w:r w:rsidRPr="00BB6462">
        <w:rPr>
          <w:szCs w:val="21"/>
        </w:rPr>
        <w:t>月</w:t>
      </w:r>
      <w:r w:rsidRPr="00BB6462">
        <w:rPr>
          <w:szCs w:val="21"/>
        </w:rPr>
        <w:t>5</w:t>
      </w:r>
      <w:r w:rsidRPr="00BB6462">
        <w:rPr>
          <w:szCs w:val="21"/>
        </w:rPr>
        <w:t>日、</w:t>
      </w:r>
      <w:r w:rsidRPr="00BB6462">
        <w:rPr>
          <w:szCs w:val="21"/>
        </w:rPr>
        <w:t>13</w:t>
      </w:r>
      <w:r w:rsidRPr="00BB6462">
        <w:rPr>
          <w:szCs w:val="21"/>
        </w:rPr>
        <w:t>日、</w:t>
      </w:r>
      <w:r w:rsidRPr="00BB6462">
        <w:rPr>
          <w:szCs w:val="21"/>
        </w:rPr>
        <w:t>27</w:t>
      </w:r>
      <w:r w:rsidRPr="00BB6462">
        <w:rPr>
          <w:szCs w:val="21"/>
        </w:rPr>
        <w:t>日，</w:t>
      </w:r>
      <w:r w:rsidRPr="00BB6462">
        <w:rPr>
          <w:szCs w:val="21"/>
        </w:rPr>
        <w:t>6</w:t>
      </w:r>
      <w:r w:rsidRPr="00BB6462">
        <w:rPr>
          <w:szCs w:val="21"/>
        </w:rPr>
        <w:t>月</w:t>
      </w:r>
      <w:r w:rsidRPr="00BB6462">
        <w:rPr>
          <w:szCs w:val="21"/>
        </w:rPr>
        <w:t>3</w:t>
      </w:r>
      <w:r w:rsidRPr="00BB6462">
        <w:rPr>
          <w:szCs w:val="21"/>
        </w:rPr>
        <w:t>日以及和</w:t>
      </w:r>
      <w:r w:rsidRPr="00BB6462">
        <w:rPr>
          <w:szCs w:val="21"/>
        </w:rPr>
        <w:t>7</w:t>
      </w:r>
      <w:r w:rsidRPr="00BB6462">
        <w:rPr>
          <w:szCs w:val="21"/>
        </w:rPr>
        <w:t>月</w:t>
      </w:r>
      <w:r w:rsidRPr="00BB6462">
        <w:rPr>
          <w:szCs w:val="21"/>
        </w:rPr>
        <w:t>14</w:t>
      </w:r>
      <w:r w:rsidRPr="00BB6462">
        <w:rPr>
          <w:szCs w:val="21"/>
        </w:rPr>
        <w:t>日、</w:t>
      </w:r>
      <w:r w:rsidRPr="00BB6462">
        <w:rPr>
          <w:szCs w:val="21"/>
        </w:rPr>
        <w:t>24</w:t>
      </w:r>
      <w:r w:rsidRPr="00BB6462">
        <w:rPr>
          <w:szCs w:val="21"/>
        </w:rPr>
        <w:t>日和</w:t>
      </w:r>
      <w:r w:rsidRPr="00BB6462">
        <w:rPr>
          <w:szCs w:val="21"/>
        </w:rPr>
        <w:t>29</w:t>
      </w:r>
      <w:r w:rsidRPr="00BB6462">
        <w:rPr>
          <w:szCs w:val="21"/>
        </w:rPr>
        <w:t>日举行的第</w:t>
      </w:r>
      <w:r w:rsidRPr="00BB6462">
        <w:rPr>
          <w:szCs w:val="21"/>
        </w:rPr>
        <w:t>3245</w:t>
      </w:r>
      <w:r w:rsidRPr="00BB6462">
        <w:rPr>
          <w:szCs w:val="21"/>
        </w:rPr>
        <w:t>、</w:t>
      </w:r>
      <w:r w:rsidRPr="00BB6462">
        <w:rPr>
          <w:szCs w:val="21"/>
        </w:rPr>
        <w:t>3250</w:t>
      </w:r>
      <w:r w:rsidRPr="00BB6462">
        <w:rPr>
          <w:szCs w:val="21"/>
        </w:rPr>
        <w:t>、</w:t>
      </w:r>
      <w:r w:rsidRPr="00BB6462">
        <w:rPr>
          <w:szCs w:val="21"/>
        </w:rPr>
        <w:t>3257</w:t>
      </w:r>
      <w:r w:rsidRPr="00BB6462">
        <w:rPr>
          <w:szCs w:val="21"/>
        </w:rPr>
        <w:t>、</w:t>
      </w:r>
      <w:r w:rsidRPr="00BB6462">
        <w:rPr>
          <w:szCs w:val="21"/>
        </w:rPr>
        <w:t>3261</w:t>
      </w:r>
      <w:r w:rsidRPr="00BB6462">
        <w:rPr>
          <w:szCs w:val="21"/>
        </w:rPr>
        <w:t>、</w:t>
      </w:r>
      <w:r w:rsidRPr="00BB6462">
        <w:rPr>
          <w:szCs w:val="21"/>
        </w:rPr>
        <w:t>3269</w:t>
      </w:r>
      <w:r w:rsidRPr="00BB6462">
        <w:rPr>
          <w:szCs w:val="21"/>
        </w:rPr>
        <w:t>、</w:t>
      </w:r>
      <w:r w:rsidRPr="00BB6462">
        <w:rPr>
          <w:szCs w:val="21"/>
        </w:rPr>
        <w:t>3278</w:t>
      </w:r>
      <w:r w:rsidRPr="00BB6462">
        <w:rPr>
          <w:szCs w:val="21"/>
        </w:rPr>
        <w:t>和</w:t>
      </w:r>
      <w:r w:rsidRPr="00BB6462">
        <w:rPr>
          <w:szCs w:val="21"/>
        </w:rPr>
        <w:t>3280</w:t>
      </w:r>
      <w:r w:rsidRPr="00BB6462">
        <w:rPr>
          <w:szCs w:val="21"/>
        </w:rPr>
        <w:t>次会议</w:t>
      </w:r>
      <w:r w:rsidRPr="00BB6462">
        <w:rPr>
          <w:rFonts w:hint="eastAsia"/>
          <w:szCs w:val="21"/>
        </w:rPr>
        <w:t>上，为下列专题设立了由下列委员组成的起草委员会：</w:t>
      </w:r>
    </w:p>
    <w:p w:rsidR="00C70268" w:rsidRPr="00BB6462" w:rsidRDefault="00C70268" w:rsidP="00C70268">
      <w:pPr>
        <w:pStyle w:val="SingleTxt"/>
        <w:overflowPunct w:val="0"/>
        <w:rPr>
          <w:szCs w:val="21"/>
        </w:rPr>
      </w:pPr>
      <w:r w:rsidRPr="00BB6462">
        <w:rPr>
          <w:rFonts w:hint="eastAsia"/>
          <w:szCs w:val="21"/>
        </w:rPr>
        <w:tab/>
      </w:r>
      <w:r w:rsidRPr="00BB6462">
        <w:rPr>
          <w:szCs w:val="21"/>
        </w:rPr>
        <w:t>(a)</w:t>
      </w:r>
      <w:r w:rsidRPr="00BB6462">
        <w:rPr>
          <w:szCs w:val="21"/>
        </w:rPr>
        <w:tab/>
      </w:r>
      <w:r w:rsidRPr="00BB6462">
        <w:rPr>
          <w:rFonts w:ascii="楷体_GB2312" w:eastAsia="楷体_GB2312" w:hint="eastAsia"/>
          <w:szCs w:val="21"/>
        </w:rPr>
        <w:t>习惯国际法的识别</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、伍德先生</w:t>
      </w:r>
      <w:r>
        <w:rPr>
          <w:rFonts w:hint="eastAsia"/>
          <w:szCs w:val="21"/>
        </w:rPr>
        <w:t>(</w:t>
      </w:r>
      <w:r w:rsidRPr="00BB6462">
        <w:rPr>
          <w:rFonts w:hint="eastAsia"/>
          <w:szCs w:val="21"/>
        </w:rPr>
        <w:t>特别报告员</w:t>
      </w:r>
      <w:r>
        <w:rPr>
          <w:rFonts w:hint="eastAsia"/>
          <w:szCs w:val="21"/>
        </w:rPr>
        <w:t>)</w:t>
      </w:r>
      <w:r w:rsidRPr="00BB6462">
        <w:rPr>
          <w:rFonts w:hint="eastAsia"/>
          <w:szCs w:val="21"/>
        </w:rPr>
        <w:t>、哈穆德先生、黄先生、卡姆托先生、吉滴猜萨里先生、科洛德金先生、麦克雷先生、村濑先生、墨菲先生、诺尔特先生、朴先生、彼得里奇先生、</w:t>
      </w:r>
      <w:r>
        <w:rPr>
          <w:rFonts w:hint="eastAsia"/>
          <w:szCs w:val="21"/>
        </w:rPr>
        <w:t>斯图尔马</w:t>
      </w:r>
      <w:r w:rsidRPr="00BB6462">
        <w:rPr>
          <w:rFonts w:hint="eastAsia"/>
          <w:szCs w:val="21"/>
        </w:rPr>
        <w:t>先生、特拉迪先生和巴斯克斯－贝穆德斯先生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(b)</w:t>
      </w:r>
      <w:r w:rsidRPr="00BB6462">
        <w:rPr>
          <w:szCs w:val="21"/>
        </w:rPr>
        <w:tab/>
      </w:r>
      <w:r w:rsidRPr="00BB6462">
        <w:rPr>
          <w:rFonts w:ascii="楷体_GB2312" w:eastAsia="楷体_GB2312" w:hint="eastAsia"/>
          <w:szCs w:val="21"/>
        </w:rPr>
        <w:t>保护大气层</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、村濑先生</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、哈穆德先生、黄先生、卡姆托先生、吉滴猜萨里先生、麦克雷先生、墨菲先生、诺尔特先生、朴先生、彼得里奇先生、特拉迪先生、伍德先生和巴斯克斯－贝穆德斯先生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(c)</w:t>
      </w:r>
      <w:r w:rsidRPr="00BB6462">
        <w:rPr>
          <w:rFonts w:hint="eastAsia"/>
          <w:szCs w:val="21"/>
        </w:rPr>
        <w:tab/>
      </w:r>
      <w:r w:rsidRPr="00BB6462">
        <w:rPr>
          <w:rFonts w:ascii="楷体_GB2312" w:eastAsia="楷体_GB2312" w:hint="eastAsia"/>
          <w:szCs w:val="21"/>
        </w:rPr>
        <w:t>危害人类罪</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、墨菲先生</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埃斯科瓦尔·埃尔南德斯女士、哈穆德先生、雅各布松女士、卡姆托先生、吉滴猜萨里先生、科洛德金先生、麦克雷先生、朴先生、彼得里奇先生、萨博亚先生、特拉迪先生、瓦科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(d)</w:t>
      </w:r>
      <w:r w:rsidRPr="00BB6462">
        <w:rPr>
          <w:rFonts w:hint="eastAsia"/>
          <w:szCs w:val="21"/>
        </w:rPr>
        <w:tab/>
      </w:r>
      <w:r w:rsidRPr="00BB6462">
        <w:rPr>
          <w:rFonts w:ascii="楷体_GB2312" w:eastAsia="楷体_GB2312" w:hint="eastAsia"/>
          <w:szCs w:val="21"/>
        </w:rPr>
        <w:t>与条约解释相关的嗣后协定和嗣后惯例</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、诺尔特先生</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、吉滴猜萨里先生、科洛德金先生、麦克雷先生、墨菲先生、朴先生、</w:t>
      </w:r>
      <w:r>
        <w:rPr>
          <w:rFonts w:hint="eastAsia"/>
          <w:szCs w:val="21"/>
        </w:rPr>
        <w:t>斯图尔马</w:t>
      </w:r>
      <w:r w:rsidRPr="00BB6462">
        <w:rPr>
          <w:rFonts w:hint="eastAsia"/>
          <w:szCs w:val="21"/>
        </w:rPr>
        <w:t>先生、特拉迪先生、伍德先生和巴斯克斯－贝穆德斯先生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(e)</w:t>
      </w:r>
      <w:r w:rsidRPr="00BB6462">
        <w:rPr>
          <w:rFonts w:hint="eastAsia"/>
          <w:szCs w:val="21"/>
        </w:rPr>
        <w:tab/>
      </w:r>
      <w:r w:rsidRPr="00BB6462">
        <w:rPr>
          <w:rFonts w:ascii="楷体_GB2312" w:eastAsia="楷体_GB2312" w:hint="eastAsia"/>
          <w:szCs w:val="21"/>
        </w:rPr>
        <w:t>与武装冲突有关的环境保护</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、雅各布松女士</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、埃斯科瓦尔·埃尔南德斯女士、戈梅斯·罗夫莱多先生、哈穆德先生、黄先生、吉滴猜萨里先生、麦克雷先生、村濑先生、墨菲先生、诺尔特先生、朴先生、萨博亚先生、</w:t>
      </w:r>
      <w:r>
        <w:rPr>
          <w:rFonts w:hint="eastAsia"/>
          <w:szCs w:val="21"/>
        </w:rPr>
        <w:t>斯图尔马</w:t>
      </w:r>
      <w:r w:rsidRPr="00BB6462">
        <w:rPr>
          <w:rFonts w:hint="eastAsia"/>
          <w:szCs w:val="21"/>
        </w:rPr>
        <w:t>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(f)</w:t>
      </w:r>
      <w:r w:rsidRPr="00BB6462">
        <w:rPr>
          <w:szCs w:val="21"/>
        </w:rPr>
        <w:tab/>
      </w:r>
      <w:r w:rsidRPr="00BB6462">
        <w:rPr>
          <w:rFonts w:eastAsia="楷体_GB2312"/>
          <w:szCs w:val="21"/>
        </w:rPr>
        <w:t>国家</w:t>
      </w:r>
      <w:r w:rsidRPr="00BB6462">
        <w:rPr>
          <w:rFonts w:ascii="楷体_GB2312" w:eastAsia="楷体_GB2312" w:hint="eastAsia"/>
          <w:szCs w:val="21"/>
        </w:rPr>
        <w:t>官员的外国刑事管辖豁免</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、埃斯科瓦尔·埃尔南德斯女士</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、哈穆德先生、雅各布松女士、卡姆托先生、吉滴猜萨里先生、科洛德金先生、麦克雷先生、墨菲先生、诺尔特先生、朴先生、彼得里奇先生、</w:t>
      </w:r>
      <w:r w:rsidRPr="00BB6462">
        <w:rPr>
          <w:rFonts w:hint="eastAsia"/>
          <w:szCs w:val="21"/>
        </w:rPr>
        <w:lastRenderedPageBreak/>
        <w:t>萨博亚先生、特拉迪先生、瓦科先生、伍德先生和巴斯克斯－贝穆德斯先生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rFonts w:hint="eastAsia"/>
          <w:szCs w:val="21"/>
        </w:rPr>
        <w:tab/>
      </w:r>
      <w:r w:rsidRPr="00BB6462">
        <w:rPr>
          <w:szCs w:val="21"/>
        </w:rPr>
        <w:t>(g)</w:t>
      </w:r>
      <w:r w:rsidRPr="00BB6462">
        <w:rPr>
          <w:szCs w:val="21"/>
        </w:rPr>
        <w:tab/>
      </w:r>
      <w:r w:rsidRPr="00BB6462">
        <w:rPr>
          <w:rFonts w:ascii="楷体_GB2312" w:eastAsia="楷体_GB2312" w:hint="eastAsia"/>
          <w:szCs w:val="21"/>
        </w:rPr>
        <w:t>条约的暂时适用</w:t>
      </w:r>
      <w:r w:rsidRPr="00BB6462">
        <w:rPr>
          <w:rFonts w:hint="eastAsia"/>
          <w:szCs w:val="21"/>
        </w:rPr>
        <w:t>：福尔托先生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、戈梅斯－罗夫莱多先生</w:t>
      </w:r>
      <w:r w:rsidRPr="00BB6462">
        <w:rPr>
          <w:rFonts w:hint="eastAsia"/>
          <w:szCs w:val="21"/>
        </w:rPr>
        <w:t>(</w:t>
      </w:r>
      <w:r w:rsidRPr="00BB6462">
        <w:rPr>
          <w:rFonts w:hint="eastAsia"/>
          <w:szCs w:val="21"/>
        </w:rPr>
        <w:t>特别报告员</w:t>
      </w:r>
      <w:r w:rsidRPr="00BB6462">
        <w:rPr>
          <w:rFonts w:hint="eastAsia"/>
          <w:szCs w:val="21"/>
        </w:rPr>
        <w:t>)</w:t>
      </w:r>
      <w:r w:rsidRPr="00BB6462">
        <w:rPr>
          <w:rFonts w:hint="eastAsia"/>
          <w:szCs w:val="21"/>
        </w:rPr>
        <w:t>、埃斯科瓦尔·埃尔南德斯女士、卡姆托先生、科洛德金先生、麦克雷先生、墨菲先生、诺尔特先生、朴先生、彼得里奇先生、特拉迪先生、伍德先生和巴斯克斯－贝穆德斯先生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2B3BAB">
      <w:pPr>
        <w:pStyle w:val="SingleTxt"/>
        <w:overflowPunct w:val="0"/>
        <w:rPr>
          <w:szCs w:val="21"/>
        </w:rPr>
      </w:pPr>
      <w:r w:rsidRPr="00BB6462">
        <w:rPr>
          <w:szCs w:val="21"/>
        </w:rPr>
        <w:t>8.</w:t>
      </w:r>
      <w:r w:rsidR="002B3BAB">
        <w:rPr>
          <w:rFonts w:hint="eastAsia"/>
          <w:szCs w:val="21"/>
        </w:rPr>
        <w:t xml:space="preserve">  </w:t>
      </w:r>
      <w:r w:rsidRPr="00BB6462">
        <w:rPr>
          <w:rFonts w:hint="eastAsia"/>
          <w:szCs w:val="21"/>
        </w:rPr>
        <w:t>起草委员会就上列七项专题一共举行了</w:t>
      </w:r>
      <w:r w:rsidRPr="00BB6462">
        <w:rPr>
          <w:rFonts w:hint="eastAsia"/>
          <w:szCs w:val="21"/>
        </w:rPr>
        <w:t>34</w:t>
      </w:r>
      <w:r w:rsidRPr="00BB6462">
        <w:rPr>
          <w:rFonts w:hint="eastAsia"/>
          <w:szCs w:val="21"/>
        </w:rPr>
        <w:t>次会议。</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E.</w:t>
      </w:r>
      <w:r w:rsidRPr="00BB6462">
        <w:rPr>
          <w:rFonts w:hint="eastAsia"/>
        </w:rPr>
        <w:tab/>
        <w:t>研究组</w:t>
      </w:r>
      <w:r w:rsidR="00016C8A">
        <w:rPr>
          <w:rFonts w:hint="eastAsia"/>
        </w:rPr>
        <w:t>和工作组</w:t>
      </w:r>
    </w:p>
    <w:p w:rsidR="002B3BAB" w:rsidRPr="002B3BAB" w:rsidRDefault="002B3BAB" w:rsidP="002B3BAB">
      <w:pPr>
        <w:pStyle w:val="SingleTxt"/>
        <w:overflowPunct w:val="0"/>
        <w:spacing w:after="0" w:line="120" w:lineRule="exact"/>
        <w:rPr>
          <w:sz w:val="10"/>
          <w:szCs w:val="21"/>
        </w:rPr>
      </w:pPr>
    </w:p>
    <w:p w:rsidR="002B3BAB" w:rsidRPr="002B3BAB" w:rsidRDefault="002B3BAB" w:rsidP="002B3BAB">
      <w:pPr>
        <w:pStyle w:val="SingleTxt"/>
        <w:overflowPunct w:val="0"/>
        <w:spacing w:after="0" w:line="120" w:lineRule="exact"/>
        <w:rPr>
          <w:sz w:val="10"/>
          <w:szCs w:val="21"/>
        </w:rPr>
      </w:pPr>
    </w:p>
    <w:p w:rsidR="00C70268" w:rsidRPr="00BB6462" w:rsidRDefault="00C70268" w:rsidP="002B3BAB">
      <w:pPr>
        <w:pStyle w:val="SingleTxt"/>
        <w:overflowPunct w:val="0"/>
        <w:rPr>
          <w:szCs w:val="21"/>
        </w:rPr>
      </w:pPr>
      <w:r w:rsidRPr="00BB6462">
        <w:rPr>
          <w:szCs w:val="21"/>
        </w:rPr>
        <w:t>9.</w:t>
      </w:r>
      <w:r w:rsidR="002B3BAB">
        <w:rPr>
          <w:rFonts w:hint="eastAsia"/>
          <w:szCs w:val="21"/>
        </w:rPr>
        <w:t xml:space="preserve">  </w:t>
      </w:r>
      <w:r w:rsidRPr="00BB6462">
        <w:rPr>
          <w:szCs w:val="21"/>
        </w:rPr>
        <w:t>在</w:t>
      </w:r>
      <w:r w:rsidRPr="00BB6462">
        <w:rPr>
          <w:szCs w:val="21"/>
        </w:rPr>
        <w:t>2015</w:t>
      </w:r>
      <w:r w:rsidRPr="00BB6462">
        <w:rPr>
          <w:szCs w:val="21"/>
        </w:rPr>
        <w:t>年</w:t>
      </w:r>
      <w:r w:rsidRPr="00BB6462">
        <w:rPr>
          <w:szCs w:val="21"/>
        </w:rPr>
        <w:t>5</w:t>
      </w:r>
      <w:r w:rsidRPr="00BB6462">
        <w:rPr>
          <w:szCs w:val="21"/>
        </w:rPr>
        <w:t>月</w:t>
      </w:r>
      <w:r w:rsidRPr="00BB6462">
        <w:rPr>
          <w:szCs w:val="21"/>
        </w:rPr>
        <w:t>12</w:t>
      </w:r>
      <w:r>
        <w:rPr>
          <w:szCs w:val="21"/>
        </w:rPr>
        <w:t>日第</w:t>
      </w:r>
      <w:r w:rsidRPr="00BB6462">
        <w:rPr>
          <w:szCs w:val="21"/>
        </w:rPr>
        <w:t>3249</w:t>
      </w:r>
      <w:r w:rsidRPr="00BB6462">
        <w:rPr>
          <w:szCs w:val="21"/>
        </w:rPr>
        <w:t>次会</w:t>
      </w:r>
      <w:r w:rsidRPr="00BB6462">
        <w:rPr>
          <w:rFonts w:hint="eastAsia"/>
          <w:szCs w:val="21"/>
        </w:rPr>
        <w:t>议上，委员会重建了以下研究组：</w:t>
      </w:r>
    </w:p>
    <w:p w:rsidR="00C70268" w:rsidRPr="00BB6462" w:rsidRDefault="00C70268" w:rsidP="00C70268">
      <w:pPr>
        <w:pStyle w:val="SingleTxt"/>
        <w:overflowPunct w:val="0"/>
        <w:ind w:left="1695"/>
        <w:rPr>
          <w:szCs w:val="21"/>
        </w:rPr>
      </w:pPr>
      <w:r w:rsidRPr="00BB6462">
        <w:rPr>
          <w:rFonts w:hint="eastAsia"/>
          <w:szCs w:val="21"/>
        </w:rPr>
        <w:tab/>
      </w:r>
      <w:r w:rsidRPr="00BB6462">
        <w:rPr>
          <w:rFonts w:ascii="楷体_GB2312" w:eastAsia="楷体_GB2312" w:hint="eastAsia"/>
          <w:szCs w:val="21"/>
        </w:rPr>
        <w:t>最惠国条款研究组</w:t>
      </w:r>
      <w:r w:rsidRPr="00BB6462">
        <w:rPr>
          <w:rFonts w:hint="eastAsia"/>
          <w:szCs w:val="21"/>
        </w:rPr>
        <w:t>：麦克雷先生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、卡弗利施先生、福尔托先生、哈穆德先生、卡姆托先生、村濑先生、墨菲先生、朴先生、辛格先生、</w:t>
      </w:r>
      <w:r>
        <w:rPr>
          <w:rFonts w:hint="eastAsia"/>
          <w:szCs w:val="21"/>
        </w:rPr>
        <w:t>斯图尔马</w:t>
      </w:r>
      <w:r w:rsidRPr="00BB6462">
        <w:rPr>
          <w:rFonts w:hint="eastAsia"/>
          <w:szCs w:val="21"/>
        </w:rPr>
        <w:t>先生、特拉迪先生、伍德先生和巴斯克斯－贝穆德斯先生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C70268" w:rsidRPr="00BB6462" w:rsidRDefault="00C70268" w:rsidP="00C70268">
      <w:pPr>
        <w:pStyle w:val="SingleTxt"/>
        <w:overflowPunct w:val="0"/>
        <w:rPr>
          <w:szCs w:val="21"/>
        </w:rPr>
      </w:pPr>
      <w:r w:rsidRPr="00BB6462">
        <w:rPr>
          <w:szCs w:val="21"/>
        </w:rPr>
        <w:t xml:space="preserve">10. </w:t>
      </w:r>
      <w:r w:rsidRPr="00BB6462">
        <w:rPr>
          <w:rFonts w:hint="eastAsia"/>
          <w:szCs w:val="21"/>
        </w:rPr>
        <w:t xml:space="preserve"> </w:t>
      </w:r>
      <w:r w:rsidRPr="00BB6462">
        <w:rPr>
          <w:rFonts w:hint="eastAsia"/>
          <w:szCs w:val="21"/>
        </w:rPr>
        <w:t>规划组重建了以下工作组：</w:t>
      </w:r>
    </w:p>
    <w:p w:rsidR="00C70268" w:rsidRPr="00BB6462" w:rsidRDefault="00C70268" w:rsidP="00C70268">
      <w:pPr>
        <w:pStyle w:val="SingleTxt"/>
        <w:overflowPunct w:val="0"/>
        <w:ind w:left="1695"/>
        <w:rPr>
          <w:szCs w:val="21"/>
        </w:rPr>
      </w:pPr>
      <w:r w:rsidRPr="00BB6462">
        <w:rPr>
          <w:rFonts w:hint="eastAsia"/>
          <w:szCs w:val="21"/>
        </w:rPr>
        <w:tab/>
      </w:r>
      <w:r w:rsidRPr="006920AE">
        <w:rPr>
          <w:rFonts w:hint="eastAsia"/>
          <w:szCs w:val="21"/>
        </w:rPr>
        <w:t>五年期长期</w:t>
      </w:r>
      <w:r w:rsidRPr="006920AE">
        <w:rPr>
          <w:szCs w:val="21"/>
        </w:rPr>
        <w:t>工作方案</w:t>
      </w:r>
      <w:r w:rsidRPr="006920AE">
        <w:rPr>
          <w:rFonts w:hint="eastAsia"/>
          <w:szCs w:val="21"/>
        </w:rPr>
        <w:t>工作组</w:t>
      </w:r>
      <w:r w:rsidRPr="00BB6462">
        <w:rPr>
          <w:rFonts w:hint="eastAsia"/>
          <w:szCs w:val="21"/>
        </w:rPr>
        <w:t>：麦克雷先生</w:t>
      </w:r>
      <w:r w:rsidRPr="00BB6462">
        <w:rPr>
          <w:rFonts w:hint="eastAsia"/>
          <w:szCs w:val="21"/>
        </w:rPr>
        <w:t>(</w:t>
      </w:r>
      <w:r w:rsidRPr="00BB6462">
        <w:rPr>
          <w:rFonts w:hint="eastAsia"/>
          <w:szCs w:val="21"/>
        </w:rPr>
        <w:t>主席</w:t>
      </w:r>
      <w:r w:rsidRPr="00BB6462">
        <w:rPr>
          <w:rFonts w:hint="eastAsia"/>
          <w:szCs w:val="21"/>
        </w:rPr>
        <w:t>)</w:t>
      </w:r>
      <w:r w:rsidRPr="00BB6462">
        <w:rPr>
          <w:rFonts w:hint="eastAsia"/>
          <w:szCs w:val="21"/>
        </w:rPr>
        <w:t>、卡弗</w:t>
      </w:r>
      <w:r w:rsidRPr="006920AE">
        <w:rPr>
          <w:rFonts w:hint="eastAsia"/>
          <w:szCs w:val="21"/>
        </w:rPr>
        <w:t>利施先生、埃斯科瓦尔·埃尔南德斯女士、福尔托先生、哈苏纳先生、哈穆德先生、雅各布松女士、吉滴猜萨里先生、拉腊巴先生、村濑先生、墨菲先生、诺尔特先生、朴先生、彼</w:t>
      </w:r>
      <w:r w:rsidRPr="00BB6462">
        <w:rPr>
          <w:rFonts w:hint="eastAsia"/>
          <w:szCs w:val="21"/>
        </w:rPr>
        <w:t>得里奇先生、辛格先生、</w:t>
      </w:r>
      <w:r>
        <w:rPr>
          <w:rFonts w:hint="eastAsia"/>
          <w:szCs w:val="21"/>
        </w:rPr>
        <w:t>斯图尔马</w:t>
      </w:r>
      <w:r w:rsidRPr="00BB6462">
        <w:rPr>
          <w:rFonts w:hint="eastAsia"/>
          <w:szCs w:val="21"/>
        </w:rPr>
        <w:t>先生、特拉迪先生、瓦科先生、维斯努穆尔蒂先生、伍德先生和巴斯克斯－贝穆德斯先生</w:t>
      </w:r>
      <w:r w:rsidRPr="00BB6462">
        <w:rPr>
          <w:rFonts w:hint="eastAsia"/>
          <w:szCs w:val="21"/>
        </w:rPr>
        <w:t>(</w:t>
      </w:r>
      <w:r w:rsidRPr="00BB6462">
        <w:rPr>
          <w:rFonts w:hint="eastAsia"/>
          <w:szCs w:val="21"/>
        </w:rPr>
        <w:t>当然成员</w:t>
      </w:r>
      <w:r w:rsidRPr="00BB6462">
        <w:rPr>
          <w:rFonts w:hint="eastAsia"/>
          <w:szCs w:val="21"/>
        </w:rPr>
        <w:t>)</w:t>
      </w:r>
      <w:r w:rsidRPr="00BB6462">
        <w:rPr>
          <w:rFonts w:hint="eastAsia"/>
          <w:szCs w:val="21"/>
        </w:rPr>
        <w:t>。</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F.</w:t>
      </w:r>
      <w:r w:rsidRPr="00BB6462">
        <w:rPr>
          <w:rFonts w:hint="eastAsia"/>
        </w:rPr>
        <w:tab/>
        <w:t>秘书处</w:t>
      </w:r>
    </w:p>
    <w:p w:rsidR="002B3BAB" w:rsidRPr="002B3BAB" w:rsidRDefault="002B3BAB" w:rsidP="002B3BAB">
      <w:pPr>
        <w:pStyle w:val="SingleTxt"/>
        <w:overflowPunct w:val="0"/>
        <w:spacing w:after="0" w:line="120" w:lineRule="exact"/>
        <w:rPr>
          <w:sz w:val="10"/>
          <w:szCs w:val="21"/>
        </w:rPr>
      </w:pPr>
    </w:p>
    <w:p w:rsidR="002B3BAB" w:rsidRPr="002B3BAB" w:rsidRDefault="002B3BAB" w:rsidP="002B3BAB">
      <w:pPr>
        <w:pStyle w:val="SingleTxt"/>
        <w:overflowPunct w:val="0"/>
        <w:spacing w:after="0" w:line="120" w:lineRule="exact"/>
        <w:rPr>
          <w:sz w:val="10"/>
          <w:szCs w:val="21"/>
        </w:rPr>
      </w:pPr>
    </w:p>
    <w:p w:rsidR="00C70268" w:rsidRPr="00BB6462" w:rsidRDefault="00C70268" w:rsidP="00C70268">
      <w:pPr>
        <w:pStyle w:val="SingleTxt"/>
        <w:overflowPunct w:val="0"/>
        <w:rPr>
          <w:szCs w:val="21"/>
        </w:rPr>
      </w:pPr>
      <w:r w:rsidRPr="00BB6462">
        <w:rPr>
          <w:szCs w:val="21"/>
        </w:rPr>
        <w:t xml:space="preserve">11.  </w:t>
      </w:r>
      <w:r w:rsidRPr="00BB6462">
        <w:rPr>
          <w:szCs w:val="21"/>
        </w:rPr>
        <w:t>副秘</w:t>
      </w:r>
      <w:r w:rsidRPr="00BB6462">
        <w:rPr>
          <w:rFonts w:hint="eastAsia"/>
          <w:szCs w:val="21"/>
        </w:rPr>
        <w:t>书长兼联合国法律顾</w:t>
      </w:r>
      <w:r w:rsidRPr="00BB6462">
        <w:rPr>
          <w:rFonts w:hint="eastAsia"/>
          <w:spacing w:val="2"/>
          <w:szCs w:val="21"/>
        </w:rPr>
        <w:t>问米格尔·塞尔帕·苏亚雷斯先生担任秘书长的代表。法律事务厅编纂司司长乔治·科伦济斯先生担任委员会秘书，并在法律顾问缺席时</w:t>
      </w:r>
      <w:r w:rsidRPr="00BB6462">
        <w:rPr>
          <w:spacing w:val="2"/>
          <w:szCs w:val="21"/>
        </w:rPr>
        <w:t>从</w:t>
      </w:r>
      <w:r w:rsidRPr="00BB6462">
        <w:rPr>
          <w:spacing w:val="2"/>
          <w:szCs w:val="21"/>
        </w:rPr>
        <w:t>2015</w:t>
      </w:r>
      <w:r w:rsidRPr="00BB6462">
        <w:rPr>
          <w:spacing w:val="2"/>
          <w:szCs w:val="21"/>
        </w:rPr>
        <w:t>年</w:t>
      </w:r>
      <w:r w:rsidRPr="00BB6462">
        <w:rPr>
          <w:spacing w:val="2"/>
          <w:szCs w:val="21"/>
        </w:rPr>
        <w:t>5</w:t>
      </w:r>
      <w:r w:rsidRPr="00BB6462">
        <w:rPr>
          <w:spacing w:val="2"/>
          <w:szCs w:val="21"/>
        </w:rPr>
        <w:t>月</w:t>
      </w:r>
      <w:r w:rsidRPr="00BB6462">
        <w:rPr>
          <w:spacing w:val="2"/>
          <w:szCs w:val="21"/>
        </w:rPr>
        <w:t>4</w:t>
      </w:r>
      <w:r w:rsidRPr="00BB6462">
        <w:rPr>
          <w:spacing w:val="2"/>
          <w:szCs w:val="21"/>
        </w:rPr>
        <w:t>日至</w:t>
      </w:r>
      <w:r w:rsidRPr="00BB6462">
        <w:rPr>
          <w:spacing w:val="2"/>
          <w:szCs w:val="21"/>
        </w:rPr>
        <w:t>6</w:t>
      </w:r>
      <w:r w:rsidRPr="00BB6462">
        <w:rPr>
          <w:spacing w:val="2"/>
          <w:szCs w:val="21"/>
        </w:rPr>
        <w:t>月</w:t>
      </w:r>
      <w:r w:rsidRPr="00BB6462">
        <w:rPr>
          <w:spacing w:val="2"/>
          <w:szCs w:val="21"/>
        </w:rPr>
        <w:t>5</w:t>
      </w:r>
      <w:r w:rsidRPr="00BB6462">
        <w:rPr>
          <w:spacing w:val="2"/>
          <w:szCs w:val="21"/>
        </w:rPr>
        <w:t>日</w:t>
      </w:r>
      <w:r w:rsidRPr="00BB6462">
        <w:rPr>
          <w:rFonts w:hint="eastAsia"/>
          <w:spacing w:val="2"/>
          <w:szCs w:val="21"/>
        </w:rPr>
        <w:t>代表秘书长。特等法律干事休·卢埃林先生担任首席助理秘书。在乔治·科伦济斯先生退休并任命休·卢埃林先生为法律事务厅编纂司司长后，休·卢埃林先生</w:t>
      </w:r>
      <w:r w:rsidRPr="00BB6462">
        <w:rPr>
          <w:spacing w:val="2"/>
          <w:szCs w:val="21"/>
        </w:rPr>
        <w:t>从</w:t>
      </w:r>
      <w:r w:rsidRPr="00BB6462">
        <w:rPr>
          <w:spacing w:val="2"/>
          <w:szCs w:val="21"/>
        </w:rPr>
        <w:t>2015</w:t>
      </w:r>
      <w:r w:rsidRPr="00BB6462">
        <w:rPr>
          <w:spacing w:val="2"/>
          <w:szCs w:val="21"/>
        </w:rPr>
        <w:t>年</w:t>
      </w:r>
      <w:r w:rsidRPr="00BB6462">
        <w:rPr>
          <w:spacing w:val="2"/>
          <w:szCs w:val="21"/>
        </w:rPr>
        <w:t>6</w:t>
      </w:r>
      <w:r w:rsidRPr="00BB6462">
        <w:rPr>
          <w:spacing w:val="2"/>
          <w:szCs w:val="21"/>
        </w:rPr>
        <w:t>月</w:t>
      </w:r>
      <w:r w:rsidRPr="00BB6462">
        <w:rPr>
          <w:spacing w:val="2"/>
          <w:szCs w:val="21"/>
        </w:rPr>
        <w:t>8</w:t>
      </w:r>
      <w:r w:rsidRPr="00BB6462">
        <w:rPr>
          <w:spacing w:val="2"/>
          <w:szCs w:val="21"/>
        </w:rPr>
        <w:t>日</w:t>
      </w:r>
      <w:r w:rsidRPr="00BB6462">
        <w:rPr>
          <w:rFonts w:hint="eastAsia"/>
          <w:spacing w:val="2"/>
          <w:szCs w:val="21"/>
        </w:rPr>
        <w:t>起担任委员会秘书。高级法律干事特雷沃尔·齐敏巴先生和阿诺德·普龙托先生担任高级助理秘书。法律干事哈娜·德雷菲尔特－莱恩女士和戴维·纳诺波</w:t>
      </w:r>
      <w:r w:rsidRPr="00BB6462">
        <w:rPr>
          <w:rFonts w:hint="eastAsia"/>
          <w:szCs w:val="21"/>
        </w:rPr>
        <w:t>利斯先生担任委员会助理秘书。</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t>G.</w:t>
      </w:r>
      <w:r w:rsidRPr="00BB6462">
        <w:rPr>
          <w:rFonts w:hint="eastAsia"/>
        </w:rPr>
        <w:tab/>
        <w:t>议程</w:t>
      </w:r>
    </w:p>
    <w:p w:rsidR="002B3BAB" w:rsidRPr="002B3BAB" w:rsidRDefault="002B3BAB" w:rsidP="002B3BAB">
      <w:pPr>
        <w:pStyle w:val="SingleTxt"/>
        <w:overflowPunct w:val="0"/>
        <w:spacing w:after="0" w:line="120" w:lineRule="exact"/>
        <w:rPr>
          <w:sz w:val="10"/>
          <w:szCs w:val="21"/>
        </w:rPr>
      </w:pPr>
    </w:p>
    <w:p w:rsidR="002B3BAB" w:rsidRPr="002B3BAB" w:rsidRDefault="002B3BAB" w:rsidP="002B3BAB">
      <w:pPr>
        <w:pStyle w:val="SingleTxt"/>
        <w:overflowPunct w:val="0"/>
        <w:spacing w:after="0" w:line="120" w:lineRule="exact"/>
        <w:rPr>
          <w:sz w:val="10"/>
          <w:szCs w:val="21"/>
        </w:rPr>
      </w:pPr>
    </w:p>
    <w:p w:rsidR="00C70268" w:rsidRPr="00BB6462" w:rsidRDefault="00C70268" w:rsidP="00C70268">
      <w:pPr>
        <w:pStyle w:val="SingleTxt"/>
        <w:overflowPunct w:val="0"/>
        <w:rPr>
          <w:szCs w:val="21"/>
        </w:rPr>
      </w:pPr>
      <w:r w:rsidRPr="00BB6462">
        <w:rPr>
          <w:szCs w:val="21"/>
        </w:rPr>
        <w:t>12.</w:t>
      </w:r>
      <w:r w:rsidRPr="00BB6462">
        <w:rPr>
          <w:rFonts w:hint="eastAsia"/>
          <w:szCs w:val="21"/>
        </w:rPr>
        <w:t xml:space="preserve">  </w:t>
      </w:r>
      <w:r w:rsidRPr="00BB6462">
        <w:rPr>
          <w:rFonts w:hint="eastAsia"/>
          <w:szCs w:val="21"/>
        </w:rPr>
        <w:t>委员会在</w:t>
      </w:r>
      <w:r w:rsidRPr="00BB6462">
        <w:rPr>
          <w:szCs w:val="21"/>
        </w:rPr>
        <w:t>2015</w:t>
      </w:r>
      <w:r w:rsidRPr="00BB6462">
        <w:rPr>
          <w:szCs w:val="21"/>
        </w:rPr>
        <w:t>年</w:t>
      </w:r>
      <w:r w:rsidRPr="00BB6462">
        <w:rPr>
          <w:szCs w:val="21"/>
        </w:rPr>
        <w:t>5</w:t>
      </w:r>
      <w:r w:rsidRPr="00BB6462">
        <w:rPr>
          <w:szCs w:val="21"/>
        </w:rPr>
        <w:t>月</w:t>
      </w:r>
      <w:r w:rsidRPr="00BB6462">
        <w:rPr>
          <w:szCs w:val="21"/>
        </w:rPr>
        <w:t>4</w:t>
      </w:r>
      <w:r w:rsidRPr="00BB6462">
        <w:rPr>
          <w:szCs w:val="21"/>
        </w:rPr>
        <w:t>日的第</w:t>
      </w:r>
      <w:r w:rsidRPr="00BB6462">
        <w:rPr>
          <w:szCs w:val="21"/>
        </w:rPr>
        <w:t>3244</w:t>
      </w:r>
      <w:r w:rsidRPr="00BB6462">
        <w:rPr>
          <w:szCs w:val="21"/>
        </w:rPr>
        <w:t>次</w:t>
      </w:r>
      <w:r w:rsidRPr="00BB6462">
        <w:rPr>
          <w:rFonts w:hint="eastAsia"/>
          <w:szCs w:val="21"/>
        </w:rPr>
        <w:t>会议上通过了第六十七届会议议程，包括下列项目：</w:t>
      </w:r>
    </w:p>
    <w:p w:rsidR="00C70268" w:rsidRPr="00BB6462" w:rsidRDefault="00C70268" w:rsidP="00C70268">
      <w:pPr>
        <w:pStyle w:val="SingleTxt"/>
        <w:overflowPunct w:val="0"/>
        <w:ind w:left="1695"/>
        <w:rPr>
          <w:szCs w:val="21"/>
        </w:rPr>
      </w:pPr>
      <w:r w:rsidRPr="00BB6462">
        <w:rPr>
          <w:szCs w:val="21"/>
        </w:rPr>
        <w:t>1.</w:t>
      </w:r>
      <w:r w:rsidRPr="00BB6462">
        <w:rPr>
          <w:szCs w:val="21"/>
        </w:rPr>
        <w:tab/>
      </w:r>
      <w:r w:rsidRPr="00BB6462">
        <w:rPr>
          <w:szCs w:val="21"/>
        </w:rPr>
        <w:t>会议工作安排。</w:t>
      </w:r>
    </w:p>
    <w:p w:rsidR="00C70268" w:rsidRPr="00BB6462" w:rsidRDefault="00C70268" w:rsidP="00C70268">
      <w:pPr>
        <w:pStyle w:val="SingleTxt"/>
        <w:overflowPunct w:val="0"/>
        <w:ind w:left="1695"/>
        <w:rPr>
          <w:szCs w:val="21"/>
        </w:rPr>
      </w:pPr>
      <w:r w:rsidRPr="00BB6462">
        <w:rPr>
          <w:szCs w:val="21"/>
        </w:rPr>
        <w:t>2.</w:t>
      </w:r>
      <w:r w:rsidRPr="00BB6462">
        <w:rPr>
          <w:szCs w:val="21"/>
        </w:rPr>
        <w:tab/>
      </w:r>
      <w:r w:rsidRPr="00BB6462">
        <w:rPr>
          <w:szCs w:val="21"/>
        </w:rPr>
        <w:t>国家官员的外国刑事管辖豁免。</w:t>
      </w:r>
    </w:p>
    <w:p w:rsidR="00C70268" w:rsidRPr="00BB6462" w:rsidRDefault="00C70268" w:rsidP="00C70268">
      <w:pPr>
        <w:pStyle w:val="SingleTxt"/>
        <w:overflowPunct w:val="0"/>
        <w:ind w:left="1695"/>
        <w:rPr>
          <w:szCs w:val="21"/>
        </w:rPr>
      </w:pPr>
      <w:r w:rsidRPr="00BB6462">
        <w:rPr>
          <w:szCs w:val="21"/>
        </w:rPr>
        <w:lastRenderedPageBreak/>
        <w:t>3.</w:t>
      </w:r>
      <w:r w:rsidRPr="00BB6462">
        <w:rPr>
          <w:szCs w:val="21"/>
        </w:rPr>
        <w:tab/>
      </w:r>
      <w:r w:rsidRPr="00BB6462">
        <w:rPr>
          <w:szCs w:val="21"/>
        </w:rPr>
        <w:t>与条约解释相关的嗣后协定和嗣后惯例。</w:t>
      </w:r>
    </w:p>
    <w:p w:rsidR="00C70268" w:rsidRPr="00BB6462" w:rsidRDefault="00C70268" w:rsidP="00C70268">
      <w:pPr>
        <w:pStyle w:val="SingleTxt"/>
        <w:overflowPunct w:val="0"/>
        <w:ind w:left="1695"/>
        <w:rPr>
          <w:szCs w:val="21"/>
        </w:rPr>
      </w:pPr>
      <w:r w:rsidRPr="00BB6462">
        <w:rPr>
          <w:szCs w:val="21"/>
        </w:rPr>
        <w:t>4.</w:t>
      </w:r>
      <w:r w:rsidRPr="00BB6462">
        <w:rPr>
          <w:szCs w:val="21"/>
        </w:rPr>
        <w:tab/>
      </w:r>
      <w:r w:rsidRPr="00BB6462">
        <w:rPr>
          <w:szCs w:val="21"/>
        </w:rPr>
        <w:t>最惠国条款。</w:t>
      </w:r>
    </w:p>
    <w:p w:rsidR="00C70268" w:rsidRPr="00BB6462" w:rsidRDefault="00C70268" w:rsidP="00C70268">
      <w:pPr>
        <w:pStyle w:val="SingleTxt"/>
        <w:overflowPunct w:val="0"/>
        <w:ind w:left="1695"/>
        <w:rPr>
          <w:szCs w:val="21"/>
        </w:rPr>
      </w:pPr>
      <w:r w:rsidRPr="00BB6462">
        <w:rPr>
          <w:szCs w:val="21"/>
        </w:rPr>
        <w:t>5.</w:t>
      </w:r>
      <w:r w:rsidRPr="00BB6462">
        <w:rPr>
          <w:szCs w:val="21"/>
        </w:rPr>
        <w:tab/>
      </w:r>
      <w:r w:rsidRPr="00BB6462">
        <w:rPr>
          <w:szCs w:val="21"/>
        </w:rPr>
        <w:t>条约的暂时适用。</w:t>
      </w:r>
    </w:p>
    <w:p w:rsidR="00C70268" w:rsidRPr="00BB6462" w:rsidRDefault="00C70268" w:rsidP="00C70268">
      <w:pPr>
        <w:pStyle w:val="SingleTxt"/>
        <w:overflowPunct w:val="0"/>
        <w:ind w:left="1695"/>
        <w:rPr>
          <w:szCs w:val="21"/>
        </w:rPr>
      </w:pPr>
      <w:r w:rsidRPr="00BB6462">
        <w:rPr>
          <w:szCs w:val="21"/>
        </w:rPr>
        <w:t>6.</w:t>
      </w:r>
      <w:r w:rsidRPr="00BB6462">
        <w:rPr>
          <w:szCs w:val="21"/>
        </w:rPr>
        <w:tab/>
      </w:r>
      <w:r w:rsidRPr="00BB6462">
        <w:rPr>
          <w:szCs w:val="21"/>
        </w:rPr>
        <w:t>习惯国际法的识别。</w:t>
      </w:r>
    </w:p>
    <w:p w:rsidR="00C70268" w:rsidRPr="00BB6462" w:rsidRDefault="00C70268" w:rsidP="00C70268">
      <w:pPr>
        <w:pStyle w:val="SingleTxt"/>
        <w:overflowPunct w:val="0"/>
        <w:ind w:left="1695"/>
        <w:rPr>
          <w:szCs w:val="21"/>
        </w:rPr>
      </w:pPr>
      <w:r w:rsidRPr="00BB6462">
        <w:rPr>
          <w:szCs w:val="21"/>
        </w:rPr>
        <w:t>7.</w:t>
      </w:r>
      <w:r w:rsidRPr="00BB6462">
        <w:rPr>
          <w:szCs w:val="21"/>
        </w:rPr>
        <w:tab/>
      </w:r>
      <w:r w:rsidRPr="00BB6462">
        <w:rPr>
          <w:szCs w:val="21"/>
        </w:rPr>
        <w:t>与武装冲突有关的环境保护。</w:t>
      </w:r>
    </w:p>
    <w:p w:rsidR="00C70268" w:rsidRPr="00BB6462" w:rsidRDefault="00C70268" w:rsidP="00C70268">
      <w:pPr>
        <w:pStyle w:val="SingleTxt"/>
        <w:overflowPunct w:val="0"/>
        <w:ind w:left="1695"/>
        <w:rPr>
          <w:szCs w:val="21"/>
        </w:rPr>
      </w:pPr>
      <w:r w:rsidRPr="00BB6462">
        <w:rPr>
          <w:szCs w:val="21"/>
        </w:rPr>
        <w:t>8.</w:t>
      </w:r>
      <w:r w:rsidRPr="00BB6462">
        <w:rPr>
          <w:szCs w:val="21"/>
        </w:rPr>
        <w:tab/>
      </w:r>
      <w:r w:rsidRPr="00BB6462">
        <w:rPr>
          <w:szCs w:val="21"/>
        </w:rPr>
        <w:t>保护大气层。</w:t>
      </w:r>
    </w:p>
    <w:p w:rsidR="00C70268" w:rsidRPr="00BB6462" w:rsidRDefault="00C70268" w:rsidP="00C70268">
      <w:pPr>
        <w:pStyle w:val="SingleTxt"/>
        <w:overflowPunct w:val="0"/>
        <w:ind w:left="1695"/>
        <w:rPr>
          <w:szCs w:val="21"/>
        </w:rPr>
      </w:pPr>
      <w:r w:rsidRPr="00BB6462">
        <w:rPr>
          <w:szCs w:val="21"/>
        </w:rPr>
        <w:t>9.</w:t>
      </w:r>
      <w:r w:rsidRPr="00BB6462">
        <w:rPr>
          <w:szCs w:val="21"/>
        </w:rPr>
        <w:tab/>
      </w:r>
      <w:r w:rsidRPr="00BB6462">
        <w:rPr>
          <w:szCs w:val="21"/>
        </w:rPr>
        <w:t>危害人类罪。</w:t>
      </w:r>
    </w:p>
    <w:p w:rsidR="00C70268" w:rsidRPr="00BB6462" w:rsidRDefault="00C70268" w:rsidP="00C70268">
      <w:pPr>
        <w:pStyle w:val="SingleTxt"/>
        <w:overflowPunct w:val="0"/>
        <w:ind w:left="1695"/>
        <w:rPr>
          <w:szCs w:val="21"/>
        </w:rPr>
      </w:pPr>
      <w:r w:rsidRPr="00BB6462">
        <w:rPr>
          <w:szCs w:val="21"/>
        </w:rPr>
        <w:t>10.</w:t>
      </w:r>
      <w:r w:rsidRPr="00BB6462">
        <w:rPr>
          <w:szCs w:val="21"/>
        </w:rPr>
        <w:tab/>
      </w:r>
      <w:r w:rsidRPr="00BB6462">
        <w:rPr>
          <w:szCs w:val="21"/>
        </w:rPr>
        <w:t>委员会方案、程序和工作方法以及文件。</w:t>
      </w:r>
    </w:p>
    <w:p w:rsidR="00C70268" w:rsidRPr="00BB6462" w:rsidRDefault="00C70268" w:rsidP="00C70268">
      <w:pPr>
        <w:pStyle w:val="SingleTxt"/>
        <w:overflowPunct w:val="0"/>
        <w:ind w:left="1695"/>
        <w:rPr>
          <w:szCs w:val="21"/>
        </w:rPr>
      </w:pPr>
      <w:r w:rsidRPr="00BB6462">
        <w:rPr>
          <w:szCs w:val="21"/>
        </w:rPr>
        <w:t>11.</w:t>
      </w:r>
      <w:r w:rsidRPr="00BB6462">
        <w:rPr>
          <w:szCs w:val="21"/>
        </w:rPr>
        <w:tab/>
      </w:r>
      <w:r w:rsidRPr="00BB6462">
        <w:rPr>
          <w:szCs w:val="21"/>
        </w:rPr>
        <w:t>第六十八届会议的日期和地点。</w:t>
      </w:r>
    </w:p>
    <w:p w:rsidR="00C70268" w:rsidRPr="00BB6462" w:rsidRDefault="00C70268" w:rsidP="00C70268">
      <w:pPr>
        <w:pStyle w:val="SingleTxt"/>
        <w:overflowPunct w:val="0"/>
        <w:ind w:left="1695"/>
        <w:rPr>
          <w:szCs w:val="21"/>
        </w:rPr>
      </w:pPr>
      <w:r w:rsidRPr="00BB6462">
        <w:rPr>
          <w:szCs w:val="21"/>
        </w:rPr>
        <w:t>12.</w:t>
      </w:r>
      <w:r w:rsidRPr="00BB6462">
        <w:rPr>
          <w:szCs w:val="21"/>
        </w:rPr>
        <w:tab/>
      </w:r>
      <w:r w:rsidRPr="00BB6462">
        <w:rPr>
          <w:szCs w:val="21"/>
        </w:rPr>
        <w:t>与其他机构的合作。</w:t>
      </w:r>
    </w:p>
    <w:p w:rsidR="002B3BAB" w:rsidRDefault="00C70268" w:rsidP="00C70268">
      <w:pPr>
        <w:pStyle w:val="SingleTxt"/>
        <w:overflowPunct w:val="0"/>
        <w:ind w:left="1695"/>
        <w:rPr>
          <w:szCs w:val="21"/>
        </w:rPr>
      </w:pPr>
      <w:r w:rsidRPr="00BB6462">
        <w:rPr>
          <w:szCs w:val="21"/>
        </w:rPr>
        <w:t>13.</w:t>
      </w:r>
      <w:r w:rsidRPr="00BB6462">
        <w:rPr>
          <w:szCs w:val="21"/>
        </w:rPr>
        <w:tab/>
      </w:r>
      <w:r w:rsidRPr="00BB6462">
        <w:rPr>
          <w:szCs w:val="21"/>
        </w:rPr>
        <w:t>其他事项。</w:t>
      </w:r>
    </w:p>
    <w:p w:rsidR="002B3BAB" w:rsidRDefault="002B3BAB">
      <w:pPr>
        <w:spacing w:line="240" w:lineRule="auto"/>
        <w:jc w:val="left"/>
        <w:rPr>
          <w:szCs w:val="21"/>
        </w:rPr>
      </w:pPr>
      <w:r>
        <w:rPr>
          <w:szCs w:val="21"/>
        </w:rPr>
        <w:br w:type="page"/>
      </w:r>
    </w:p>
    <w:p w:rsidR="005200D8" w:rsidRPr="005200D8" w:rsidRDefault="005200D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eastAsia="宋体"/>
          <w:sz w:val="10"/>
          <w:szCs w:val="21"/>
        </w:rPr>
      </w:pPr>
    </w:p>
    <w:p w:rsidR="00C70268" w:rsidRPr="00BB6462" w:rsidRDefault="002B3BAB" w:rsidP="00C70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ascii="Times New Roman" w:eastAsia="宋体" w:hint="eastAsia"/>
          <w:sz w:val="21"/>
          <w:szCs w:val="21"/>
        </w:rPr>
        <w:tab/>
      </w:r>
      <w:r w:rsidR="00C70268" w:rsidRPr="00BB6462">
        <w:rPr>
          <w:rFonts w:hint="eastAsia"/>
        </w:rPr>
        <w:tab/>
        <w:t>第二章</w:t>
      </w:r>
      <w:r w:rsidR="00C70268" w:rsidRPr="00BB6462">
        <w:br/>
      </w:r>
      <w:r w:rsidR="00C70268" w:rsidRPr="00BB6462">
        <w:rPr>
          <w:rFonts w:hint="eastAsia"/>
        </w:rPr>
        <w:t>委员会第六十七届会议工作概况</w:t>
      </w:r>
    </w:p>
    <w:p w:rsidR="00C70268" w:rsidRPr="003D3231" w:rsidRDefault="00C70268" w:rsidP="00C70268">
      <w:pPr>
        <w:pStyle w:val="SingleTxt"/>
        <w:spacing w:after="0" w:line="120" w:lineRule="exact"/>
        <w:rPr>
          <w:sz w:val="10"/>
          <w:szCs w:val="21"/>
        </w:rPr>
      </w:pPr>
    </w:p>
    <w:p w:rsidR="00C70268" w:rsidRDefault="00C70268" w:rsidP="00C70268">
      <w:pPr>
        <w:pStyle w:val="SingleTxt"/>
        <w:spacing w:after="0" w:line="120" w:lineRule="exact"/>
        <w:rPr>
          <w:sz w:val="10"/>
          <w:szCs w:val="21"/>
        </w:rPr>
      </w:pPr>
    </w:p>
    <w:p w:rsidR="00C70268" w:rsidRPr="003D3231" w:rsidRDefault="00C70268" w:rsidP="00C70268">
      <w:pPr>
        <w:pStyle w:val="SingleTxt"/>
        <w:spacing w:after="0" w:line="120" w:lineRule="exact"/>
        <w:rPr>
          <w:sz w:val="10"/>
          <w:szCs w:val="21"/>
        </w:rPr>
      </w:pPr>
    </w:p>
    <w:p w:rsidR="00C70268" w:rsidRPr="00BB6462" w:rsidRDefault="00C70268" w:rsidP="00C70268">
      <w:pPr>
        <w:pStyle w:val="SingleTxt"/>
        <w:rPr>
          <w:szCs w:val="21"/>
        </w:rPr>
      </w:pPr>
      <w:r w:rsidRPr="00BB6462">
        <w:rPr>
          <w:rFonts w:hint="eastAsia"/>
          <w:szCs w:val="21"/>
        </w:rPr>
        <w:t xml:space="preserve">13.  </w:t>
      </w:r>
      <w:r w:rsidRPr="00BB6462">
        <w:rPr>
          <w:rFonts w:hint="eastAsia"/>
          <w:szCs w:val="21"/>
        </w:rPr>
        <w:t>关于“</w:t>
      </w:r>
      <w:r w:rsidRPr="00BB6462">
        <w:rPr>
          <w:rFonts w:ascii="黑体" w:eastAsia="黑体" w:hAnsi="黑体" w:hint="eastAsia"/>
          <w:szCs w:val="21"/>
        </w:rPr>
        <w:t>最惠国条款</w:t>
      </w:r>
      <w:r w:rsidRPr="00BB6462">
        <w:rPr>
          <w:rFonts w:hint="eastAsia"/>
          <w:szCs w:val="21"/>
        </w:rPr>
        <w:t>”专题，委员会收到并赞赏地欢迎关于最惠国条款问题研究组工作的最后报告。委员会提请大会注意这份最后报告，鼓励最为广泛地分发这份报告。委员会因此完成了这一专题的审议工作</w:t>
      </w:r>
      <w:r w:rsidRPr="00BB6462">
        <w:rPr>
          <w:rFonts w:hint="eastAsia"/>
          <w:szCs w:val="21"/>
        </w:rPr>
        <w:t>(</w:t>
      </w:r>
      <w:r w:rsidRPr="00BB6462">
        <w:rPr>
          <w:rFonts w:hint="eastAsia"/>
          <w:szCs w:val="21"/>
        </w:rPr>
        <w:t>第四章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14.  </w:t>
      </w:r>
      <w:r w:rsidRPr="00BB6462">
        <w:rPr>
          <w:rFonts w:hint="eastAsia"/>
          <w:szCs w:val="21"/>
        </w:rPr>
        <w:t>关于“</w:t>
      </w:r>
      <w:r w:rsidRPr="00BB6462">
        <w:rPr>
          <w:rFonts w:ascii="黑体" w:eastAsia="黑体" w:hAnsi="黑体" w:hint="eastAsia"/>
          <w:szCs w:val="21"/>
        </w:rPr>
        <w:t>保护大气层</w:t>
      </w:r>
      <w:r w:rsidRPr="00BB6462">
        <w:rPr>
          <w:rFonts w:hint="eastAsia"/>
          <w:szCs w:val="21"/>
        </w:rPr>
        <w:t>”专题，委员会收到特别报告员的第二次报告</w:t>
      </w:r>
      <w:r w:rsidRPr="00BB6462">
        <w:rPr>
          <w:szCs w:val="21"/>
        </w:rPr>
        <w:t>(A/CN.4/681</w:t>
      </w:r>
      <w:r w:rsidRPr="00BB6462">
        <w:rPr>
          <w:szCs w:val="21"/>
        </w:rPr>
        <w:t>和</w:t>
      </w:r>
      <w:r w:rsidRPr="00BB6462">
        <w:rPr>
          <w:szCs w:val="21"/>
        </w:rPr>
        <w:t>Corr.1(</w:t>
      </w:r>
      <w:r w:rsidRPr="00BB6462">
        <w:rPr>
          <w:szCs w:val="21"/>
        </w:rPr>
        <w:t>只有中文本</w:t>
      </w:r>
      <w:r w:rsidRPr="00BB6462">
        <w:rPr>
          <w:szCs w:val="21"/>
        </w:rPr>
        <w:t>)</w:t>
      </w:r>
      <w:r w:rsidRPr="00BB6462">
        <w:rPr>
          <w:rFonts w:hint="eastAsia"/>
          <w:szCs w:val="21"/>
        </w:rPr>
        <w:t>。该报告进一步分析了第一次报告提出的</w:t>
      </w:r>
      <w:r>
        <w:rPr>
          <w:rFonts w:hint="eastAsia"/>
          <w:szCs w:val="21"/>
        </w:rPr>
        <w:t>指南</w:t>
      </w:r>
      <w:r w:rsidRPr="00BB6462">
        <w:rPr>
          <w:rFonts w:hint="eastAsia"/>
          <w:szCs w:val="21"/>
        </w:rPr>
        <w:t>草案，提出了一套关于</w:t>
      </w:r>
      <w:r>
        <w:rPr>
          <w:rFonts w:hint="eastAsia"/>
          <w:szCs w:val="21"/>
        </w:rPr>
        <w:t>用语</w:t>
      </w:r>
      <w:r w:rsidRPr="00BB6462">
        <w:rPr>
          <w:rFonts w:hint="eastAsia"/>
          <w:szCs w:val="21"/>
        </w:rPr>
        <w:t>、准则草案的范围及人类的共同关切的修订</w:t>
      </w:r>
      <w:r>
        <w:rPr>
          <w:rFonts w:hint="eastAsia"/>
          <w:szCs w:val="21"/>
        </w:rPr>
        <w:t>指南</w:t>
      </w:r>
      <w:r w:rsidRPr="00BB6462">
        <w:rPr>
          <w:rFonts w:hint="eastAsia"/>
          <w:szCs w:val="21"/>
        </w:rPr>
        <w:t>草案，还提出了关于国家保护大气层的一般义务和关于国际合作的</w:t>
      </w:r>
      <w:r>
        <w:rPr>
          <w:rFonts w:hint="eastAsia"/>
          <w:szCs w:val="21"/>
        </w:rPr>
        <w:t>指南</w:t>
      </w:r>
      <w:r w:rsidRPr="00BB6462">
        <w:rPr>
          <w:rFonts w:hint="eastAsia"/>
          <w:szCs w:val="21"/>
        </w:rPr>
        <w:t>草案。委员会讨论了特别报告员的第二次报告，决定将该报告所载</w:t>
      </w:r>
      <w:r>
        <w:rPr>
          <w:rFonts w:hint="eastAsia"/>
          <w:szCs w:val="21"/>
        </w:rPr>
        <w:t>指南</w:t>
      </w:r>
      <w:r w:rsidRPr="00BB6462">
        <w:rPr>
          <w:szCs w:val="21"/>
        </w:rPr>
        <w:t>草案</w:t>
      </w:r>
      <w:r w:rsidRPr="00BB6462">
        <w:rPr>
          <w:szCs w:val="21"/>
        </w:rPr>
        <w:t>1</w:t>
      </w:r>
      <w:r w:rsidRPr="00BB6462">
        <w:rPr>
          <w:szCs w:val="21"/>
        </w:rPr>
        <w:t>、</w:t>
      </w:r>
      <w:r w:rsidRPr="00BB6462">
        <w:rPr>
          <w:szCs w:val="21"/>
        </w:rPr>
        <w:t>2</w:t>
      </w:r>
      <w:r w:rsidRPr="00BB6462">
        <w:rPr>
          <w:szCs w:val="21"/>
        </w:rPr>
        <w:t>、</w:t>
      </w:r>
      <w:r w:rsidRPr="00BB6462">
        <w:rPr>
          <w:szCs w:val="21"/>
        </w:rPr>
        <w:t>3</w:t>
      </w:r>
      <w:r w:rsidRPr="00BB6462">
        <w:rPr>
          <w:szCs w:val="21"/>
        </w:rPr>
        <w:t>和</w:t>
      </w:r>
      <w:r w:rsidRPr="00BB6462">
        <w:rPr>
          <w:szCs w:val="21"/>
        </w:rPr>
        <w:t>5</w:t>
      </w:r>
      <w:r w:rsidRPr="00BB6462">
        <w:rPr>
          <w:szCs w:val="21"/>
        </w:rPr>
        <w:t>转交起草委员会，但有一项谅解是：</w:t>
      </w:r>
      <w:r>
        <w:rPr>
          <w:rFonts w:hint="eastAsia"/>
          <w:szCs w:val="21"/>
        </w:rPr>
        <w:t>将结合</w:t>
      </w:r>
      <w:r w:rsidRPr="00BB6462">
        <w:rPr>
          <w:szCs w:val="21"/>
        </w:rPr>
        <w:t>可能的序言对</w:t>
      </w:r>
      <w:r>
        <w:rPr>
          <w:szCs w:val="21"/>
        </w:rPr>
        <w:t>指南</w:t>
      </w:r>
      <w:r w:rsidRPr="00BB6462">
        <w:rPr>
          <w:szCs w:val="21"/>
        </w:rPr>
        <w:t>草案</w:t>
      </w:r>
      <w:r w:rsidRPr="00BB6462">
        <w:rPr>
          <w:szCs w:val="21"/>
        </w:rPr>
        <w:t>3</w:t>
      </w:r>
      <w:r w:rsidRPr="00BB6462">
        <w:rPr>
          <w:szCs w:val="21"/>
        </w:rPr>
        <w:t>进行审议。在审议了起草委员会的报告之后，委员会暂时通过了</w:t>
      </w:r>
      <w:r>
        <w:rPr>
          <w:szCs w:val="21"/>
        </w:rPr>
        <w:t>指南</w:t>
      </w:r>
      <w:r w:rsidRPr="00BB6462">
        <w:rPr>
          <w:szCs w:val="21"/>
        </w:rPr>
        <w:t>草案</w:t>
      </w:r>
      <w:r w:rsidRPr="00BB6462">
        <w:rPr>
          <w:szCs w:val="21"/>
        </w:rPr>
        <w:t>1</w:t>
      </w:r>
      <w:r w:rsidRPr="00BB6462">
        <w:rPr>
          <w:szCs w:val="21"/>
        </w:rPr>
        <w:t>、</w:t>
      </w:r>
      <w:r w:rsidRPr="00BB6462">
        <w:rPr>
          <w:szCs w:val="21"/>
        </w:rPr>
        <w:t>2</w:t>
      </w:r>
      <w:r w:rsidRPr="00BB6462">
        <w:rPr>
          <w:szCs w:val="21"/>
        </w:rPr>
        <w:t>和</w:t>
      </w:r>
      <w:r w:rsidRPr="00BB6462">
        <w:rPr>
          <w:szCs w:val="21"/>
        </w:rPr>
        <w:t>5</w:t>
      </w:r>
      <w:r w:rsidRPr="00BB6462">
        <w:rPr>
          <w:szCs w:val="21"/>
        </w:rPr>
        <w:t>及四个</w:t>
      </w:r>
      <w:r w:rsidRPr="00BB6462">
        <w:rPr>
          <w:rFonts w:hint="eastAsia"/>
          <w:szCs w:val="21"/>
        </w:rPr>
        <w:t>序言段落，还通过了</w:t>
      </w:r>
      <w:r>
        <w:rPr>
          <w:rFonts w:hint="eastAsia"/>
          <w:szCs w:val="21"/>
        </w:rPr>
        <w:t>相关</w:t>
      </w:r>
      <w:r w:rsidRPr="00BB6462">
        <w:rPr>
          <w:rFonts w:hint="eastAsia"/>
          <w:szCs w:val="21"/>
        </w:rPr>
        <w:t>评注</w:t>
      </w:r>
      <w:r w:rsidRPr="00BB6462">
        <w:rPr>
          <w:rFonts w:hint="eastAsia"/>
          <w:szCs w:val="21"/>
        </w:rPr>
        <w:t>(</w:t>
      </w:r>
      <w:r w:rsidRPr="00BB6462">
        <w:rPr>
          <w:rFonts w:hint="eastAsia"/>
          <w:szCs w:val="21"/>
        </w:rPr>
        <w:t>第五章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15.  </w:t>
      </w:r>
      <w:r w:rsidRPr="00BB6462">
        <w:rPr>
          <w:rFonts w:hint="eastAsia"/>
          <w:szCs w:val="21"/>
        </w:rPr>
        <w:t>关于“</w:t>
      </w:r>
      <w:r w:rsidRPr="00BB6462">
        <w:rPr>
          <w:rFonts w:ascii="黑体" w:eastAsia="黑体" w:hAnsi="黑体" w:hint="eastAsia"/>
          <w:szCs w:val="21"/>
        </w:rPr>
        <w:t>习惯国际法的识别</w:t>
      </w:r>
      <w:r w:rsidRPr="00BB6462">
        <w:rPr>
          <w:rFonts w:hint="eastAsia"/>
          <w:szCs w:val="21"/>
        </w:rPr>
        <w:t>”专题，委员会收到特别报告员的第三次报告</w:t>
      </w:r>
      <w:r w:rsidRPr="00BB6462">
        <w:rPr>
          <w:szCs w:val="21"/>
        </w:rPr>
        <w:t>(A/CN.</w:t>
      </w:r>
      <w:r w:rsidRPr="00BB6462">
        <w:rPr>
          <w:rFonts w:hint="eastAsia"/>
          <w:szCs w:val="21"/>
        </w:rPr>
        <w:t>4</w:t>
      </w:r>
      <w:r w:rsidRPr="00BB6462">
        <w:rPr>
          <w:szCs w:val="21"/>
        </w:rPr>
        <w:t>/682)</w:t>
      </w:r>
      <w:r w:rsidRPr="00BB6462">
        <w:rPr>
          <w:rFonts w:hint="eastAsia"/>
          <w:szCs w:val="21"/>
        </w:rPr>
        <w:t>。该报告载有第二次报告提出的结论草案中的三项草案的补充段落，还载有五项新的结论草案，分别涉及：习惯国际法的两组成要素之间的关系；不作为的作用；条约和决议、司法裁决和论著的作用；国际组织的相关性；以及特别习惯和一贯反对者。在全体会议进行辩论之后，委员会决定将第三次报告所载结论草案转交起草委员会。委员会收到了起草委员会的报告</w:t>
      </w:r>
      <w:r w:rsidRPr="00BB6462">
        <w:rPr>
          <w:szCs w:val="21"/>
        </w:rPr>
        <w:t>(A/CN.4/L.869)</w:t>
      </w:r>
      <w:r w:rsidRPr="00BB6462">
        <w:rPr>
          <w:rFonts w:hint="eastAsia"/>
          <w:szCs w:val="21"/>
        </w:rPr>
        <w:t>，注意到起草委员会在第六十六和第六十七届会议期间暂时通过的结论草案</w:t>
      </w:r>
      <w:r w:rsidRPr="00BB6462">
        <w:rPr>
          <w:rFonts w:hint="eastAsia"/>
          <w:szCs w:val="21"/>
        </w:rPr>
        <w:t>1</w:t>
      </w:r>
      <w:r w:rsidRPr="00BB6462">
        <w:rPr>
          <w:rFonts w:hint="eastAsia"/>
          <w:szCs w:val="21"/>
        </w:rPr>
        <w:t>至</w:t>
      </w:r>
      <w:r w:rsidRPr="00BB6462">
        <w:rPr>
          <w:rFonts w:hint="eastAsia"/>
          <w:szCs w:val="21"/>
        </w:rPr>
        <w:t>16(</w:t>
      </w:r>
      <w:r w:rsidRPr="00BB6462">
        <w:rPr>
          <w:rFonts w:hint="eastAsia"/>
          <w:szCs w:val="21"/>
        </w:rPr>
        <w:t>第六章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16.  </w:t>
      </w:r>
      <w:r w:rsidRPr="00BB6462">
        <w:rPr>
          <w:rFonts w:hint="eastAsia"/>
          <w:szCs w:val="21"/>
        </w:rPr>
        <w:t>关于“</w:t>
      </w:r>
      <w:r w:rsidRPr="00BB6462">
        <w:rPr>
          <w:rFonts w:ascii="黑体" w:eastAsia="黑体" w:hAnsi="黑体" w:hint="eastAsia"/>
          <w:szCs w:val="21"/>
        </w:rPr>
        <w:t>危害人类罪</w:t>
      </w:r>
      <w:r w:rsidRPr="00BB6462">
        <w:rPr>
          <w:rFonts w:hint="eastAsia"/>
          <w:szCs w:val="21"/>
        </w:rPr>
        <w:t>”专题，委员会审议了特别报告员的第一次报告</w:t>
      </w:r>
      <w:r w:rsidRPr="00BB6462">
        <w:rPr>
          <w:szCs w:val="21"/>
        </w:rPr>
        <w:t>(A/CN.4/680)</w:t>
      </w:r>
      <w:r w:rsidRPr="00BB6462">
        <w:rPr>
          <w:rFonts w:hint="eastAsia"/>
          <w:szCs w:val="21"/>
        </w:rPr>
        <w:t>。该报告载有两个条款草案，分别涉及防止及惩治危害人类罪和危害人类罪的定义。在全体会议进行辩论之后，委员会决定将特别报告员提出的条款草案转交起草委员会。在审议了起草委员会的报告</w:t>
      </w:r>
      <w:r w:rsidRPr="00BB6462">
        <w:rPr>
          <w:szCs w:val="21"/>
        </w:rPr>
        <w:t>(A/CN.4/L.853)</w:t>
      </w:r>
      <w:r w:rsidRPr="00BB6462">
        <w:rPr>
          <w:rFonts w:hint="eastAsia"/>
          <w:szCs w:val="21"/>
        </w:rPr>
        <w:t>之后，委员会暂时通过了第</w:t>
      </w:r>
      <w:r w:rsidRPr="00BB6462">
        <w:rPr>
          <w:rFonts w:hint="eastAsia"/>
          <w:szCs w:val="21"/>
        </w:rPr>
        <w:t>1</w:t>
      </w:r>
      <w:r w:rsidRPr="00BB6462">
        <w:rPr>
          <w:rFonts w:hint="eastAsia"/>
          <w:szCs w:val="21"/>
        </w:rPr>
        <w:t>至第</w:t>
      </w:r>
      <w:r w:rsidRPr="00BB6462">
        <w:rPr>
          <w:rFonts w:hint="eastAsia"/>
          <w:szCs w:val="21"/>
        </w:rPr>
        <w:t>4</w:t>
      </w:r>
      <w:r w:rsidRPr="00BB6462">
        <w:rPr>
          <w:rFonts w:hint="eastAsia"/>
          <w:szCs w:val="21"/>
        </w:rPr>
        <w:t>条草案，包括相关评注</w:t>
      </w:r>
      <w:r w:rsidRPr="00BB6462">
        <w:rPr>
          <w:rFonts w:hint="eastAsia"/>
          <w:szCs w:val="21"/>
        </w:rPr>
        <w:t>(</w:t>
      </w:r>
      <w:r w:rsidRPr="00BB6462">
        <w:rPr>
          <w:rFonts w:hint="eastAsia"/>
          <w:szCs w:val="21"/>
        </w:rPr>
        <w:t>第七章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17.  </w:t>
      </w:r>
      <w:r w:rsidRPr="00BB6462">
        <w:rPr>
          <w:rFonts w:hint="eastAsia"/>
          <w:szCs w:val="21"/>
        </w:rPr>
        <w:t>关于“</w:t>
      </w:r>
      <w:r w:rsidRPr="00BB6462">
        <w:rPr>
          <w:rFonts w:ascii="黑体" w:eastAsia="黑体" w:hAnsi="黑体" w:hint="eastAsia"/>
          <w:szCs w:val="21"/>
        </w:rPr>
        <w:t>与条约解释相关的嗣后协定和嗣后惯例</w:t>
      </w:r>
      <w:r w:rsidRPr="00BB6462">
        <w:rPr>
          <w:rFonts w:hint="eastAsia"/>
          <w:szCs w:val="21"/>
        </w:rPr>
        <w:t>”专题，委员会收到特别报告员的第三次报告</w:t>
      </w:r>
      <w:r w:rsidRPr="00BB6462">
        <w:rPr>
          <w:rFonts w:hint="eastAsia"/>
          <w:szCs w:val="21"/>
        </w:rPr>
        <w:t>(A/CN.4/683)</w:t>
      </w:r>
      <w:r w:rsidRPr="00BB6462">
        <w:rPr>
          <w:rFonts w:hint="eastAsia"/>
          <w:szCs w:val="21"/>
        </w:rPr>
        <w:t>。该报告载有一项结论草案，涉及国际组织的组成文书。在全体会议进行辩论之后，委员会决定将特别报告员提出的结论草案转交起草委员会。在审议了起草委员会的报告</w:t>
      </w:r>
      <w:r w:rsidRPr="00BB6462">
        <w:rPr>
          <w:szCs w:val="21"/>
        </w:rPr>
        <w:t>(A/CN.4/L.854)</w:t>
      </w:r>
      <w:r w:rsidRPr="00BB6462">
        <w:rPr>
          <w:rFonts w:hint="eastAsia"/>
          <w:szCs w:val="21"/>
        </w:rPr>
        <w:t>之后，委员会暂时通过了结论草案</w:t>
      </w:r>
      <w:r w:rsidRPr="00BB6462">
        <w:rPr>
          <w:rFonts w:hint="eastAsia"/>
          <w:szCs w:val="21"/>
        </w:rPr>
        <w:t>1</w:t>
      </w:r>
      <w:r>
        <w:rPr>
          <w:rFonts w:hint="eastAsia"/>
          <w:szCs w:val="21"/>
        </w:rPr>
        <w:t>1,</w:t>
      </w:r>
      <w:r w:rsidRPr="00BB6462">
        <w:rPr>
          <w:rFonts w:hint="eastAsia"/>
          <w:szCs w:val="21"/>
        </w:rPr>
        <w:t>包括相关评注</w:t>
      </w:r>
      <w:r w:rsidRPr="00BB6462">
        <w:rPr>
          <w:rFonts w:hint="eastAsia"/>
          <w:szCs w:val="21"/>
        </w:rPr>
        <w:t>(</w:t>
      </w:r>
      <w:r w:rsidRPr="00BB6462">
        <w:rPr>
          <w:rFonts w:hint="eastAsia"/>
          <w:szCs w:val="21"/>
        </w:rPr>
        <w:t>第八章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18.  </w:t>
      </w:r>
      <w:r w:rsidRPr="00BB6462">
        <w:rPr>
          <w:rFonts w:hint="eastAsia"/>
          <w:szCs w:val="21"/>
        </w:rPr>
        <w:t>关于“</w:t>
      </w:r>
      <w:r w:rsidRPr="00BB6462">
        <w:rPr>
          <w:rFonts w:ascii="黑体" w:eastAsia="黑体" w:hAnsi="黑体" w:hint="eastAsia"/>
          <w:szCs w:val="21"/>
        </w:rPr>
        <w:t>与武装冲突有关的环境保护</w:t>
      </w:r>
      <w:r w:rsidRPr="00BB6462">
        <w:rPr>
          <w:rFonts w:hint="eastAsia"/>
          <w:szCs w:val="21"/>
        </w:rPr>
        <w:t>”专题，委员会收到特别报告员的第二次报告</w:t>
      </w:r>
      <w:r w:rsidRPr="00BB6462">
        <w:rPr>
          <w:rFonts w:hint="eastAsia"/>
          <w:szCs w:val="21"/>
        </w:rPr>
        <w:t>(A/CN.4/685)</w:t>
      </w:r>
      <w:r w:rsidRPr="00BB6462">
        <w:rPr>
          <w:rFonts w:hint="eastAsia"/>
          <w:szCs w:val="21"/>
        </w:rPr>
        <w:t>，该报告列明并研讨了与武装冲突方面的环境保护直接相关的现行武装冲突规则。报告载有五项原则草案和与这些原则草案的范围和宗旨及</w:t>
      </w:r>
      <w:r>
        <w:rPr>
          <w:rFonts w:hint="eastAsia"/>
          <w:szCs w:val="21"/>
        </w:rPr>
        <w:t>用语</w:t>
      </w:r>
      <w:r w:rsidRPr="00BB6462">
        <w:rPr>
          <w:rFonts w:hint="eastAsia"/>
          <w:szCs w:val="21"/>
        </w:rPr>
        <w:t>相关的序言段落。在全体会议进行辩论之后，委员会决定将特别报告员的报告所载序言段落草案和原则草案转交起草委员会，但有一项谅解是：提交关于“</w:t>
      </w:r>
      <w:r>
        <w:rPr>
          <w:rFonts w:hint="eastAsia"/>
          <w:szCs w:val="21"/>
        </w:rPr>
        <w:t>用语</w:t>
      </w:r>
      <w:r w:rsidRPr="00BB6462">
        <w:rPr>
          <w:rFonts w:hint="eastAsia"/>
          <w:szCs w:val="21"/>
        </w:rPr>
        <w:t>”的规定，是为了便利讨论，对这方面的规定起草委员会拟暂不处理。委员会随后收到起草委</w:t>
      </w:r>
      <w:r w:rsidRPr="00BB6462">
        <w:rPr>
          <w:rFonts w:hint="eastAsia"/>
          <w:szCs w:val="21"/>
        </w:rPr>
        <w:lastRenderedPageBreak/>
        <w:t>员会的报告</w:t>
      </w:r>
      <w:r w:rsidRPr="00BB6462">
        <w:rPr>
          <w:szCs w:val="21"/>
        </w:rPr>
        <w:t>(A/CN.4/L.870)</w:t>
      </w:r>
      <w:r w:rsidRPr="00BB6462">
        <w:rPr>
          <w:rFonts w:hint="eastAsia"/>
          <w:szCs w:val="21"/>
        </w:rPr>
        <w:t>，注意到起草委员会暂时通过的导言</w:t>
      </w:r>
      <w:r>
        <w:rPr>
          <w:rFonts w:hint="eastAsia"/>
          <w:szCs w:val="21"/>
        </w:rPr>
        <w:t>部分规定</w:t>
      </w:r>
      <w:r w:rsidRPr="00BB6462">
        <w:rPr>
          <w:rFonts w:hint="eastAsia"/>
          <w:szCs w:val="21"/>
        </w:rPr>
        <w:t>草案和</w:t>
      </w:r>
      <w:r w:rsidRPr="006A2B2B">
        <w:rPr>
          <w:rFonts w:hint="eastAsia"/>
          <w:szCs w:val="21"/>
        </w:rPr>
        <w:t>原则</w:t>
      </w:r>
      <w:r w:rsidRPr="006A2B2B">
        <w:rPr>
          <w:rFonts w:hint="eastAsia"/>
          <w:szCs w:val="21"/>
        </w:rPr>
        <w:t>1-(x)</w:t>
      </w:r>
      <w:r w:rsidRPr="006A2B2B">
        <w:rPr>
          <w:rFonts w:hint="eastAsia"/>
          <w:szCs w:val="21"/>
        </w:rPr>
        <w:t>至原则</w:t>
      </w:r>
      <w:r w:rsidRPr="006A2B2B">
        <w:rPr>
          <w:rFonts w:hint="eastAsia"/>
          <w:szCs w:val="21"/>
        </w:rPr>
        <w:t>2-5</w:t>
      </w:r>
      <w:r w:rsidRPr="006A2B2B">
        <w:rPr>
          <w:rFonts w:hint="eastAsia"/>
          <w:szCs w:val="21"/>
        </w:rPr>
        <w:t>的</w:t>
      </w:r>
      <w:r w:rsidRPr="00BB6462">
        <w:rPr>
          <w:rFonts w:hint="eastAsia"/>
          <w:szCs w:val="21"/>
        </w:rPr>
        <w:t>草案</w:t>
      </w:r>
      <w:r w:rsidRPr="00BB6462">
        <w:rPr>
          <w:rFonts w:hint="eastAsia"/>
          <w:szCs w:val="21"/>
        </w:rPr>
        <w:t>(</w:t>
      </w:r>
      <w:r w:rsidRPr="00BB6462">
        <w:rPr>
          <w:rFonts w:hint="eastAsia"/>
          <w:szCs w:val="21"/>
        </w:rPr>
        <w:t>第九章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19.  </w:t>
      </w:r>
      <w:r w:rsidRPr="00BB6462">
        <w:rPr>
          <w:rFonts w:hint="eastAsia"/>
          <w:szCs w:val="21"/>
        </w:rPr>
        <w:t>关于“</w:t>
      </w:r>
      <w:r w:rsidRPr="00BB6462">
        <w:rPr>
          <w:rFonts w:ascii="黑体" w:eastAsia="黑体" w:hAnsi="黑体" w:hint="eastAsia"/>
          <w:szCs w:val="21"/>
        </w:rPr>
        <w:t>国家官员</w:t>
      </w:r>
      <w:r>
        <w:rPr>
          <w:rFonts w:ascii="黑体" w:eastAsia="黑体" w:hAnsi="黑体" w:hint="eastAsia"/>
          <w:szCs w:val="21"/>
        </w:rPr>
        <w:t>的</w:t>
      </w:r>
      <w:r w:rsidRPr="00BB6462">
        <w:rPr>
          <w:rFonts w:ascii="黑体" w:eastAsia="黑体" w:hAnsi="黑体" w:hint="eastAsia"/>
          <w:szCs w:val="21"/>
        </w:rPr>
        <w:t>外国刑事管辖豁免</w:t>
      </w:r>
      <w:r w:rsidRPr="00BB6462">
        <w:rPr>
          <w:rFonts w:hint="eastAsia"/>
          <w:szCs w:val="21"/>
        </w:rPr>
        <w:t>”专题，委员会收到特别报告员的第四次报告</w:t>
      </w:r>
      <w:r w:rsidRPr="00BB6462">
        <w:rPr>
          <w:rFonts w:hint="eastAsia"/>
          <w:szCs w:val="21"/>
        </w:rPr>
        <w:t>(A/CN.4/686)</w:t>
      </w:r>
      <w:r w:rsidRPr="00BB6462">
        <w:rPr>
          <w:rFonts w:hint="eastAsia"/>
          <w:szCs w:val="21"/>
        </w:rPr>
        <w:t>，该报告专门研讨属事管辖的实质范围所涉余下方面，即何为“以官方身份实施的行为”，及其时间范围。报告载有第</w:t>
      </w:r>
      <w:r w:rsidRPr="00BB6462">
        <w:rPr>
          <w:rFonts w:hint="eastAsia"/>
          <w:szCs w:val="21"/>
        </w:rPr>
        <w:t>2</w:t>
      </w:r>
      <w:r w:rsidRPr="00BB6462">
        <w:rPr>
          <w:rFonts w:hint="eastAsia"/>
          <w:szCs w:val="21"/>
        </w:rPr>
        <w:t>条</w:t>
      </w:r>
      <w:r w:rsidRPr="00BB6462">
        <w:rPr>
          <w:rFonts w:hint="eastAsia"/>
          <w:szCs w:val="21"/>
        </w:rPr>
        <w:t>(f)</w:t>
      </w:r>
      <w:r w:rsidRPr="00BB6462">
        <w:rPr>
          <w:rFonts w:hint="eastAsia"/>
          <w:szCs w:val="21"/>
        </w:rPr>
        <w:t>款草案，该款对“以官方身份实施的行为”作出界定；还载有关于属事管辖的范围的第</w:t>
      </w:r>
      <w:r w:rsidRPr="00BB6462">
        <w:rPr>
          <w:rFonts w:hint="eastAsia"/>
          <w:szCs w:val="21"/>
        </w:rPr>
        <w:t>6</w:t>
      </w:r>
      <w:r w:rsidRPr="00BB6462">
        <w:rPr>
          <w:rFonts w:hint="eastAsia"/>
          <w:szCs w:val="21"/>
        </w:rPr>
        <w:t>条草案。在全体会议进行辩论之后，委员会决定将两项条款草案转交起草委员会。委员会随后收到起草委员会的报告</w:t>
      </w:r>
      <w:r w:rsidRPr="00BB6462">
        <w:rPr>
          <w:szCs w:val="21"/>
        </w:rPr>
        <w:t>(A/CN.4/L.865)</w:t>
      </w:r>
      <w:r w:rsidRPr="00BB6462">
        <w:rPr>
          <w:rFonts w:hint="eastAsia"/>
          <w:szCs w:val="21"/>
        </w:rPr>
        <w:t>，注意到起草委员会暂时通过的第</w:t>
      </w:r>
      <w:r w:rsidRPr="00BB6462">
        <w:rPr>
          <w:rFonts w:hint="eastAsia"/>
          <w:szCs w:val="21"/>
        </w:rPr>
        <w:t>2</w:t>
      </w:r>
      <w:r w:rsidRPr="00BB6462">
        <w:rPr>
          <w:rFonts w:hint="eastAsia"/>
          <w:szCs w:val="21"/>
        </w:rPr>
        <w:t>条</w:t>
      </w:r>
      <w:r w:rsidRPr="00BB6462">
        <w:rPr>
          <w:rFonts w:hint="eastAsia"/>
          <w:szCs w:val="21"/>
        </w:rPr>
        <w:t>(f)</w:t>
      </w:r>
      <w:r w:rsidRPr="00BB6462">
        <w:rPr>
          <w:rFonts w:hint="eastAsia"/>
          <w:szCs w:val="21"/>
        </w:rPr>
        <w:t>款和第</w:t>
      </w:r>
      <w:r w:rsidRPr="00BB6462">
        <w:rPr>
          <w:rFonts w:hint="eastAsia"/>
          <w:szCs w:val="21"/>
        </w:rPr>
        <w:t>6</w:t>
      </w:r>
      <w:r w:rsidRPr="00BB6462">
        <w:rPr>
          <w:rFonts w:hint="eastAsia"/>
          <w:szCs w:val="21"/>
        </w:rPr>
        <w:t>条草案</w:t>
      </w:r>
      <w:r w:rsidRPr="00BB6462">
        <w:rPr>
          <w:rFonts w:hint="eastAsia"/>
          <w:szCs w:val="21"/>
        </w:rPr>
        <w:t>(</w:t>
      </w:r>
      <w:r w:rsidRPr="00BB6462">
        <w:rPr>
          <w:rFonts w:hint="eastAsia"/>
          <w:szCs w:val="21"/>
        </w:rPr>
        <w:t>第十章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20.  </w:t>
      </w:r>
      <w:r w:rsidRPr="00BB6462">
        <w:rPr>
          <w:rFonts w:hint="eastAsia"/>
          <w:szCs w:val="21"/>
        </w:rPr>
        <w:t>关于“</w:t>
      </w:r>
      <w:r w:rsidRPr="00BB6462">
        <w:rPr>
          <w:rFonts w:ascii="黑体" w:eastAsia="黑体" w:hAnsi="黑体" w:hint="eastAsia"/>
          <w:szCs w:val="21"/>
        </w:rPr>
        <w:t>条约的暂时适用</w:t>
      </w:r>
      <w:r w:rsidRPr="00BB6462">
        <w:rPr>
          <w:rFonts w:hint="eastAsia"/>
          <w:szCs w:val="21"/>
        </w:rPr>
        <w:t>”专题，委员会收到特别报告员的第三次报告</w:t>
      </w:r>
      <w:r w:rsidRPr="00BB6462">
        <w:rPr>
          <w:rFonts w:hint="eastAsia"/>
          <w:szCs w:val="21"/>
        </w:rPr>
        <w:t>(A/CN.4/687)</w:t>
      </w:r>
      <w:r w:rsidRPr="00BB6462">
        <w:rPr>
          <w:rFonts w:hint="eastAsia"/>
          <w:szCs w:val="21"/>
        </w:rPr>
        <w:t>，该报告讨论暂时适用与</w:t>
      </w:r>
      <w:r w:rsidRPr="00BB6462">
        <w:rPr>
          <w:rFonts w:hint="eastAsia"/>
          <w:szCs w:val="21"/>
        </w:rPr>
        <w:t>1969</w:t>
      </w:r>
      <w:r w:rsidRPr="00BB6462">
        <w:rPr>
          <w:rFonts w:hint="eastAsia"/>
          <w:szCs w:val="21"/>
        </w:rPr>
        <w:t>年《维也纳条约法公约》的其他规定的关系，以及关于国际组织的暂时适用问题。委员会还收到一份秘书处编写的备忘录</w:t>
      </w:r>
      <w:r w:rsidRPr="00BB6462">
        <w:rPr>
          <w:rFonts w:hint="eastAsia"/>
          <w:szCs w:val="21"/>
        </w:rPr>
        <w:t>(A/CN.4/676)</w:t>
      </w:r>
      <w:r w:rsidRPr="00BB6462">
        <w:rPr>
          <w:rFonts w:hint="eastAsia"/>
          <w:szCs w:val="21"/>
        </w:rPr>
        <w:t>，该备忘录述及</w:t>
      </w:r>
      <w:r w:rsidRPr="00BB6462">
        <w:rPr>
          <w:rFonts w:hint="eastAsia"/>
          <w:szCs w:val="21"/>
        </w:rPr>
        <w:t>1986</w:t>
      </w:r>
      <w:r w:rsidRPr="00BB6462">
        <w:rPr>
          <w:rFonts w:hint="eastAsia"/>
          <w:szCs w:val="21"/>
        </w:rPr>
        <w:t>年《关于国家和国际组织间或国际组织相互间条约法的维也纳公约》之下的暂时适用。委员会将特别报告员提出的六项准则草案转交起草委员会。委员会随后收到到起草委员会主席关于起草委员会暂</w:t>
      </w:r>
      <w:r>
        <w:rPr>
          <w:rFonts w:hint="eastAsia"/>
          <w:szCs w:val="21"/>
        </w:rPr>
        <w:t>时通过</w:t>
      </w:r>
      <w:r w:rsidRPr="006E1DDD">
        <w:rPr>
          <w:rFonts w:hint="eastAsia"/>
          <w:szCs w:val="21"/>
        </w:rPr>
        <w:t>准则草案</w:t>
      </w:r>
      <w:r w:rsidRPr="006E1DDD">
        <w:rPr>
          <w:rFonts w:hint="eastAsia"/>
          <w:szCs w:val="21"/>
        </w:rPr>
        <w:t>1</w:t>
      </w:r>
      <w:r w:rsidRPr="006E1DDD">
        <w:rPr>
          <w:rFonts w:hint="eastAsia"/>
          <w:szCs w:val="21"/>
        </w:rPr>
        <w:t>－</w:t>
      </w:r>
      <w:r w:rsidRPr="006E1DDD">
        <w:rPr>
          <w:rFonts w:hint="eastAsia"/>
          <w:szCs w:val="21"/>
        </w:rPr>
        <w:t>3</w:t>
      </w:r>
      <w:r w:rsidRPr="00BB6462">
        <w:rPr>
          <w:rFonts w:hint="eastAsia"/>
          <w:szCs w:val="21"/>
        </w:rPr>
        <w:t>的临时口头报告，该报告提交委员会供参考</w:t>
      </w:r>
      <w:r w:rsidRPr="00BB6462">
        <w:rPr>
          <w:rFonts w:hint="eastAsia"/>
          <w:szCs w:val="21"/>
        </w:rPr>
        <w:t>(</w:t>
      </w:r>
      <w:r w:rsidRPr="00BB6462">
        <w:rPr>
          <w:rFonts w:hint="eastAsia"/>
          <w:szCs w:val="21"/>
        </w:rPr>
        <w:t>第十一章</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21.  </w:t>
      </w:r>
      <w:r w:rsidRPr="00BB6462">
        <w:rPr>
          <w:rFonts w:hint="eastAsia"/>
          <w:szCs w:val="21"/>
        </w:rPr>
        <w:t>委员会设立了负责研究委员会的方案、程序和工作方法的规划组</w:t>
      </w:r>
      <w:r w:rsidRPr="00BB6462">
        <w:rPr>
          <w:rFonts w:hint="eastAsia"/>
          <w:szCs w:val="21"/>
        </w:rPr>
        <w:t>(</w:t>
      </w:r>
      <w:r w:rsidRPr="00BB6462">
        <w:rPr>
          <w:rFonts w:hint="eastAsia"/>
          <w:szCs w:val="21"/>
        </w:rPr>
        <w:t>第十二章</w:t>
      </w:r>
      <w:r w:rsidRPr="00BB6462">
        <w:rPr>
          <w:rFonts w:hint="eastAsia"/>
          <w:szCs w:val="21"/>
        </w:rPr>
        <w:t>A</w:t>
      </w:r>
      <w:r w:rsidRPr="00BB6462">
        <w:rPr>
          <w:rFonts w:hint="eastAsia"/>
          <w:szCs w:val="21"/>
        </w:rPr>
        <w:t>节</w:t>
      </w:r>
      <w:r w:rsidRPr="00BB6462">
        <w:rPr>
          <w:rFonts w:hint="eastAsia"/>
          <w:szCs w:val="21"/>
        </w:rPr>
        <w:t>)</w:t>
      </w:r>
      <w:r w:rsidRPr="00BB6462">
        <w:rPr>
          <w:rFonts w:hint="eastAsia"/>
          <w:szCs w:val="21"/>
        </w:rPr>
        <w:t>。委员会决定将“强制法”专题列入</w:t>
      </w:r>
      <w:r w:rsidRPr="00BB6462">
        <w:rPr>
          <w:szCs w:val="21"/>
        </w:rPr>
        <w:t>工作方案</w:t>
      </w:r>
      <w:r w:rsidRPr="00BB6462">
        <w:rPr>
          <w:rFonts w:hint="eastAsia"/>
          <w:szCs w:val="21"/>
        </w:rPr>
        <w:t>，并任命迪雷·特拉迪先生担任该专题的特别报告员</w:t>
      </w:r>
      <w:r w:rsidRPr="00BB6462">
        <w:rPr>
          <w:rFonts w:hint="eastAsia"/>
          <w:szCs w:val="21"/>
        </w:rPr>
        <w:t>(</w:t>
      </w:r>
      <w:r w:rsidRPr="00BB6462">
        <w:rPr>
          <w:rFonts w:hint="eastAsia"/>
          <w:szCs w:val="21"/>
        </w:rPr>
        <w:t>第十二章</w:t>
      </w:r>
      <w:r w:rsidRPr="00BB6462">
        <w:rPr>
          <w:rFonts w:hint="eastAsia"/>
          <w:szCs w:val="21"/>
        </w:rPr>
        <w:t>A.1</w:t>
      </w:r>
      <w:r w:rsidRPr="00BB6462">
        <w:rPr>
          <w:rFonts w:hint="eastAsia"/>
          <w:szCs w:val="21"/>
        </w:rPr>
        <w:t>节</w:t>
      </w:r>
      <w:r w:rsidRPr="00BB6462">
        <w:rPr>
          <w:rFonts w:hint="eastAsia"/>
          <w:szCs w:val="21"/>
        </w:rPr>
        <w:t>)</w:t>
      </w:r>
      <w:r w:rsidRPr="00BB6462">
        <w:rPr>
          <w:rFonts w:hint="eastAsia"/>
          <w:szCs w:val="21"/>
        </w:rPr>
        <w:t>。</w:t>
      </w:r>
    </w:p>
    <w:p w:rsidR="00C70268" w:rsidRPr="00BB6462" w:rsidRDefault="00C70268" w:rsidP="00C70268">
      <w:pPr>
        <w:pStyle w:val="SingleTxt"/>
        <w:rPr>
          <w:szCs w:val="21"/>
        </w:rPr>
      </w:pPr>
      <w:r w:rsidRPr="00BB6462">
        <w:rPr>
          <w:rFonts w:hint="eastAsia"/>
          <w:szCs w:val="21"/>
        </w:rPr>
        <w:t xml:space="preserve">22.  </w:t>
      </w:r>
      <w:r w:rsidRPr="00BB6462">
        <w:rPr>
          <w:rFonts w:hint="eastAsia"/>
          <w:szCs w:val="21"/>
        </w:rPr>
        <w:t>委员会继续同国际法院、亚非法律协商组织、美洲司法委员会、欧洲委员会国际公法法律顾问委员会以及非洲联盟国际法委员会交流信息。联合国人权事务高级专员向委员会发表讲话。委员会委员和红十字国际委员会成员以非正式方式交流看法。</w:t>
      </w:r>
    </w:p>
    <w:p w:rsidR="00C70268" w:rsidRDefault="00C70268" w:rsidP="00C70268">
      <w:pPr>
        <w:pStyle w:val="SingleTxt"/>
        <w:rPr>
          <w:szCs w:val="21"/>
        </w:rPr>
      </w:pPr>
      <w:r w:rsidRPr="00BB6462">
        <w:rPr>
          <w:rFonts w:hint="eastAsia"/>
          <w:szCs w:val="21"/>
        </w:rPr>
        <w:t xml:space="preserve">23.  </w:t>
      </w:r>
      <w:r w:rsidRPr="00BB6462">
        <w:rPr>
          <w:rFonts w:hint="eastAsia"/>
          <w:szCs w:val="21"/>
        </w:rPr>
        <w:t>委员会建议，委员会第六十八届会议于</w:t>
      </w:r>
      <w:r w:rsidRPr="00BB6462">
        <w:rPr>
          <w:rFonts w:hint="eastAsia"/>
          <w:szCs w:val="21"/>
        </w:rPr>
        <w:t>2016</w:t>
      </w:r>
      <w:r w:rsidRPr="00BB6462">
        <w:rPr>
          <w:rFonts w:hint="eastAsia"/>
          <w:szCs w:val="21"/>
        </w:rPr>
        <w:t>年</w:t>
      </w:r>
      <w:r w:rsidRPr="00BB6462">
        <w:rPr>
          <w:rFonts w:hint="eastAsia"/>
          <w:szCs w:val="21"/>
        </w:rPr>
        <w:t>5</w:t>
      </w:r>
      <w:r w:rsidRPr="00BB6462">
        <w:rPr>
          <w:rFonts w:hint="eastAsia"/>
          <w:szCs w:val="21"/>
        </w:rPr>
        <w:t>月</w:t>
      </w:r>
      <w:r w:rsidRPr="00BB6462">
        <w:rPr>
          <w:rFonts w:hint="eastAsia"/>
          <w:szCs w:val="21"/>
        </w:rPr>
        <w:t>2</w:t>
      </w:r>
      <w:r w:rsidRPr="00BB6462">
        <w:rPr>
          <w:rFonts w:hint="eastAsia"/>
          <w:szCs w:val="21"/>
        </w:rPr>
        <w:t>日至</w:t>
      </w:r>
      <w:r w:rsidRPr="00BB6462">
        <w:rPr>
          <w:rFonts w:hint="eastAsia"/>
          <w:szCs w:val="21"/>
        </w:rPr>
        <w:t>6</w:t>
      </w:r>
      <w:r w:rsidRPr="00BB6462">
        <w:rPr>
          <w:rFonts w:hint="eastAsia"/>
          <w:szCs w:val="21"/>
        </w:rPr>
        <w:t>月</w:t>
      </w:r>
      <w:r w:rsidRPr="00BB6462">
        <w:rPr>
          <w:rFonts w:hint="eastAsia"/>
          <w:szCs w:val="21"/>
        </w:rPr>
        <w:t>10</w:t>
      </w:r>
      <w:r w:rsidRPr="00BB6462">
        <w:rPr>
          <w:rFonts w:hint="eastAsia"/>
          <w:szCs w:val="21"/>
        </w:rPr>
        <w:t>日和</w:t>
      </w:r>
      <w:r w:rsidRPr="00BB6462">
        <w:rPr>
          <w:rFonts w:hint="eastAsia"/>
          <w:szCs w:val="21"/>
        </w:rPr>
        <w:t>7</w:t>
      </w:r>
      <w:r w:rsidRPr="00BB6462">
        <w:rPr>
          <w:rFonts w:hint="eastAsia"/>
          <w:szCs w:val="21"/>
        </w:rPr>
        <w:t>月</w:t>
      </w:r>
      <w:r w:rsidRPr="00BB6462">
        <w:rPr>
          <w:rFonts w:hint="eastAsia"/>
          <w:szCs w:val="21"/>
        </w:rPr>
        <w:t>4</w:t>
      </w:r>
      <w:r w:rsidRPr="00BB6462">
        <w:rPr>
          <w:rFonts w:hint="eastAsia"/>
          <w:szCs w:val="21"/>
        </w:rPr>
        <w:t>日至</w:t>
      </w:r>
      <w:r w:rsidRPr="00BB6462">
        <w:rPr>
          <w:rFonts w:hint="eastAsia"/>
          <w:szCs w:val="21"/>
        </w:rPr>
        <w:t>8</w:t>
      </w:r>
      <w:r w:rsidRPr="00BB6462">
        <w:rPr>
          <w:rFonts w:hint="eastAsia"/>
          <w:szCs w:val="21"/>
        </w:rPr>
        <w:t>月</w:t>
      </w:r>
      <w:r w:rsidRPr="00BB6462">
        <w:rPr>
          <w:rFonts w:hint="eastAsia"/>
          <w:szCs w:val="21"/>
        </w:rPr>
        <w:t>12</w:t>
      </w:r>
      <w:r w:rsidRPr="00BB6462">
        <w:rPr>
          <w:rFonts w:hint="eastAsia"/>
          <w:szCs w:val="21"/>
        </w:rPr>
        <w:t>日在日内瓦举行</w:t>
      </w:r>
      <w:r w:rsidRPr="00BB6462">
        <w:rPr>
          <w:rFonts w:hint="eastAsia"/>
          <w:szCs w:val="21"/>
        </w:rPr>
        <w:t>(</w:t>
      </w:r>
      <w:r w:rsidRPr="00BB6462">
        <w:rPr>
          <w:rFonts w:hint="eastAsia"/>
          <w:szCs w:val="21"/>
        </w:rPr>
        <w:t>第十二章</w:t>
      </w:r>
      <w:r w:rsidRPr="00BB6462">
        <w:rPr>
          <w:rFonts w:hint="eastAsia"/>
          <w:szCs w:val="21"/>
        </w:rPr>
        <w:t>B</w:t>
      </w:r>
      <w:r w:rsidRPr="00BB6462">
        <w:rPr>
          <w:rFonts w:hint="eastAsia"/>
          <w:szCs w:val="21"/>
        </w:rPr>
        <w:t>节</w:t>
      </w:r>
      <w:r w:rsidRPr="00BB6462">
        <w:rPr>
          <w:rFonts w:hint="eastAsia"/>
          <w:szCs w:val="21"/>
        </w:rPr>
        <w:t>)</w:t>
      </w:r>
      <w:r w:rsidRPr="00BB6462">
        <w:rPr>
          <w:rFonts w:hint="eastAsia"/>
          <w:szCs w:val="21"/>
        </w:rPr>
        <w:t>。</w:t>
      </w:r>
    </w:p>
    <w:p w:rsidR="005200D8" w:rsidRPr="00BB6462" w:rsidRDefault="005200D8" w:rsidP="00C70268">
      <w:pPr>
        <w:pStyle w:val="SingleTxt"/>
        <w:rPr>
          <w:szCs w:val="21"/>
        </w:rPr>
      </w:pPr>
    </w:p>
    <w:p w:rsidR="005200D8" w:rsidRPr="005200D8" w:rsidRDefault="00C7026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r w:rsidRPr="00BB6462">
        <w:br w:type="page"/>
      </w:r>
    </w:p>
    <w:p w:rsidR="005200D8" w:rsidRPr="005200D8" w:rsidRDefault="005200D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C70268" w:rsidRPr="00BB6462" w:rsidRDefault="00C70268" w:rsidP="00C70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lang w:val="fr-FR"/>
        </w:rPr>
        <w:tab/>
      </w:r>
      <w:r w:rsidRPr="00BB6462">
        <w:rPr>
          <w:rFonts w:hint="eastAsia"/>
          <w:lang w:val="fr-FR"/>
        </w:rPr>
        <w:tab/>
        <w:t>第三章</w:t>
      </w:r>
      <w:r w:rsidRPr="00BB6462">
        <w:rPr>
          <w:lang w:val="fr-FR"/>
        </w:rPr>
        <w:br/>
      </w:r>
      <w:r w:rsidRPr="00BB6462">
        <w:rPr>
          <w:rFonts w:hint="eastAsia"/>
        </w:rPr>
        <w:t>委员会</w:t>
      </w:r>
      <w:r w:rsidRPr="00BB6462">
        <w:rPr>
          <w:rFonts w:hint="eastAsia"/>
          <w:lang w:val="fr-FR"/>
        </w:rPr>
        <w:t>特别</w:t>
      </w:r>
      <w:r w:rsidRPr="00BB6462">
        <w:rPr>
          <w:rFonts w:hint="eastAsia"/>
        </w:rPr>
        <w:t>想听取意见的具体问题</w:t>
      </w:r>
    </w:p>
    <w:p w:rsidR="00C70268" w:rsidRPr="003D3231" w:rsidRDefault="00C70268" w:rsidP="00C70268">
      <w:pPr>
        <w:pStyle w:val="SingleTxt"/>
        <w:spacing w:after="0" w:line="120" w:lineRule="exact"/>
        <w:rPr>
          <w:sz w:val="10"/>
          <w:szCs w:val="21"/>
        </w:rPr>
      </w:pPr>
    </w:p>
    <w:p w:rsidR="00C70268" w:rsidRDefault="00C70268" w:rsidP="00C70268">
      <w:pPr>
        <w:pStyle w:val="SingleTxt"/>
        <w:spacing w:after="0" w:line="120" w:lineRule="exact"/>
        <w:rPr>
          <w:sz w:val="10"/>
          <w:szCs w:val="21"/>
        </w:rPr>
      </w:pPr>
    </w:p>
    <w:p w:rsidR="00C70268" w:rsidRPr="003D3231" w:rsidRDefault="00C70268" w:rsidP="00C70268">
      <w:pPr>
        <w:pStyle w:val="SingleTxt"/>
        <w:spacing w:after="0" w:line="120" w:lineRule="exact"/>
        <w:rPr>
          <w:sz w:val="10"/>
          <w:szCs w:val="21"/>
        </w:rPr>
      </w:pPr>
    </w:p>
    <w:p w:rsidR="00C70268" w:rsidRPr="00BB6462" w:rsidRDefault="00C70268" w:rsidP="00C70268">
      <w:pPr>
        <w:pStyle w:val="SingleTxt"/>
        <w:autoSpaceDE w:val="0"/>
        <w:rPr>
          <w:szCs w:val="21"/>
          <w:lang w:val="fr-FR"/>
        </w:rPr>
      </w:pPr>
      <w:r w:rsidRPr="00BB6462">
        <w:rPr>
          <w:szCs w:val="21"/>
          <w:lang w:val="fr-FR"/>
        </w:rPr>
        <w:t xml:space="preserve">24. </w:t>
      </w:r>
      <w:r w:rsidRPr="00BB6462">
        <w:rPr>
          <w:rFonts w:hint="eastAsia"/>
          <w:szCs w:val="21"/>
        </w:rPr>
        <w:t>委员会认为</w:t>
      </w:r>
      <w:r w:rsidRPr="00BB6462">
        <w:rPr>
          <w:rFonts w:hint="eastAsia"/>
          <w:szCs w:val="21"/>
          <w:lang w:val="fr-FR"/>
        </w:rPr>
        <w:t>，</w:t>
      </w:r>
      <w:r w:rsidRPr="00BB6462">
        <w:rPr>
          <w:rFonts w:hint="eastAsia"/>
          <w:szCs w:val="21"/>
        </w:rPr>
        <w:t>其上届会议报告第三章所载的关于就一些专题提供资料的请求依然是有用的，并欢迎提供任何另外资料</w:t>
      </w:r>
      <w:r w:rsidRPr="00BB6462">
        <w:rPr>
          <w:rFonts w:hint="eastAsia"/>
          <w:szCs w:val="21"/>
          <w:lang w:val="fr-FR"/>
        </w:rPr>
        <w:t>，</w:t>
      </w:r>
      <w:r w:rsidRPr="00BB6462">
        <w:rPr>
          <w:rFonts w:hint="eastAsia"/>
          <w:szCs w:val="21"/>
        </w:rPr>
        <w:t>这些专题是</w:t>
      </w:r>
      <w:r w:rsidRPr="00BB6462">
        <w:rPr>
          <w:rFonts w:hint="eastAsia"/>
          <w:szCs w:val="21"/>
          <w:lang w:val="fr-FR"/>
        </w:rPr>
        <w:t>“</w:t>
      </w:r>
      <w:r w:rsidRPr="00BB6462">
        <w:rPr>
          <w:rFonts w:hint="eastAsia"/>
          <w:szCs w:val="21"/>
        </w:rPr>
        <w:t>保护大气层</w:t>
      </w:r>
      <w:r w:rsidRPr="00BB6462">
        <w:rPr>
          <w:rFonts w:hint="eastAsia"/>
          <w:szCs w:val="21"/>
          <w:lang w:val="fr-FR"/>
        </w:rPr>
        <w:t>”</w:t>
      </w:r>
      <w:r w:rsidRPr="003F1277">
        <w:rPr>
          <w:rStyle w:val="a3"/>
          <w:szCs w:val="21"/>
        </w:rPr>
        <w:footnoteReference w:id="4"/>
      </w:r>
      <w:r w:rsidRPr="00BB6462">
        <w:rPr>
          <w:rFonts w:hint="eastAsia"/>
          <w:szCs w:val="21"/>
        </w:rPr>
        <w:t>、</w:t>
      </w:r>
      <w:r w:rsidRPr="00BB6462">
        <w:rPr>
          <w:rFonts w:hint="eastAsia"/>
          <w:szCs w:val="21"/>
          <w:lang w:val="fr-FR"/>
        </w:rPr>
        <w:t>“</w:t>
      </w:r>
      <w:r w:rsidRPr="00BB6462">
        <w:rPr>
          <w:rFonts w:hint="eastAsia"/>
          <w:szCs w:val="21"/>
        </w:rPr>
        <w:t>习惯国际法的识别</w:t>
      </w:r>
      <w:r w:rsidRPr="00BB6462">
        <w:rPr>
          <w:rFonts w:hint="eastAsia"/>
          <w:szCs w:val="21"/>
          <w:lang w:val="fr-FR"/>
        </w:rPr>
        <w:t>”</w:t>
      </w:r>
      <w:r w:rsidRPr="003F1277">
        <w:rPr>
          <w:rStyle w:val="a3"/>
          <w:szCs w:val="21"/>
        </w:rPr>
        <w:footnoteReference w:id="5"/>
      </w:r>
      <w:r>
        <w:rPr>
          <w:rFonts w:hint="eastAsia"/>
          <w:szCs w:val="21"/>
          <w:lang w:val="fr-FR"/>
        </w:rPr>
        <w:t xml:space="preserve"> </w:t>
      </w:r>
      <w:r w:rsidRPr="00BB6462">
        <w:rPr>
          <w:rFonts w:hint="eastAsia"/>
          <w:szCs w:val="21"/>
          <w:lang w:val="fr-FR"/>
        </w:rPr>
        <w:t>以及“危害人类罪”</w:t>
      </w:r>
      <w:r w:rsidRPr="003F1277">
        <w:rPr>
          <w:rStyle w:val="a3"/>
          <w:szCs w:val="21"/>
        </w:rPr>
        <w:footnoteReference w:id="6"/>
      </w:r>
      <w:r w:rsidRPr="00BB6462">
        <w:rPr>
          <w:rFonts w:hint="eastAsia"/>
          <w:iCs/>
          <w:szCs w:val="21"/>
          <w:lang w:val="fr-FR"/>
        </w:rPr>
        <w:t>。</w:t>
      </w:r>
    </w:p>
    <w:p w:rsidR="00C70268" w:rsidRPr="00BB6462" w:rsidRDefault="00C70268" w:rsidP="00C70268">
      <w:pPr>
        <w:pStyle w:val="SingleTxt"/>
        <w:rPr>
          <w:szCs w:val="21"/>
        </w:rPr>
      </w:pPr>
      <w:r w:rsidRPr="00BB6462">
        <w:rPr>
          <w:szCs w:val="21"/>
          <w:lang w:val="fr-FR"/>
        </w:rPr>
        <w:t>25.</w:t>
      </w:r>
      <w:r w:rsidRPr="00BB6462">
        <w:rPr>
          <w:szCs w:val="21"/>
          <w:lang w:val="fr-FR"/>
        </w:rPr>
        <w:tab/>
      </w:r>
      <w:r w:rsidRPr="00BB6462">
        <w:rPr>
          <w:rFonts w:hint="eastAsia"/>
          <w:szCs w:val="21"/>
        </w:rPr>
        <w:t>委员会还欢迎就下列问题在</w:t>
      </w:r>
      <w:r w:rsidRPr="00BB6462">
        <w:rPr>
          <w:rFonts w:hint="eastAsia"/>
          <w:szCs w:val="21"/>
          <w:lang w:val="fr-FR"/>
        </w:rPr>
        <w:t>2016</w:t>
      </w:r>
      <w:r w:rsidRPr="00BB6462">
        <w:rPr>
          <w:rFonts w:hint="eastAsia"/>
          <w:szCs w:val="21"/>
        </w:rPr>
        <w:t>年</w:t>
      </w:r>
      <w:r w:rsidRPr="00BB6462">
        <w:rPr>
          <w:rFonts w:hint="eastAsia"/>
          <w:szCs w:val="21"/>
          <w:lang w:val="fr-FR"/>
        </w:rPr>
        <w:t>1</w:t>
      </w:r>
      <w:r w:rsidRPr="00BB6462">
        <w:rPr>
          <w:rFonts w:hint="eastAsia"/>
          <w:szCs w:val="21"/>
        </w:rPr>
        <w:t>月</w:t>
      </w:r>
      <w:r w:rsidRPr="00BB6462">
        <w:rPr>
          <w:rFonts w:hint="eastAsia"/>
          <w:szCs w:val="21"/>
          <w:lang w:val="fr-FR"/>
        </w:rPr>
        <w:t>31</w:t>
      </w:r>
      <w:r w:rsidRPr="00BB6462">
        <w:rPr>
          <w:rFonts w:hint="eastAsia"/>
          <w:szCs w:val="21"/>
        </w:rPr>
        <w:t>日之前提供任何资料，从而能在各特别报告员的报告里加以考虑。</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A.</w:t>
      </w:r>
      <w:r w:rsidRPr="00BB6462">
        <w:tab/>
        <w:t>与条约解释相关的嗣后协定和嗣后惯例</w:t>
      </w:r>
    </w:p>
    <w:p w:rsidR="002B3BAB" w:rsidRPr="002B3BAB" w:rsidRDefault="002B3BAB" w:rsidP="002B3BAB">
      <w:pPr>
        <w:pStyle w:val="SingleTxt"/>
        <w:spacing w:after="0" w:line="120" w:lineRule="exact"/>
        <w:rPr>
          <w:sz w:val="10"/>
          <w:szCs w:val="21"/>
        </w:rPr>
      </w:pPr>
    </w:p>
    <w:p w:rsidR="002B3BAB" w:rsidRPr="002B3BAB" w:rsidRDefault="002B3BAB" w:rsidP="002B3BAB">
      <w:pPr>
        <w:pStyle w:val="SingleTxt"/>
        <w:spacing w:after="0" w:line="120" w:lineRule="exact"/>
        <w:rPr>
          <w:sz w:val="10"/>
          <w:szCs w:val="21"/>
        </w:rPr>
      </w:pPr>
    </w:p>
    <w:p w:rsidR="00C70268" w:rsidRPr="00BB6462" w:rsidRDefault="00C70268" w:rsidP="00C70268">
      <w:pPr>
        <w:pStyle w:val="SingleTxt"/>
        <w:rPr>
          <w:szCs w:val="21"/>
          <w:lang w:val="en-GB"/>
        </w:rPr>
      </w:pPr>
      <w:r w:rsidRPr="00BB6462">
        <w:rPr>
          <w:rFonts w:hint="eastAsia"/>
          <w:szCs w:val="21"/>
        </w:rPr>
        <w:t>26</w:t>
      </w:r>
      <w:r w:rsidRPr="00BB6462">
        <w:rPr>
          <w:szCs w:val="21"/>
        </w:rPr>
        <w:t>.</w:t>
      </w:r>
      <w:r w:rsidRPr="00BB6462">
        <w:rPr>
          <w:rFonts w:hint="eastAsia"/>
          <w:b/>
          <w:bCs/>
          <w:szCs w:val="21"/>
        </w:rPr>
        <w:t xml:space="preserve">  </w:t>
      </w:r>
      <w:r w:rsidRPr="00BB6462">
        <w:rPr>
          <w:szCs w:val="21"/>
          <w:lang w:val="en-GB"/>
        </w:rPr>
        <w:t>各国和国际组织</w:t>
      </w:r>
      <w:r w:rsidRPr="00BB6462">
        <w:rPr>
          <w:rFonts w:hint="eastAsia"/>
          <w:szCs w:val="21"/>
          <w:lang w:val="en-GB"/>
        </w:rPr>
        <w:t>如能向委员会提供下列资料，则对委员会有帮助：</w:t>
      </w:r>
    </w:p>
    <w:p w:rsidR="00C70268" w:rsidRPr="00BB6462" w:rsidRDefault="00C70268" w:rsidP="00C70268">
      <w:pPr>
        <w:pStyle w:val="SingleTxt"/>
        <w:rPr>
          <w:lang w:val="en-GB"/>
        </w:rPr>
      </w:pPr>
      <w:r>
        <w:rPr>
          <w:rFonts w:hint="eastAsia"/>
          <w:lang w:val="en-GB"/>
        </w:rPr>
        <w:tab/>
      </w:r>
      <w:r w:rsidRPr="00BB6462">
        <w:rPr>
          <w:lang w:val="en-GB"/>
        </w:rPr>
        <w:t>(a)</w:t>
      </w:r>
      <w:r w:rsidRPr="00BB6462">
        <w:rPr>
          <w:lang w:val="en-GB"/>
        </w:rPr>
        <w:tab/>
      </w:r>
      <w:r w:rsidRPr="00BB6462">
        <w:rPr>
          <w:lang w:val="en-GB"/>
        </w:rPr>
        <w:t>嗣后协定或嗣后惯例为条约解释作出贡献的任何国内法院判决实例；以及</w:t>
      </w:r>
      <w:r w:rsidRPr="00BB6462">
        <w:rPr>
          <w:lang w:val="en-GB"/>
        </w:rPr>
        <w:t xml:space="preserve"> </w:t>
      </w:r>
    </w:p>
    <w:p w:rsidR="00C70268" w:rsidRPr="00BB6462" w:rsidRDefault="00C70268" w:rsidP="00C70268">
      <w:pPr>
        <w:pStyle w:val="SingleTxt"/>
      </w:pPr>
      <w:r>
        <w:rPr>
          <w:rFonts w:hint="eastAsia"/>
        </w:rPr>
        <w:tab/>
      </w:r>
      <w:r w:rsidRPr="00BB6462">
        <w:t>(b)</w:t>
      </w:r>
      <w:r w:rsidRPr="00BB6462">
        <w:tab/>
      </w:r>
      <w:r w:rsidRPr="00BB6462">
        <w:t>由独立专家组成的条约机构的宣判或其他行动被视为引起与条约解释相关的嗣后协定或嗣后惯例的任何实例。</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bCs/>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b/>
          <w:bCs/>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b/>
          <w:bCs/>
        </w:rPr>
        <w:tab/>
      </w:r>
      <w:r w:rsidRPr="00BB6462">
        <w:t>B.</w:t>
      </w:r>
      <w:r w:rsidRPr="00BB6462">
        <w:tab/>
        <w:t>与武装冲突有关的环境保护</w:t>
      </w:r>
    </w:p>
    <w:p w:rsidR="002B3BAB" w:rsidRPr="002B3BAB" w:rsidRDefault="002B3BAB" w:rsidP="002B3BAB">
      <w:pPr>
        <w:pStyle w:val="SingleTxt"/>
        <w:spacing w:after="0" w:line="120" w:lineRule="exact"/>
        <w:rPr>
          <w:sz w:val="10"/>
          <w:szCs w:val="21"/>
          <w:lang w:val="en-GB"/>
        </w:rPr>
      </w:pPr>
    </w:p>
    <w:p w:rsidR="002B3BAB" w:rsidRPr="002B3BAB" w:rsidRDefault="002B3BAB" w:rsidP="002B3BAB">
      <w:pPr>
        <w:pStyle w:val="SingleTxt"/>
        <w:spacing w:after="0" w:line="120" w:lineRule="exact"/>
        <w:rPr>
          <w:sz w:val="10"/>
          <w:szCs w:val="21"/>
          <w:lang w:val="en-GB"/>
        </w:rPr>
      </w:pPr>
    </w:p>
    <w:p w:rsidR="00C70268" w:rsidRPr="003707AD" w:rsidRDefault="00C70268" w:rsidP="00C70268">
      <w:pPr>
        <w:pStyle w:val="SingleTxt"/>
        <w:rPr>
          <w:spacing w:val="-4"/>
          <w:szCs w:val="21"/>
          <w:lang w:val="en-GB"/>
        </w:rPr>
      </w:pPr>
      <w:r w:rsidRPr="00BB6462">
        <w:rPr>
          <w:szCs w:val="21"/>
          <w:lang w:val="en-GB"/>
        </w:rPr>
        <w:t>2</w:t>
      </w:r>
      <w:r w:rsidRPr="00BB6462">
        <w:rPr>
          <w:rFonts w:hint="eastAsia"/>
          <w:szCs w:val="21"/>
          <w:lang w:val="en-GB"/>
        </w:rPr>
        <w:t>7</w:t>
      </w:r>
      <w:r w:rsidRPr="00BB6462">
        <w:rPr>
          <w:szCs w:val="21"/>
          <w:lang w:val="en-GB"/>
        </w:rPr>
        <w:t>.</w:t>
      </w:r>
      <w:r w:rsidRPr="00BB6462">
        <w:rPr>
          <w:rFonts w:hint="eastAsia"/>
          <w:szCs w:val="21"/>
          <w:lang w:val="en-GB"/>
        </w:rPr>
        <w:t xml:space="preserve">  </w:t>
      </w:r>
      <w:r w:rsidRPr="00BB6462">
        <w:rPr>
          <w:szCs w:val="21"/>
          <w:lang w:val="en-GB"/>
        </w:rPr>
        <w:t>委员会</w:t>
      </w:r>
      <w:r w:rsidRPr="00BB6462">
        <w:rPr>
          <w:rFonts w:hint="eastAsia"/>
          <w:szCs w:val="21"/>
          <w:lang w:val="es-ES"/>
        </w:rPr>
        <w:t>很希望</w:t>
      </w:r>
      <w:r w:rsidRPr="00BB6462">
        <w:rPr>
          <w:szCs w:val="21"/>
          <w:lang w:val="en-GB"/>
        </w:rPr>
        <w:t>各国提供资料，说明在它们的实践中，在涉及国际或非国际武装</w:t>
      </w:r>
      <w:r w:rsidRPr="003707AD">
        <w:rPr>
          <w:spacing w:val="-4"/>
          <w:szCs w:val="21"/>
          <w:lang w:val="en-GB"/>
        </w:rPr>
        <w:t>冲突时，国际或国内环境法是否被解释为适用。委员会特别希望收到</w:t>
      </w:r>
      <w:r w:rsidRPr="003707AD">
        <w:rPr>
          <w:rFonts w:hint="eastAsia"/>
          <w:spacing w:val="-4"/>
          <w:szCs w:val="21"/>
          <w:lang w:val="en-GB"/>
        </w:rPr>
        <w:t>下列方面的实例</w:t>
      </w:r>
      <w:r w:rsidRPr="003707AD">
        <w:rPr>
          <w:spacing w:val="-4"/>
          <w:szCs w:val="21"/>
          <w:lang w:val="en-GB"/>
        </w:rPr>
        <w:t>：</w:t>
      </w:r>
      <w:r w:rsidRPr="003707AD">
        <w:rPr>
          <w:spacing w:val="-4"/>
          <w:szCs w:val="21"/>
        </w:rPr>
        <w:t xml:space="preserve"> </w:t>
      </w:r>
    </w:p>
    <w:p w:rsidR="00C70268" w:rsidRPr="00BB6462" w:rsidRDefault="00C70268" w:rsidP="00C70268">
      <w:pPr>
        <w:pStyle w:val="SingleTxt"/>
        <w:ind w:left="1684"/>
        <w:rPr>
          <w:szCs w:val="21"/>
          <w:lang w:val="en-GB"/>
        </w:rPr>
      </w:pPr>
      <w:r w:rsidRPr="00BB6462">
        <w:rPr>
          <w:szCs w:val="21"/>
          <w:lang w:val="en-GB"/>
        </w:rPr>
        <w:t>(a)</w:t>
      </w:r>
      <w:r w:rsidRPr="00BB6462">
        <w:rPr>
          <w:szCs w:val="21"/>
          <w:lang w:val="en-GB"/>
        </w:rPr>
        <w:tab/>
      </w:r>
      <w:r w:rsidRPr="00BB6462">
        <w:rPr>
          <w:szCs w:val="21"/>
          <w:lang w:val="en-GB"/>
        </w:rPr>
        <w:t>条约，包括有关的区域或双边条约；</w:t>
      </w:r>
    </w:p>
    <w:p w:rsidR="00C70268" w:rsidRPr="00BB6462" w:rsidRDefault="00C70268" w:rsidP="00C70268">
      <w:pPr>
        <w:pStyle w:val="SingleTxt"/>
        <w:ind w:left="1684"/>
        <w:rPr>
          <w:szCs w:val="21"/>
          <w:lang w:val="en-GB"/>
        </w:rPr>
      </w:pPr>
      <w:r w:rsidRPr="00BB6462">
        <w:rPr>
          <w:szCs w:val="21"/>
          <w:lang w:val="en-GB"/>
        </w:rPr>
        <w:t>(b)</w:t>
      </w:r>
      <w:r w:rsidRPr="00BB6462">
        <w:rPr>
          <w:szCs w:val="21"/>
          <w:lang w:val="en-GB"/>
        </w:rPr>
        <w:tab/>
      </w:r>
      <w:r w:rsidRPr="00BB6462">
        <w:rPr>
          <w:szCs w:val="21"/>
          <w:lang w:val="en-GB"/>
        </w:rPr>
        <w:t>与本专题有关的国内法律，包括执行区域或双边条约的国内法律；</w:t>
      </w:r>
    </w:p>
    <w:p w:rsidR="00C70268" w:rsidRPr="00BB6462" w:rsidRDefault="00C70268" w:rsidP="00C70268">
      <w:pPr>
        <w:pStyle w:val="SingleTxt"/>
        <w:ind w:left="1684"/>
        <w:rPr>
          <w:szCs w:val="21"/>
          <w:lang w:val="en-GB"/>
        </w:rPr>
      </w:pPr>
      <w:r w:rsidRPr="00BB6462">
        <w:rPr>
          <w:szCs w:val="21"/>
          <w:lang w:val="en-GB"/>
        </w:rPr>
        <w:t>(c)</w:t>
      </w:r>
      <w:r w:rsidRPr="00BB6462">
        <w:rPr>
          <w:szCs w:val="21"/>
          <w:lang w:val="en-GB"/>
        </w:rPr>
        <w:tab/>
      </w:r>
      <w:r w:rsidRPr="00BB6462">
        <w:rPr>
          <w:szCs w:val="21"/>
          <w:lang w:val="en-GB"/>
        </w:rPr>
        <w:t>对涉及武装冲突的争端适用国际或国内环境法的判例法。</w:t>
      </w:r>
    </w:p>
    <w:p w:rsidR="00C70268" w:rsidRPr="00BB6462" w:rsidRDefault="00C70268" w:rsidP="00C70268">
      <w:pPr>
        <w:pStyle w:val="SingleTxt"/>
        <w:rPr>
          <w:szCs w:val="21"/>
        </w:rPr>
      </w:pPr>
      <w:r w:rsidRPr="00BB6462">
        <w:rPr>
          <w:rFonts w:hint="eastAsia"/>
          <w:szCs w:val="21"/>
          <w:lang w:val="en-GB"/>
        </w:rPr>
        <w:t>28</w:t>
      </w:r>
      <w:r w:rsidRPr="00BB6462">
        <w:rPr>
          <w:szCs w:val="21"/>
          <w:lang w:val="en-GB"/>
        </w:rPr>
        <w:t>.</w:t>
      </w:r>
      <w:r w:rsidRPr="00BB6462">
        <w:rPr>
          <w:rFonts w:hint="eastAsia"/>
          <w:szCs w:val="21"/>
          <w:lang w:val="en-GB"/>
        </w:rPr>
        <w:t xml:space="preserve">  </w:t>
      </w:r>
      <w:r w:rsidRPr="00BB6462">
        <w:rPr>
          <w:szCs w:val="21"/>
          <w:lang w:val="en-GB"/>
        </w:rPr>
        <w:t>委员会还希望各国提供资料，说明它们是否有旨在在武装冲突背景下保护环境的文书，例如：国家法律和规章；在国际行动期间适用的军事手册、标准操作程序、接战规则或部队地位协定；以及涉及防卫相关活动的环境管理政策。委员会对涉及预防和补救措施的文书特别感兴趣。</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C.</w:t>
      </w:r>
      <w:r w:rsidRPr="00BB6462">
        <w:tab/>
        <w:t>国家官员的外国刑事管辖豁免</w:t>
      </w:r>
    </w:p>
    <w:p w:rsidR="002B3BAB" w:rsidRPr="002B3BAB" w:rsidRDefault="002B3BAB" w:rsidP="002B3BAB">
      <w:pPr>
        <w:pStyle w:val="SingleTxt"/>
        <w:spacing w:after="0" w:line="120" w:lineRule="exact"/>
        <w:rPr>
          <w:sz w:val="10"/>
          <w:szCs w:val="21"/>
          <w:lang w:val="es-ES"/>
        </w:rPr>
      </w:pPr>
    </w:p>
    <w:p w:rsidR="002B3BAB" w:rsidRPr="002B3BAB" w:rsidRDefault="002B3BAB" w:rsidP="002B3BAB">
      <w:pPr>
        <w:pStyle w:val="SingleTxt"/>
        <w:spacing w:after="0" w:line="120" w:lineRule="exact"/>
        <w:rPr>
          <w:sz w:val="10"/>
          <w:szCs w:val="21"/>
          <w:lang w:val="es-ES"/>
        </w:rPr>
      </w:pPr>
    </w:p>
    <w:p w:rsidR="00C70268" w:rsidRPr="00BB6462" w:rsidRDefault="00C70268" w:rsidP="00C70268">
      <w:pPr>
        <w:pStyle w:val="SingleTxt"/>
        <w:rPr>
          <w:szCs w:val="21"/>
          <w:lang w:val="es-ES"/>
        </w:rPr>
      </w:pPr>
      <w:r w:rsidRPr="00BB6462">
        <w:rPr>
          <w:rFonts w:hint="eastAsia"/>
          <w:szCs w:val="21"/>
          <w:lang w:val="es-ES"/>
        </w:rPr>
        <w:t>29</w:t>
      </w:r>
      <w:r w:rsidRPr="00BB6462">
        <w:rPr>
          <w:rFonts w:eastAsia="Times New Roman"/>
          <w:szCs w:val="21"/>
          <w:lang w:val="es-ES"/>
        </w:rPr>
        <w:t>.</w:t>
      </w:r>
      <w:r w:rsidRPr="00BB6462">
        <w:rPr>
          <w:rFonts w:hint="eastAsia"/>
          <w:szCs w:val="21"/>
          <w:lang w:val="es-ES"/>
        </w:rPr>
        <w:t xml:space="preserve">  </w:t>
      </w:r>
      <w:r w:rsidRPr="00BB6462">
        <w:rPr>
          <w:szCs w:val="21"/>
          <w:lang w:val="es-ES"/>
        </w:rPr>
        <w:t>委员会</w:t>
      </w:r>
      <w:r w:rsidRPr="00BB6462">
        <w:rPr>
          <w:rFonts w:hint="eastAsia"/>
          <w:szCs w:val="21"/>
          <w:lang w:val="es-ES"/>
        </w:rPr>
        <w:t>很希望</w:t>
      </w:r>
      <w:r w:rsidRPr="00BB6462">
        <w:rPr>
          <w:szCs w:val="21"/>
          <w:lang w:val="es-ES"/>
        </w:rPr>
        <w:t>各国提供资料，说明其法律和惯例，尤其是涉及国家官员的外国刑事管辖豁免的限制和例外的司法惯例。</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s-ES"/>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s-ES"/>
        </w:rPr>
      </w:pPr>
    </w:p>
    <w:p w:rsidR="00C70268"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lang w:val="es-ES"/>
        </w:rPr>
        <w:tab/>
      </w:r>
      <w:r w:rsidRPr="00BB6462">
        <w:rPr>
          <w:lang w:val="es-ES"/>
        </w:rPr>
        <w:t>D.</w:t>
      </w:r>
      <w:r w:rsidRPr="00BB6462">
        <w:rPr>
          <w:lang w:val="es-ES"/>
        </w:rPr>
        <w:tab/>
      </w:r>
      <w:r w:rsidRPr="00BB6462">
        <w:t>条约的暂时适用</w:t>
      </w:r>
    </w:p>
    <w:p w:rsidR="002B3BAB" w:rsidRPr="002B3BAB" w:rsidRDefault="002B3BAB" w:rsidP="002B3BAB">
      <w:pPr>
        <w:pStyle w:val="SingleTxt"/>
        <w:spacing w:after="0" w:line="120" w:lineRule="exact"/>
        <w:rPr>
          <w:sz w:val="10"/>
          <w:szCs w:val="21"/>
          <w:lang w:val="es-ES"/>
        </w:rPr>
      </w:pPr>
    </w:p>
    <w:p w:rsidR="002B3BAB" w:rsidRPr="002B3BAB" w:rsidRDefault="002B3BAB" w:rsidP="002B3BAB">
      <w:pPr>
        <w:pStyle w:val="SingleTxt"/>
        <w:spacing w:after="0" w:line="120" w:lineRule="exact"/>
        <w:rPr>
          <w:sz w:val="10"/>
          <w:szCs w:val="21"/>
          <w:lang w:val="es-ES"/>
        </w:rPr>
      </w:pPr>
    </w:p>
    <w:p w:rsidR="00C70268" w:rsidRPr="00BB6462" w:rsidRDefault="00C70268" w:rsidP="00C70268">
      <w:pPr>
        <w:pStyle w:val="SingleTxt"/>
        <w:rPr>
          <w:szCs w:val="21"/>
          <w:lang w:val="es-ES"/>
        </w:rPr>
      </w:pPr>
      <w:r w:rsidRPr="00BB6462">
        <w:rPr>
          <w:rFonts w:hint="eastAsia"/>
          <w:szCs w:val="21"/>
          <w:lang w:val="es-ES"/>
        </w:rPr>
        <w:t>30</w:t>
      </w:r>
      <w:r w:rsidRPr="00BB6462">
        <w:rPr>
          <w:szCs w:val="21"/>
          <w:lang w:val="es-ES"/>
        </w:rPr>
        <w:t>.</w:t>
      </w:r>
      <w:r w:rsidRPr="00BB6462">
        <w:rPr>
          <w:rFonts w:hint="eastAsia"/>
          <w:szCs w:val="21"/>
          <w:lang w:val="es-ES"/>
        </w:rPr>
        <w:t xml:space="preserve">  </w:t>
      </w:r>
      <w:r w:rsidRPr="00BB6462">
        <w:rPr>
          <w:szCs w:val="21"/>
          <w:lang w:val="es-ES"/>
        </w:rPr>
        <w:t>委员会</w:t>
      </w:r>
      <w:r w:rsidRPr="00BB6462">
        <w:rPr>
          <w:rFonts w:hint="eastAsia"/>
          <w:szCs w:val="21"/>
          <w:lang w:val="es-ES"/>
        </w:rPr>
        <w:t>很希望</w:t>
      </w:r>
      <w:r w:rsidRPr="00BB6462">
        <w:rPr>
          <w:szCs w:val="21"/>
          <w:lang w:val="es-ES"/>
        </w:rPr>
        <w:t>各国提供资料，说明其暂时适用条约的实践，包括涉及这一问题的国内法律，</w:t>
      </w:r>
      <w:r w:rsidRPr="00BB6462">
        <w:rPr>
          <w:szCs w:val="21"/>
        </w:rPr>
        <w:t>并特别举例说明</w:t>
      </w:r>
      <w:r w:rsidRPr="00BB6462">
        <w:rPr>
          <w:szCs w:val="21"/>
          <w:lang w:val="es-ES"/>
        </w:rPr>
        <w:t>：</w:t>
      </w:r>
    </w:p>
    <w:p w:rsidR="00C70268" w:rsidRPr="00BB6462" w:rsidRDefault="00C70268" w:rsidP="00C70268">
      <w:pPr>
        <w:pStyle w:val="SingleTxt"/>
        <w:ind w:left="1684"/>
        <w:rPr>
          <w:szCs w:val="21"/>
        </w:rPr>
      </w:pPr>
      <w:r w:rsidRPr="00BB6462">
        <w:rPr>
          <w:szCs w:val="21"/>
        </w:rPr>
        <w:t>(a)</w:t>
      </w:r>
      <w:r w:rsidRPr="00BB6462">
        <w:rPr>
          <w:rFonts w:hint="eastAsia"/>
          <w:szCs w:val="21"/>
        </w:rPr>
        <w:tab/>
      </w:r>
      <w:r w:rsidRPr="00BB6462">
        <w:rPr>
          <w:szCs w:val="21"/>
        </w:rPr>
        <w:t>关于暂时适用条约的决定；</w:t>
      </w:r>
    </w:p>
    <w:p w:rsidR="00C70268" w:rsidRPr="00BB6462" w:rsidRDefault="00C70268" w:rsidP="00C70268">
      <w:pPr>
        <w:pStyle w:val="SingleTxt"/>
        <w:ind w:left="1684"/>
        <w:rPr>
          <w:szCs w:val="21"/>
        </w:rPr>
      </w:pPr>
      <w:r w:rsidRPr="00BB6462">
        <w:rPr>
          <w:szCs w:val="21"/>
        </w:rPr>
        <w:t>(b)</w:t>
      </w:r>
      <w:r w:rsidRPr="00BB6462">
        <w:rPr>
          <w:szCs w:val="21"/>
        </w:rPr>
        <w:tab/>
      </w:r>
      <w:r w:rsidRPr="00BB6462">
        <w:rPr>
          <w:szCs w:val="21"/>
        </w:rPr>
        <w:t>此种暂时适用的终止；以及</w:t>
      </w:r>
    </w:p>
    <w:p w:rsidR="00C70268" w:rsidRPr="00BB6462" w:rsidRDefault="00C70268" w:rsidP="00C70268">
      <w:pPr>
        <w:pStyle w:val="SingleTxt"/>
        <w:ind w:left="1684"/>
        <w:rPr>
          <w:szCs w:val="21"/>
        </w:rPr>
      </w:pPr>
      <w:r w:rsidRPr="00BB6462">
        <w:rPr>
          <w:szCs w:val="21"/>
        </w:rPr>
        <w:t>(c)</w:t>
      </w:r>
      <w:r w:rsidRPr="00BB6462">
        <w:rPr>
          <w:szCs w:val="21"/>
        </w:rPr>
        <w:tab/>
      </w:r>
      <w:r w:rsidRPr="00BB6462">
        <w:rPr>
          <w:szCs w:val="21"/>
        </w:rPr>
        <w:t>暂时适用的法律效力。</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s-ES"/>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s-ES"/>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s-ES"/>
        </w:rPr>
      </w:pPr>
      <w:r w:rsidRPr="00BB6462">
        <w:rPr>
          <w:rFonts w:hint="eastAsia"/>
          <w:lang w:val="es-ES"/>
        </w:rPr>
        <w:tab/>
      </w:r>
      <w:r w:rsidRPr="00BB6462">
        <w:rPr>
          <w:lang w:val="es-ES"/>
        </w:rPr>
        <w:t>E.</w:t>
      </w:r>
      <w:r w:rsidRPr="00BB6462">
        <w:rPr>
          <w:lang w:val="es-ES"/>
        </w:rPr>
        <w:tab/>
        <w:t>强制法</w:t>
      </w:r>
    </w:p>
    <w:p w:rsidR="002B3BAB" w:rsidRPr="002B3BAB" w:rsidRDefault="002B3BAB" w:rsidP="002B3BAB">
      <w:pPr>
        <w:pStyle w:val="SingleTxt"/>
        <w:spacing w:after="0" w:line="120" w:lineRule="exact"/>
        <w:rPr>
          <w:sz w:val="10"/>
          <w:szCs w:val="21"/>
        </w:rPr>
      </w:pPr>
    </w:p>
    <w:p w:rsidR="002B3BAB" w:rsidRPr="002B3BAB" w:rsidRDefault="002B3BAB" w:rsidP="002B3BAB">
      <w:pPr>
        <w:pStyle w:val="SingleTxt"/>
        <w:spacing w:after="0" w:line="120" w:lineRule="exact"/>
        <w:rPr>
          <w:sz w:val="10"/>
          <w:szCs w:val="21"/>
        </w:rPr>
      </w:pPr>
    </w:p>
    <w:p w:rsidR="00C70268" w:rsidRPr="00BB6462" w:rsidRDefault="00C70268" w:rsidP="00C70268">
      <w:pPr>
        <w:pStyle w:val="SingleTxt"/>
        <w:rPr>
          <w:szCs w:val="21"/>
        </w:rPr>
      </w:pPr>
      <w:r w:rsidRPr="00BB6462">
        <w:rPr>
          <w:rFonts w:hint="eastAsia"/>
          <w:szCs w:val="21"/>
        </w:rPr>
        <w:t>31</w:t>
      </w:r>
      <w:r w:rsidRPr="00BB6462">
        <w:rPr>
          <w:szCs w:val="21"/>
        </w:rPr>
        <w:t>.</w:t>
      </w:r>
      <w:r w:rsidRPr="00BB6462">
        <w:rPr>
          <w:rFonts w:hint="eastAsia"/>
          <w:szCs w:val="21"/>
        </w:rPr>
        <w:t xml:space="preserve">  </w:t>
      </w:r>
      <w:r w:rsidRPr="00BB6462">
        <w:rPr>
          <w:szCs w:val="21"/>
          <w:lang w:val="es-ES"/>
        </w:rPr>
        <w:t>委员会</w:t>
      </w:r>
      <w:r w:rsidRPr="00BB6462">
        <w:rPr>
          <w:rFonts w:hint="eastAsia"/>
          <w:szCs w:val="21"/>
          <w:lang w:val="es-ES"/>
        </w:rPr>
        <w:t>很希望</w:t>
      </w:r>
      <w:r w:rsidRPr="00BB6462">
        <w:rPr>
          <w:szCs w:val="21"/>
          <w:lang w:val="es-ES"/>
        </w:rPr>
        <w:t>各国提供资料</w:t>
      </w:r>
      <w:r w:rsidRPr="00BB6462">
        <w:rPr>
          <w:szCs w:val="21"/>
        </w:rPr>
        <w:t>，</w:t>
      </w:r>
      <w:r w:rsidRPr="00BB6462">
        <w:rPr>
          <w:szCs w:val="21"/>
          <w:lang w:val="es-ES"/>
        </w:rPr>
        <w:t>说明</w:t>
      </w:r>
      <w:r w:rsidRPr="00BB6462">
        <w:rPr>
          <w:szCs w:val="21"/>
        </w:rPr>
        <w:t>以下文件体现的与</w:t>
      </w:r>
      <w:r w:rsidRPr="00BB6462">
        <w:rPr>
          <w:rFonts w:eastAsia="楷体"/>
          <w:szCs w:val="21"/>
        </w:rPr>
        <w:t>强制法</w:t>
      </w:r>
      <w:r w:rsidRPr="00BB6462">
        <w:rPr>
          <w:szCs w:val="21"/>
        </w:rPr>
        <w:t>性质</w:t>
      </w:r>
      <w:r>
        <w:rPr>
          <w:szCs w:val="21"/>
        </w:rPr>
        <w:t>、强制法形成标准</w:t>
      </w:r>
      <w:r w:rsidRPr="00BB6462">
        <w:rPr>
          <w:szCs w:val="21"/>
        </w:rPr>
        <w:t>及成为强制法的后果有关的实践：</w:t>
      </w:r>
    </w:p>
    <w:p w:rsidR="00C70268" w:rsidRPr="00BB6462" w:rsidRDefault="00C70268" w:rsidP="00C70268">
      <w:pPr>
        <w:pStyle w:val="SingleTxt"/>
        <w:ind w:left="1684"/>
        <w:rPr>
          <w:b/>
          <w:bCs/>
          <w:szCs w:val="21"/>
        </w:rPr>
      </w:pPr>
      <w:r w:rsidRPr="00BB6462">
        <w:rPr>
          <w:szCs w:val="21"/>
        </w:rPr>
        <w:t>(a)</w:t>
      </w:r>
      <w:r w:rsidRPr="00BB6462">
        <w:rPr>
          <w:szCs w:val="21"/>
        </w:rPr>
        <w:tab/>
      </w:r>
      <w:r w:rsidRPr="00BB6462">
        <w:rPr>
          <w:szCs w:val="21"/>
        </w:rPr>
        <w:t>正式</w:t>
      </w:r>
      <w:r>
        <w:rPr>
          <w:rFonts w:hint="eastAsia"/>
          <w:szCs w:val="21"/>
        </w:rPr>
        <w:t>陈述</w:t>
      </w:r>
      <w:r w:rsidRPr="00BB6462">
        <w:rPr>
          <w:szCs w:val="21"/>
        </w:rPr>
        <w:t>，包括在立法机构、法院和国际组织的正式</w:t>
      </w:r>
      <w:r>
        <w:rPr>
          <w:rFonts w:hint="eastAsia"/>
          <w:szCs w:val="21"/>
        </w:rPr>
        <w:t>陈述</w:t>
      </w:r>
      <w:r>
        <w:rPr>
          <w:szCs w:val="21"/>
        </w:rPr>
        <w:t>；</w:t>
      </w:r>
      <w:r>
        <w:rPr>
          <w:rFonts w:hint="eastAsia"/>
          <w:szCs w:val="21"/>
        </w:rPr>
        <w:t>以</w:t>
      </w:r>
      <w:r w:rsidRPr="00BB6462">
        <w:rPr>
          <w:szCs w:val="21"/>
        </w:rPr>
        <w:t>及</w:t>
      </w:r>
    </w:p>
    <w:p w:rsidR="002B3BAB" w:rsidRDefault="00C70268" w:rsidP="00C70268">
      <w:pPr>
        <w:pStyle w:val="SingleTxt"/>
        <w:ind w:left="1684"/>
        <w:rPr>
          <w:szCs w:val="21"/>
        </w:rPr>
      </w:pPr>
      <w:r w:rsidRPr="00BB6462">
        <w:rPr>
          <w:szCs w:val="21"/>
        </w:rPr>
        <w:t>(b)</w:t>
      </w:r>
      <w:r w:rsidRPr="00BB6462">
        <w:rPr>
          <w:szCs w:val="21"/>
        </w:rPr>
        <w:tab/>
      </w:r>
      <w:r w:rsidRPr="00BB6462">
        <w:rPr>
          <w:szCs w:val="21"/>
        </w:rPr>
        <w:t>国家和区域法院以及仲裁法庭，包括准司法机构的判决。</w:t>
      </w:r>
    </w:p>
    <w:p w:rsidR="002B3BAB" w:rsidRDefault="002B3BAB">
      <w:pPr>
        <w:spacing w:line="240" w:lineRule="auto"/>
        <w:jc w:val="left"/>
        <w:rPr>
          <w:szCs w:val="21"/>
        </w:rPr>
      </w:pPr>
      <w:r>
        <w:rPr>
          <w:szCs w:val="21"/>
        </w:rPr>
        <w:br w:type="page"/>
      </w:r>
    </w:p>
    <w:p w:rsidR="005200D8" w:rsidRPr="005200D8" w:rsidRDefault="005200D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rPr>
          <w:rFonts w:hint="eastAsia"/>
        </w:rPr>
        <w:tab/>
        <w:t>第四章</w:t>
      </w:r>
      <w:r>
        <w:rPr>
          <w:rFonts w:hint="eastAsia"/>
        </w:rPr>
        <w:br/>
      </w:r>
      <w:r w:rsidRPr="00BB6462">
        <w:rPr>
          <w:rFonts w:hint="eastAsia"/>
        </w:rPr>
        <w:t>最惠国条款</w:t>
      </w:r>
    </w:p>
    <w:p w:rsidR="00C70268" w:rsidRPr="0097049F" w:rsidRDefault="00C70268" w:rsidP="00C70268">
      <w:pPr>
        <w:pStyle w:val="SingleTxt"/>
        <w:spacing w:after="0" w:line="120" w:lineRule="exact"/>
        <w:rPr>
          <w:sz w:val="10"/>
          <w:szCs w:val="21"/>
        </w:rPr>
      </w:pPr>
    </w:p>
    <w:p w:rsidR="00C70268" w:rsidRDefault="00C70268" w:rsidP="00C70268">
      <w:pPr>
        <w:pStyle w:val="SingleTxt"/>
        <w:spacing w:after="0" w:line="120" w:lineRule="exact"/>
        <w:rPr>
          <w:sz w:val="10"/>
          <w:szCs w:val="21"/>
        </w:rPr>
      </w:pPr>
    </w:p>
    <w:p w:rsidR="00C70268" w:rsidRPr="0097049F" w:rsidRDefault="00C70268" w:rsidP="00C70268">
      <w:pPr>
        <w:pStyle w:val="SingleTxt"/>
        <w:spacing w:after="0" w:line="120" w:lineRule="exact"/>
        <w:rPr>
          <w:sz w:val="10"/>
          <w:szCs w:val="21"/>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tab/>
        <w:t>A.</w:t>
      </w:r>
      <w:r w:rsidRPr="00BB6462">
        <w:tab/>
      </w:r>
      <w:r w:rsidRPr="00BB6462">
        <w:rPr>
          <w:rFonts w:hint="eastAsia"/>
        </w:rPr>
        <w:t>导言</w:t>
      </w:r>
    </w:p>
    <w:p w:rsidR="002B3BAB" w:rsidRPr="002B3BAB" w:rsidRDefault="002B3BAB" w:rsidP="002B3BAB">
      <w:pPr>
        <w:pStyle w:val="SingleTxt"/>
        <w:spacing w:after="0" w:line="120" w:lineRule="exact"/>
        <w:rPr>
          <w:sz w:val="10"/>
          <w:szCs w:val="21"/>
        </w:rPr>
      </w:pPr>
    </w:p>
    <w:p w:rsidR="002B3BAB" w:rsidRPr="002B3BAB" w:rsidRDefault="002B3BAB" w:rsidP="002B3BAB">
      <w:pPr>
        <w:pStyle w:val="SingleTxt"/>
        <w:spacing w:after="0" w:line="120" w:lineRule="exact"/>
        <w:rPr>
          <w:sz w:val="10"/>
          <w:szCs w:val="21"/>
        </w:rPr>
      </w:pPr>
    </w:p>
    <w:p w:rsidR="00C70268" w:rsidRPr="00BB6462" w:rsidRDefault="00C70268" w:rsidP="00C70268">
      <w:pPr>
        <w:pStyle w:val="SingleTxt"/>
        <w:rPr>
          <w:szCs w:val="21"/>
        </w:rPr>
      </w:pPr>
      <w:r w:rsidRPr="00BB6462">
        <w:rPr>
          <w:rFonts w:hint="eastAsia"/>
          <w:szCs w:val="21"/>
        </w:rPr>
        <w:t>32</w:t>
      </w:r>
      <w:r w:rsidRPr="00BB6462">
        <w:rPr>
          <w:szCs w:val="21"/>
        </w:rPr>
        <w:t xml:space="preserve">.  </w:t>
      </w:r>
      <w:r w:rsidRPr="00BB6462">
        <w:rPr>
          <w:rFonts w:hint="eastAsia"/>
          <w:szCs w:val="21"/>
        </w:rPr>
        <w:t>委员会在第六十届会议</w:t>
      </w:r>
      <w:r w:rsidRPr="00BB6462">
        <w:rPr>
          <w:szCs w:val="21"/>
        </w:rPr>
        <w:t>(2008</w:t>
      </w:r>
      <w:r w:rsidRPr="00BB6462">
        <w:rPr>
          <w:rFonts w:hint="eastAsia"/>
          <w:szCs w:val="21"/>
        </w:rPr>
        <w:t>年</w:t>
      </w:r>
      <w:r w:rsidRPr="00BB6462">
        <w:rPr>
          <w:szCs w:val="21"/>
        </w:rPr>
        <w:t>)</w:t>
      </w:r>
      <w:r w:rsidRPr="00BB6462">
        <w:rPr>
          <w:rFonts w:hint="eastAsia"/>
          <w:szCs w:val="21"/>
        </w:rPr>
        <w:t>上决定把“最惠国条款”专题纳入</w:t>
      </w:r>
      <w:r w:rsidRPr="00BB6462">
        <w:rPr>
          <w:szCs w:val="21"/>
        </w:rPr>
        <w:t>工作方案</w:t>
      </w:r>
      <w:r w:rsidRPr="00BB6462">
        <w:rPr>
          <w:rFonts w:hint="eastAsia"/>
          <w:szCs w:val="21"/>
        </w:rPr>
        <w:t>，在第六十一届会议上成立了一个专题研究组。</w:t>
      </w:r>
      <w:r w:rsidRPr="003F1277">
        <w:rPr>
          <w:rStyle w:val="a3"/>
          <w:szCs w:val="21"/>
        </w:rPr>
        <w:footnoteReference w:id="7"/>
      </w:r>
    </w:p>
    <w:p w:rsidR="00C70268" w:rsidRPr="00BB6462" w:rsidRDefault="00C70268" w:rsidP="00C70268">
      <w:pPr>
        <w:pStyle w:val="SingleTxt"/>
        <w:rPr>
          <w:szCs w:val="21"/>
        </w:rPr>
      </w:pPr>
      <w:r w:rsidRPr="00BB6462">
        <w:rPr>
          <w:rFonts w:hint="eastAsia"/>
          <w:szCs w:val="21"/>
        </w:rPr>
        <w:t>33</w:t>
      </w:r>
      <w:r w:rsidRPr="00BB6462">
        <w:rPr>
          <w:szCs w:val="21"/>
        </w:rPr>
        <w:t xml:space="preserve">.  </w:t>
      </w:r>
      <w:r w:rsidRPr="00BB6462">
        <w:rPr>
          <w:rFonts w:hint="eastAsia"/>
          <w:szCs w:val="21"/>
        </w:rPr>
        <w:t>研究组由唐纳德·麦克雷先生和罗汉·佩雷拉先生担任共同主席，在委员会第六十一届会议</w:t>
      </w:r>
      <w:r w:rsidRPr="00BB6462">
        <w:rPr>
          <w:szCs w:val="21"/>
        </w:rPr>
        <w:t>(2009</w:t>
      </w:r>
      <w:r w:rsidRPr="00BB6462">
        <w:rPr>
          <w:rFonts w:hint="eastAsia"/>
          <w:szCs w:val="21"/>
        </w:rPr>
        <w:t>年</w:t>
      </w:r>
      <w:r w:rsidRPr="00BB6462">
        <w:rPr>
          <w:szCs w:val="21"/>
        </w:rPr>
        <w:t>)</w:t>
      </w:r>
      <w:r w:rsidRPr="00BB6462">
        <w:rPr>
          <w:rFonts w:hint="eastAsia"/>
          <w:szCs w:val="21"/>
        </w:rPr>
        <w:t>上成立，</w:t>
      </w:r>
      <w:r w:rsidRPr="003F1277">
        <w:rPr>
          <w:rStyle w:val="a3"/>
          <w:szCs w:val="21"/>
        </w:rPr>
        <w:footnoteReference w:id="8"/>
      </w:r>
      <w:r w:rsidRPr="00BB6462">
        <w:rPr>
          <w:rFonts w:hint="eastAsia"/>
          <w:szCs w:val="21"/>
        </w:rPr>
        <w:t xml:space="preserve"> </w:t>
      </w:r>
      <w:r w:rsidRPr="00BB6462">
        <w:rPr>
          <w:rFonts w:hint="eastAsia"/>
          <w:szCs w:val="21"/>
        </w:rPr>
        <w:t>在第六十二届</w:t>
      </w:r>
      <w:r w:rsidRPr="00BB6462">
        <w:rPr>
          <w:szCs w:val="21"/>
        </w:rPr>
        <w:t>(2010</w:t>
      </w:r>
      <w:r w:rsidRPr="00BB6462">
        <w:rPr>
          <w:rFonts w:hint="eastAsia"/>
          <w:szCs w:val="21"/>
        </w:rPr>
        <w:t>年</w:t>
      </w:r>
      <w:r w:rsidRPr="00BB6462">
        <w:rPr>
          <w:szCs w:val="21"/>
        </w:rPr>
        <w:t>)</w:t>
      </w:r>
      <w:r w:rsidRPr="00BB6462">
        <w:rPr>
          <w:rFonts w:hint="eastAsia"/>
          <w:szCs w:val="21"/>
        </w:rPr>
        <w:t>和第六十三届会议</w:t>
      </w:r>
      <w:r w:rsidRPr="00BB6462">
        <w:rPr>
          <w:szCs w:val="21"/>
        </w:rPr>
        <w:t>(2011</w:t>
      </w:r>
      <w:r w:rsidRPr="00BB6462">
        <w:rPr>
          <w:rFonts w:hint="eastAsia"/>
          <w:szCs w:val="21"/>
        </w:rPr>
        <w:t>年</w:t>
      </w:r>
      <w:r w:rsidRPr="00BB6462">
        <w:rPr>
          <w:szCs w:val="21"/>
        </w:rPr>
        <w:t>)</w:t>
      </w:r>
      <w:r w:rsidRPr="00BB6462">
        <w:rPr>
          <w:rFonts w:hint="eastAsia"/>
          <w:szCs w:val="21"/>
        </w:rPr>
        <w:t>上重新设立，仍由他们两人共同主持。</w:t>
      </w:r>
      <w:r w:rsidRPr="003F1277">
        <w:rPr>
          <w:rStyle w:val="a3"/>
          <w:szCs w:val="21"/>
        </w:rPr>
        <w:footnoteReference w:id="9"/>
      </w:r>
      <w:r w:rsidRPr="00BB6462">
        <w:rPr>
          <w:rFonts w:hint="eastAsia"/>
          <w:szCs w:val="21"/>
        </w:rPr>
        <w:t xml:space="preserve"> </w:t>
      </w:r>
      <w:r w:rsidRPr="00BB6462">
        <w:rPr>
          <w:rFonts w:hint="eastAsia"/>
          <w:szCs w:val="21"/>
        </w:rPr>
        <w:t>在第六十四届</w:t>
      </w:r>
      <w:r w:rsidRPr="00BB6462">
        <w:rPr>
          <w:szCs w:val="21"/>
        </w:rPr>
        <w:t>(2012</w:t>
      </w:r>
      <w:r w:rsidRPr="00BB6462">
        <w:rPr>
          <w:rFonts w:hint="eastAsia"/>
          <w:szCs w:val="21"/>
        </w:rPr>
        <w:t>年</w:t>
      </w:r>
      <w:r w:rsidRPr="00BB6462">
        <w:rPr>
          <w:szCs w:val="21"/>
        </w:rPr>
        <w:t>)</w:t>
      </w:r>
      <w:r w:rsidRPr="00BB6462">
        <w:rPr>
          <w:rFonts w:hint="eastAsia"/>
          <w:szCs w:val="21"/>
        </w:rPr>
        <w:t>、第六十五届</w:t>
      </w:r>
      <w:r w:rsidRPr="00BB6462">
        <w:rPr>
          <w:szCs w:val="21"/>
        </w:rPr>
        <w:t>(2013</w:t>
      </w:r>
      <w:r w:rsidRPr="00BB6462">
        <w:rPr>
          <w:rFonts w:hint="eastAsia"/>
          <w:szCs w:val="21"/>
        </w:rPr>
        <w:t>年</w:t>
      </w:r>
      <w:r w:rsidRPr="00BB6462">
        <w:rPr>
          <w:szCs w:val="21"/>
        </w:rPr>
        <w:t>)</w:t>
      </w:r>
      <w:r w:rsidRPr="00BB6462">
        <w:rPr>
          <w:rFonts w:hint="eastAsia"/>
          <w:szCs w:val="21"/>
        </w:rPr>
        <w:t>和第六十六届会议上，委员会重新设立了研究组，由唐纳德·麦克雷先生担任主席。</w:t>
      </w:r>
      <w:r w:rsidRPr="003F1277">
        <w:rPr>
          <w:rStyle w:val="a3"/>
          <w:szCs w:val="21"/>
        </w:rPr>
        <w:footnoteReference w:id="10"/>
      </w:r>
      <w:r w:rsidRPr="00BB6462">
        <w:rPr>
          <w:rFonts w:hint="eastAsia"/>
          <w:szCs w:val="21"/>
        </w:rPr>
        <w:t xml:space="preserve"> </w:t>
      </w:r>
      <w:r w:rsidRPr="00BB6462">
        <w:rPr>
          <w:rFonts w:hint="eastAsia"/>
          <w:szCs w:val="21"/>
        </w:rPr>
        <w:t>麦克雷先生于</w:t>
      </w:r>
      <w:r w:rsidRPr="00BB6462">
        <w:rPr>
          <w:szCs w:val="21"/>
        </w:rPr>
        <w:t>2013</w:t>
      </w:r>
      <w:r w:rsidRPr="00BB6462">
        <w:rPr>
          <w:rFonts w:hint="eastAsia"/>
          <w:szCs w:val="21"/>
        </w:rPr>
        <w:t>年和</w:t>
      </w:r>
      <w:r w:rsidRPr="00BB6462">
        <w:rPr>
          <w:szCs w:val="21"/>
        </w:rPr>
        <w:t>2014</w:t>
      </w:r>
      <w:r w:rsidRPr="00BB6462">
        <w:rPr>
          <w:rFonts w:hint="eastAsia"/>
          <w:szCs w:val="21"/>
        </w:rPr>
        <w:t>年届会期间缺席时，由马蒂亚斯·福尔托先生任主席。</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tab/>
        <w:t>B.</w:t>
      </w:r>
      <w:r w:rsidRPr="00BB6462">
        <w:tab/>
      </w:r>
      <w:r w:rsidRPr="00BB6462">
        <w:rPr>
          <w:rFonts w:hint="eastAsia"/>
        </w:rPr>
        <w:t>本届会议审议此专题的情况</w:t>
      </w:r>
    </w:p>
    <w:p w:rsidR="002B3BAB" w:rsidRPr="002B3BAB" w:rsidRDefault="002B3BAB" w:rsidP="002B3BAB">
      <w:pPr>
        <w:pStyle w:val="SingleTxt"/>
        <w:spacing w:after="0" w:line="120" w:lineRule="exact"/>
        <w:rPr>
          <w:sz w:val="10"/>
          <w:szCs w:val="21"/>
        </w:rPr>
      </w:pPr>
    </w:p>
    <w:p w:rsidR="002B3BAB" w:rsidRPr="002B3BAB" w:rsidRDefault="002B3BAB" w:rsidP="002B3BAB">
      <w:pPr>
        <w:pStyle w:val="SingleTxt"/>
        <w:spacing w:after="0" w:line="120" w:lineRule="exact"/>
        <w:rPr>
          <w:sz w:val="10"/>
          <w:szCs w:val="21"/>
        </w:rPr>
      </w:pPr>
    </w:p>
    <w:p w:rsidR="00C70268" w:rsidRPr="00BB6462" w:rsidRDefault="00C70268" w:rsidP="00C70268">
      <w:pPr>
        <w:pStyle w:val="SingleTxt"/>
        <w:rPr>
          <w:szCs w:val="21"/>
        </w:rPr>
      </w:pPr>
      <w:r w:rsidRPr="00BB6462">
        <w:rPr>
          <w:szCs w:val="21"/>
        </w:rPr>
        <w:t>3</w:t>
      </w:r>
      <w:r w:rsidRPr="00BB6462">
        <w:rPr>
          <w:rFonts w:hint="eastAsia"/>
          <w:szCs w:val="21"/>
        </w:rPr>
        <w:t>4</w:t>
      </w:r>
      <w:r w:rsidRPr="00BB6462">
        <w:rPr>
          <w:szCs w:val="21"/>
        </w:rPr>
        <w:t xml:space="preserve">.  </w:t>
      </w:r>
      <w:r w:rsidRPr="00BB6462">
        <w:rPr>
          <w:rFonts w:hint="eastAsia"/>
          <w:szCs w:val="21"/>
        </w:rPr>
        <w:t>委员会本届会议在</w:t>
      </w:r>
      <w:r w:rsidRPr="00BB6462">
        <w:rPr>
          <w:szCs w:val="21"/>
        </w:rPr>
        <w:t>2015</w:t>
      </w:r>
      <w:r w:rsidRPr="00BB6462">
        <w:rPr>
          <w:rFonts w:hint="eastAsia"/>
          <w:szCs w:val="21"/>
        </w:rPr>
        <w:t>年</w:t>
      </w:r>
      <w:r w:rsidRPr="00BB6462">
        <w:rPr>
          <w:szCs w:val="21"/>
        </w:rPr>
        <w:t>5</w:t>
      </w:r>
      <w:r w:rsidRPr="00BB6462">
        <w:rPr>
          <w:rFonts w:hint="eastAsia"/>
          <w:szCs w:val="21"/>
        </w:rPr>
        <w:t>月</w:t>
      </w:r>
      <w:r w:rsidRPr="00BB6462">
        <w:rPr>
          <w:szCs w:val="21"/>
        </w:rPr>
        <w:t>12</w:t>
      </w:r>
      <w:r w:rsidRPr="00BB6462">
        <w:rPr>
          <w:rFonts w:hint="eastAsia"/>
          <w:szCs w:val="21"/>
        </w:rPr>
        <w:t>日举行的第</w:t>
      </w:r>
      <w:r w:rsidRPr="00BB6462">
        <w:rPr>
          <w:szCs w:val="21"/>
        </w:rPr>
        <w:t>3249</w:t>
      </w:r>
      <w:r w:rsidRPr="00BB6462">
        <w:rPr>
          <w:rFonts w:hint="eastAsia"/>
          <w:szCs w:val="21"/>
        </w:rPr>
        <w:t>次会议上重新设立了最惠国条款研究组，由唐纳德·麦克雷先生担任研究组主席。</w:t>
      </w:r>
    </w:p>
    <w:p w:rsidR="00C70268" w:rsidRPr="00BB6462" w:rsidRDefault="00C70268" w:rsidP="00C70268">
      <w:pPr>
        <w:pStyle w:val="SingleTxt"/>
        <w:rPr>
          <w:szCs w:val="21"/>
        </w:rPr>
      </w:pPr>
      <w:r w:rsidRPr="00BB6462">
        <w:rPr>
          <w:rFonts w:hint="eastAsia"/>
          <w:szCs w:val="21"/>
        </w:rPr>
        <w:t>35</w:t>
      </w:r>
      <w:r w:rsidRPr="00BB6462">
        <w:rPr>
          <w:szCs w:val="21"/>
        </w:rPr>
        <w:t xml:space="preserve">.  </w:t>
      </w:r>
      <w:r w:rsidRPr="00BB6462">
        <w:rPr>
          <w:rFonts w:hint="eastAsia"/>
          <w:szCs w:val="21"/>
        </w:rPr>
        <w:t>研究组于</w:t>
      </w:r>
      <w:r w:rsidRPr="00BB6462">
        <w:rPr>
          <w:szCs w:val="21"/>
        </w:rPr>
        <w:t>2015</w:t>
      </w:r>
      <w:r w:rsidRPr="00BB6462">
        <w:rPr>
          <w:rFonts w:hint="eastAsia"/>
          <w:szCs w:val="21"/>
        </w:rPr>
        <w:t>年</w:t>
      </w:r>
      <w:r w:rsidRPr="00BB6462">
        <w:rPr>
          <w:szCs w:val="21"/>
        </w:rPr>
        <w:t>5</w:t>
      </w:r>
      <w:r w:rsidRPr="00BB6462">
        <w:rPr>
          <w:rFonts w:hint="eastAsia"/>
          <w:szCs w:val="21"/>
        </w:rPr>
        <w:t>月</w:t>
      </w:r>
      <w:r w:rsidRPr="00BB6462">
        <w:rPr>
          <w:szCs w:val="21"/>
        </w:rPr>
        <w:t>12</w:t>
      </w:r>
      <w:r w:rsidRPr="00BB6462">
        <w:rPr>
          <w:rFonts w:hint="eastAsia"/>
          <w:szCs w:val="21"/>
        </w:rPr>
        <w:t>日和</w:t>
      </w:r>
      <w:r w:rsidRPr="00BB6462">
        <w:rPr>
          <w:szCs w:val="21"/>
        </w:rPr>
        <w:t>7</w:t>
      </w:r>
      <w:r w:rsidRPr="00BB6462">
        <w:rPr>
          <w:rFonts w:hint="eastAsia"/>
          <w:szCs w:val="21"/>
        </w:rPr>
        <w:t>月</w:t>
      </w:r>
      <w:r w:rsidRPr="00BB6462">
        <w:rPr>
          <w:szCs w:val="21"/>
        </w:rPr>
        <w:t>16</w:t>
      </w:r>
      <w:r w:rsidRPr="00BB6462">
        <w:rPr>
          <w:rFonts w:hint="eastAsia"/>
          <w:szCs w:val="21"/>
        </w:rPr>
        <w:t>日举行了两次会议，其间对最后报告草稿进行了实质性和技术性审议。研究组自</w:t>
      </w:r>
      <w:r w:rsidRPr="00BB6462">
        <w:rPr>
          <w:szCs w:val="21"/>
        </w:rPr>
        <w:t>2009</w:t>
      </w:r>
      <w:r w:rsidRPr="00BB6462">
        <w:rPr>
          <w:rFonts w:hint="eastAsia"/>
          <w:szCs w:val="21"/>
        </w:rPr>
        <w:t>年首次成立以来共举行了</w:t>
      </w:r>
      <w:r w:rsidRPr="00BB6462">
        <w:rPr>
          <w:szCs w:val="21"/>
        </w:rPr>
        <w:t>24</w:t>
      </w:r>
      <w:r w:rsidRPr="00BB6462">
        <w:rPr>
          <w:rFonts w:hint="eastAsia"/>
          <w:szCs w:val="21"/>
        </w:rPr>
        <w:t>次会议。</w:t>
      </w:r>
    </w:p>
    <w:p w:rsidR="00C70268" w:rsidRPr="00BB6462" w:rsidRDefault="00C70268" w:rsidP="00C70268">
      <w:pPr>
        <w:pStyle w:val="SingleTxt"/>
        <w:rPr>
          <w:szCs w:val="21"/>
        </w:rPr>
      </w:pPr>
      <w:r w:rsidRPr="00BB6462">
        <w:rPr>
          <w:rFonts w:hint="eastAsia"/>
          <w:szCs w:val="21"/>
        </w:rPr>
        <w:lastRenderedPageBreak/>
        <w:t>36</w:t>
      </w:r>
      <w:r w:rsidRPr="00BB6462">
        <w:rPr>
          <w:szCs w:val="21"/>
        </w:rPr>
        <w:t xml:space="preserve">.  </w:t>
      </w:r>
      <w:r w:rsidRPr="00BB6462">
        <w:rPr>
          <w:rFonts w:hint="eastAsia"/>
          <w:szCs w:val="21"/>
        </w:rPr>
        <w:t>委员会在</w:t>
      </w:r>
      <w:r w:rsidRPr="00BB6462">
        <w:rPr>
          <w:szCs w:val="21"/>
        </w:rPr>
        <w:t>2015</w:t>
      </w:r>
      <w:r w:rsidRPr="00BB6462">
        <w:rPr>
          <w:rFonts w:hint="eastAsia"/>
          <w:szCs w:val="21"/>
        </w:rPr>
        <w:t>年</w:t>
      </w:r>
      <w:r w:rsidRPr="00BB6462">
        <w:rPr>
          <w:szCs w:val="21"/>
        </w:rPr>
        <w:t>7</w:t>
      </w:r>
      <w:r w:rsidRPr="00BB6462">
        <w:rPr>
          <w:rFonts w:hint="eastAsia"/>
          <w:szCs w:val="21"/>
        </w:rPr>
        <w:t>月</w:t>
      </w:r>
      <w:r w:rsidRPr="00BB6462">
        <w:rPr>
          <w:szCs w:val="21"/>
        </w:rPr>
        <w:t>6</w:t>
      </w:r>
      <w:r w:rsidRPr="00BB6462">
        <w:rPr>
          <w:rFonts w:hint="eastAsia"/>
          <w:szCs w:val="21"/>
        </w:rPr>
        <w:t>日和</w:t>
      </w:r>
      <w:r w:rsidRPr="00BB6462">
        <w:rPr>
          <w:szCs w:val="21"/>
        </w:rPr>
        <w:t>23</w:t>
      </w:r>
      <w:r w:rsidRPr="00BB6462">
        <w:rPr>
          <w:rFonts w:hint="eastAsia"/>
          <w:szCs w:val="21"/>
        </w:rPr>
        <w:t>日举行的第</w:t>
      </w:r>
      <w:r w:rsidRPr="00BB6462">
        <w:rPr>
          <w:szCs w:val="21"/>
        </w:rPr>
        <w:t>3264</w:t>
      </w:r>
      <w:r w:rsidRPr="00BB6462">
        <w:rPr>
          <w:rFonts w:hint="eastAsia"/>
          <w:szCs w:val="21"/>
        </w:rPr>
        <w:t>次和第</w:t>
      </w:r>
      <w:r w:rsidRPr="00BB6462">
        <w:rPr>
          <w:szCs w:val="21"/>
        </w:rPr>
        <w:t>3277</w:t>
      </w:r>
      <w:r w:rsidRPr="00BB6462">
        <w:rPr>
          <w:rFonts w:hint="eastAsia"/>
          <w:szCs w:val="21"/>
        </w:rPr>
        <w:t>次会议上分别收到并审议了研究组的最后报告。最后报告列为本报告的附件。委员会注意到最后报告分为五部分。第一部分提供了包括研究组的起源和目的在内的背景，分析了委员会之前对</w:t>
      </w:r>
      <w:r w:rsidRPr="00BB6462">
        <w:rPr>
          <w:szCs w:val="21"/>
        </w:rPr>
        <w:t>1978</w:t>
      </w:r>
      <w:r w:rsidRPr="00BB6462">
        <w:rPr>
          <w:rFonts w:hint="eastAsia"/>
          <w:szCs w:val="21"/>
        </w:rPr>
        <w:t>年最惠国待遇条款草案开展的工作以及</w:t>
      </w:r>
      <w:r w:rsidRPr="00BB6462">
        <w:rPr>
          <w:szCs w:val="21"/>
        </w:rPr>
        <w:t>1978</w:t>
      </w:r>
      <w:r w:rsidRPr="00BB6462">
        <w:rPr>
          <w:rFonts w:hint="eastAsia"/>
          <w:szCs w:val="21"/>
        </w:rPr>
        <w:t>年条款草案完成后的动态，尤其是投资领域的动态，并且分析了联合国贸易和发展会议和经济合作与发展组织等其他机构的最惠国规定。研究组的总体导向不是寻求修订</w:t>
      </w:r>
      <w:r w:rsidRPr="00BB6462">
        <w:rPr>
          <w:szCs w:val="21"/>
        </w:rPr>
        <w:t>1978</w:t>
      </w:r>
      <w:r w:rsidRPr="00BB6462">
        <w:rPr>
          <w:rFonts w:hint="eastAsia"/>
          <w:szCs w:val="21"/>
        </w:rPr>
        <w:t>年条约草案或者起草一套新的条款草案。</w:t>
      </w:r>
    </w:p>
    <w:p w:rsidR="00C70268" w:rsidRPr="00BB6462" w:rsidRDefault="00C70268" w:rsidP="00C70268">
      <w:pPr>
        <w:pStyle w:val="SingleTxt"/>
        <w:rPr>
          <w:szCs w:val="21"/>
        </w:rPr>
      </w:pPr>
      <w:r w:rsidRPr="00BB6462">
        <w:rPr>
          <w:rFonts w:hint="eastAsia"/>
          <w:szCs w:val="21"/>
        </w:rPr>
        <w:t>37</w:t>
      </w:r>
      <w:r w:rsidRPr="00BB6462">
        <w:rPr>
          <w:szCs w:val="21"/>
        </w:rPr>
        <w:t xml:space="preserve">.  </w:t>
      </w:r>
      <w:r w:rsidRPr="00BB6462">
        <w:rPr>
          <w:rFonts w:hint="eastAsia"/>
          <w:szCs w:val="21"/>
        </w:rPr>
        <w:t>报告的第二部分讨论最惠国条款的当代意义以及与条款解释有关的问题，包括以关税及贸易总协定和世界贸易组织、其他贸易协定和投资条约为背景的解释问题。本部分还考虑了双边投资协定中最惠国规定的类型，并突出了有关双边投资协定中最惠国条款的解释性问题，即</w:t>
      </w:r>
      <w:r w:rsidRPr="00BB6462">
        <w:rPr>
          <w:szCs w:val="21"/>
        </w:rPr>
        <w:t>(a)</w:t>
      </w:r>
      <w:r w:rsidRPr="00BB6462">
        <w:rPr>
          <w:rFonts w:hint="eastAsia"/>
          <w:szCs w:val="21"/>
        </w:rPr>
        <w:t xml:space="preserve"> </w:t>
      </w:r>
      <w:r w:rsidRPr="00BB6462">
        <w:rPr>
          <w:rFonts w:hint="eastAsia"/>
          <w:szCs w:val="21"/>
        </w:rPr>
        <w:t>界定最惠国条款的受惠方，</w:t>
      </w:r>
      <w:r w:rsidRPr="00BB6462">
        <w:rPr>
          <w:szCs w:val="21"/>
        </w:rPr>
        <w:t>(b)</w:t>
      </w:r>
      <w:r w:rsidRPr="00BB6462">
        <w:rPr>
          <w:rFonts w:hint="eastAsia"/>
          <w:szCs w:val="21"/>
        </w:rPr>
        <w:t xml:space="preserve"> </w:t>
      </w:r>
      <w:r w:rsidRPr="00BB6462">
        <w:rPr>
          <w:rFonts w:hint="eastAsia"/>
          <w:szCs w:val="21"/>
        </w:rPr>
        <w:t>界定必要的待遇，和</w:t>
      </w:r>
      <w:r w:rsidRPr="00BB6462">
        <w:rPr>
          <w:szCs w:val="21"/>
        </w:rPr>
        <w:t>(c)</w:t>
      </w:r>
      <w:r w:rsidRPr="00BB6462">
        <w:rPr>
          <w:rFonts w:hint="eastAsia"/>
          <w:szCs w:val="21"/>
        </w:rPr>
        <w:t xml:space="preserve"> </w:t>
      </w:r>
      <w:r w:rsidRPr="00BB6462">
        <w:rPr>
          <w:rFonts w:hint="eastAsia"/>
          <w:szCs w:val="21"/>
        </w:rPr>
        <w:t>界定最惠国条款的范围。</w:t>
      </w:r>
    </w:p>
    <w:p w:rsidR="00C70268" w:rsidRPr="00BB6462" w:rsidRDefault="00C70268" w:rsidP="00C70268">
      <w:pPr>
        <w:pStyle w:val="SingleTxt"/>
        <w:rPr>
          <w:szCs w:val="21"/>
        </w:rPr>
      </w:pPr>
      <w:r w:rsidRPr="00BB6462">
        <w:rPr>
          <w:rFonts w:hint="eastAsia"/>
          <w:szCs w:val="21"/>
        </w:rPr>
        <w:t>38</w:t>
      </w:r>
      <w:r w:rsidRPr="00BB6462">
        <w:rPr>
          <w:szCs w:val="21"/>
        </w:rPr>
        <w:t xml:space="preserve">.  </w:t>
      </w:r>
      <w:r w:rsidRPr="00BB6462">
        <w:rPr>
          <w:rFonts w:hint="eastAsia"/>
          <w:szCs w:val="21"/>
        </w:rPr>
        <w:t>第三部分分析：</w:t>
      </w:r>
      <w:r w:rsidRPr="00BB6462">
        <w:rPr>
          <w:szCs w:val="21"/>
        </w:rPr>
        <w:t xml:space="preserve">(a) </w:t>
      </w:r>
      <w:r w:rsidRPr="00BB6462">
        <w:rPr>
          <w:rFonts w:hint="eastAsia"/>
          <w:szCs w:val="21"/>
        </w:rPr>
        <w:t>与投资协定的解释相关的投资中的政策考虑因素，同时考虑到双边投资协定谈判的非对称性和每个双边投资协定的具体性问题；</w:t>
      </w:r>
      <w:r w:rsidRPr="00BB6462">
        <w:rPr>
          <w:szCs w:val="21"/>
        </w:rPr>
        <w:t xml:space="preserve">(b) </w:t>
      </w:r>
      <w:r w:rsidRPr="00BB6462">
        <w:rPr>
          <w:rFonts w:hint="eastAsia"/>
          <w:szCs w:val="21"/>
        </w:rPr>
        <w:t>解决投资争端的仲裁作为</w:t>
      </w:r>
      <w:r w:rsidRPr="00BB6462">
        <w:rPr>
          <w:szCs w:val="21"/>
        </w:rPr>
        <w:t>“</w:t>
      </w:r>
      <w:r w:rsidRPr="00BB6462">
        <w:rPr>
          <w:rFonts w:hint="eastAsia"/>
          <w:szCs w:val="21"/>
        </w:rPr>
        <w:t>混合仲裁</w:t>
      </w:r>
      <w:r w:rsidRPr="00BB6462">
        <w:rPr>
          <w:szCs w:val="21"/>
        </w:rPr>
        <w:t>”</w:t>
      </w:r>
      <w:r w:rsidRPr="00BB6462">
        <w:rPr>
          <w:rFonts w:hint="eastAsia"/>
          <w:szCs w:val="21"/>
        </w:rPr>
        <w:t>的影响；和</w:t>
      </w:r>
      <w:r w:rsidRPr="00BB6462">
        <w:rPr>
          <w:szCs w:val="21"/>
        </w:rPr>
        <w:t>(c) 1978</w:t>
      </w:r>
      <w:r w:rsidRPr="00BB6462">
        <w:rPr>
          <w:rFonts w:hint="eastAsia"/>
          <w:szCs w:val="21"/>
        </w:rPr>
        <w:t>年条款草案对解释最惠国规定的当代意义。</w:t>
      </w:r>
    </w:p>
    <w:p w:rsidR="00C70268" w:rsidRPr="00BB6462" w:rsidRDefault="00C70268" w:rsidP="00C70268">
      <w:pPr>
        <w:pStyle w:val="SingleTxt"/>
        <w:rPr>
          <w:szCs w:val="21"/>
        </w:rPr>
      </w:pPr>
      <w:r w:rsidRPr="00BB6462">
        <w:rPr>
          <w:rFonts w:hint="eastAsia"/>
          <w:szCs w:val="21"/>
        </w:rPr>
        <w:t>39</w:t>
      </w:r>
      <w:r w:rsidRPr="00BB6462">
        <w:rPr>
          <w:szCs w:val="21"/>
        </w:rPr>
        <w:t xml:space="preserve">.  </w:t>
      </w:r>
      <w:r w:rsidRPr="00BB6462">
        <w:rPr>
          <w:rFonts w:hint="eastAsia"/>
          <w:szCs w:val="21"/>
        </w:rPr>
        <w:t>第四部分力求为最惠国条款的解释提供一些指导，阐述对最惠国条款恰当适用条约解释原则的框架。该部分审视了判例法中对投资协定中最惠国规定的不同解释办法，尤其讨论了三个核心问题：</w:t>
      </w:r>
      <w:r w:rsidRPr="00BB6462">
        <w:rPr>
          <w:szCs w:val="21"/>
        </w:rPr>
        <w:t xml:space="preserve">(a) </w:t>
      </w:r>
      <w:r w:rsidRPr="00BB6462">
        <w:rPr>
          <w:rFonts w:hint="eastAsia"/>
          <w:szCs w:val="21"/>
        </w:rPr>
        <w:t>最惠国规定原则上是否能够适用于双边投资协定的争端解决规定？</w:t>
      </w:r>
      <w:r w:rsidRPr="00BB6462">
        <w:rPr>
          <w:szCs w:val="21"/>
        </w:rPr>
        <w:t xml:space="preserve">(b) </w:t>
      </w:r>
      <w:r w:rsidRPr="00BB6462">
        <w:rPr>
          <w:rFonts w:hint="eastAsia"/>
          <w:szCs w:val="21"/>
        </w:rPr>
        <w:t>双边投资协定中关于投资者可以援引哪些争端解决规定的条件是否影响法庭的司法管辖权？</w:t>
      </w:r>
      <w:r w:rsidRPr="00BB6462">
        <w:rPr>
          <w:szCs w:val="21"/>
        </w:rPr>
        <w:t xml:space="preserve">(c) </w:t>
      </w:r>
      <w:r w:rsidRPr="00BB6462">
        <w:rPr>
          <w:rFonts w:hint="eastAsia"/>
          <w:szCs w:val="21"/>
        </w:rPr>
        <w:t>在确定双边投资协定中的最惠国条款是否适用于援引争端解决的条件时，哪些因素在解释过程中是相关的？本部分还考察了各国在条约实践中对马菲基尼案裁决</w:t>
      </w:r>
      <w:r w:rsidRPr="003F1277">
        <w:rPr>
          <w:rStyle w:val="a3"/>
          <w:szCs w:val="21"/>
        </w:rPr>
        <w:footnoteReference w:id="11"/>
      </w:r>
      <w:r w:rsidRPr="00BB6462">
        <w:rPr>
          <w:szCs w:val="21"/>
        </w:rPr>
        <w:t xml:space="preserve"> </w:t>
      </w:r>
      <w:r w:rsidRPr="00BB6462">
        <w:rPr>
          <w:rFonts w:hint="eastAsia"/>
          <w:szCs w:val="21"/>
        </w:rPr>
        <w:t>的多种应对办法，包括：</w:t>
      </w:r>
      <w:r w:rsidRPr="00BB6462">
        <w:rPr>
          <w:szCs w:val="21"/>
        </w:rPr>
        <w:t>(a)</w:t>
      </w:r>
      <w:r w:rsidRPr="00BB6462">
        <w:rPr>
          <w:rFonts w:hint="eastAsia"/>
          <w:szCs w:val="21"/>
        </w:rPr>
        <w:t xml:space="preserve"> </w:t>
      </w:r>
      <w:r w:rsidRPr="00BB6462">
        <w:rPr>
          <w:rFonts w:hint="eastAsia"/>
          <w:szCs w:val="21"/>
        </w:rPr>
        <w:t>具体声明最惠国条款不适用于争端解决规定，</w:t>
      </w:r>
      <w:r w:rsidRPr="00BB6462">
        <w:rPr>
          <w:szCs w:val="21"/>
        </w:rPr>
        <w:t>(b)</w:t>
      </w:r>
      <w:r w:rsidRPr="00BB6462">
        <w:rPr>
          <w:rFonts w:hint="eastAsia"/>
          <w:szCs w:val="21"/>
        </w:rPr>
        <w:t xml:space="preserve"> </w:t>
      </w:r>
      <w:r w:rsidRPr="00BB6462">
        <w:rPr>
          <w:rFonts w:hint="eastAsia"/>
          <w:szCs w:val="21"/>
        </w:rPr>
        <w:t>具体声明最惠国条款适用于争端解决规定，和</w:t>
      </w:r>
      <w:r w:rsidRPr="00BB6462">
        <w:rPr>
          <w:szCs w:val="21"/>
        </w:rPr>
        <w:t>(c)</w:t>
      </w:r>
      <w:r w:rsidRPr="00BB6462">
        <w:rPr>
          <w:rFonts w:hint="eastAsia"/>
          <w:szCs w:val="21"/>
        </w:rPr>
        <w:t xml:space="preserve"> </w:t>
      </w:r>
      <w:r w:rsidRPr="00BB6462">
        <w:rPr>
          <w:rFonts w:hint="eastAsia"/>
          <w:szCs w:val="21"/>
        </w:rPr>
        <w:t>具体列出适用于最惠国条款的领域。</w:t>
      </w:r>
    </w:p>
    <w:p w:rsidR="00C70268" w:rsidRPr="00BB6462" w:rsidRDefault="00C70268" w:rsidP="00C70268">
      <w:pPr>
        <w:pStyle w:val="SingleTxt"/>
        <w:rPr>
          <w:szCs w:val="21"/>
        </w:rPr>
      </w:pPr>
      <w:r w:rsidRPr="00BB6462">
        <w:rPr>
          <w:rFonts w:hint="eastAsia"/>
          <w:szCs w:val="21"/>
        </w:rPr>
        <w:t>40</w:t>
      </w:r>
      <w:r w:rsidRPr="00BB6462">
        <w:rPr>
          <w:szCs w:val="21"/>
        </w:rPr>
        <w:t xml:space="preserve">.  </w:t>
      </w:r>
      <w:r w:rsidRPr="00BB6462">
        <w:rPr>
          <w:rFonts w:hint="eastAsia"/>
          <w:szCs w:val="21"/>
        </w:rPr>
        <w:t>报告的第五部分载有研究组得出的结论，尤其强调把《维也纳条约法公约》作为解释投资条约的出发点的重要性和相关性。应根据《维也纳条约法公约》规定的条约解释规则对最惠国条款进行解释。</w:t>
      </w:r>
    </w:p>
    <w:p w:rsidR="00C70268" w:rsidRPr="00BB6462" w:rsidRDefault="00C70268" w:rsidP="00C70268">
      <w:pPr>
        <w:pStyle w:val="SingleTxt"/>
        <w:rPr>
          <w:szCs w:val="21"/>
        </w:rPr>
      </w:pPr>
      <w:r w:rsidRPr="00BB6462">
        <w:rPr>
          <w:rFonts w:hint="eastAsia"/>
          <w:szCs w:val="21"/>
        </w:rPr>
        <w:t>41</w:t>
      </w:r>
      <w:r w:rsidRPr="00BB6462">
        <w:rPr>
          <w:szCs w:val="21"/>
        </w:rPr>
        <w:t xml:space="preserve">.  </w:t>
      </w:r>
      <w:r w:rsidRPr="00BB6462">
        <w:rPr>
          <w:rFonts w:hint="eastAsia"/>
          <w:szCs w:val="21"/>
        </w:rPr>
        <w:t>委员会在</w:t>
      </w:r>
      <w:r w:rsidRPr="00BB6462">
        <w:rPr>
          <w:szCs w:val="21"/>
        </w:rPr>
        <w:t>2015</w:t>
      </w:r>
      <w:r w:rsidRPr="00BB6462">
        <w:rPr>
          <w:rFonts w:hint="eastAsia"/>
          <w:szCs w:val="21"/>
        </w:rPr>
        <w:t>年</w:t>
      </w:r>
      <w:r w:rsidRPr="00BB6462">
        <w:rPr>
          <w:szCs w:val="21"/>
        </w:rPr>
        <w:t>7</w:t>
      </w:r>
      <w:r w:rsidRPr="00BB6462">
        <w:rPr>
          <w:rFonts w:hint="eastAsia"/>
          <w:szCs w:val="21"/>
        </w:rPr>
        <w:t>月</w:t>
      </w:r>
      <w:r w:rsidRPr="00BB6462">
        <w:rPr>
          <w:szCs w:val="21"/>
        </w:rPr>
        <w:t>23</w:t>
      </w:r>
      <w:r w:rsidRPr="00BB6462">
        <w:rPr>
          <w:rFonts w:hint="eastAsia"/>
          <w:szCs w:val="21"/>
        </w:rPr>
        <w:t>日举行的第</w:t>
      </w:r>
      <w:r w:rsidRPr="00BB6462">
        <w:rPr>
          <w:szCs w:val="21"/>
        </w:rPr>
        <w:t>3277</w:t>
      </w:r>
      <w:r w:rsidRPr="00BB6462">
        <w:rPr>
          <w:rFonts w:hint="eastAsia"/>
          <w:szCs w:val="21"/>
        </w:rPr>
        <w:t>次会议上赞赏地欢迎研究组工作的最后报告。委员会把最后报告推荐给大会，请其注意，并鼓励尽可能广泛地传播最后报告。</w:t>
      </w:r>
    </w:p>
    <w:p w:rsidR="00C70268" w:rsidRPr="00BB6462" w:rsidRDefault="00C70268" w:rsidP="00C70268">
      <w:pPr>
        <w:pStyle w:val="SingleTxt"/>
        <w:rPr>
          <w:szCs w:val="21"/>
        </w:rPr>
      </w:pPr>
      <w:r w:rsidRPr="00BB6462">
        <w:rPr>
          <w:rFonts w:hint="eastAsia"/>
          <w:szCs w:val="21"/>
        </w:rPr>
        <w:t>42.</w:t>
      </w:r>
      <w:r>
        <w:rPr>
          <w:rFonts w:hint="eastAsia"/>
          <w:szCs w:val="21"/>
        </w:rPr>
        <w:t xml:space="preserve">  </w:t>
      </w:r>
      <w:r w:rsidRPr="00BB6462">
        <w:rPr>
          <w:rFonts w:hint="eastAsia"/>
          <w:szCs w:val="21"/>
        </w:rPr>
        <w:t>在</w:t>
      </w:r>
      <w:r w:rsidRPr="00BB6462">
        <w:rPr>
          <w:rFonts w:hint="eastAsia"/>
          <w:szCs w:val="21"/>
        </w:rPr>
        <w:t>2015</w:t>
      </w:r>
      <w:r w:rsidRPr="00BB6462">
        <w:rPr>
          <w:rFonts w:hint="eastAsia"/>
          <w:szCs w:val="21"/>
        </w:rPr>
        <w:t>年</w:t>
      </w:r>
      <w:r w:rsidRPr="00BB6462">
        <w:rPr>
          <w:rFonts w:hint="eastAsia"/>
          <w:szCs w:val="21"/>
        </w:rPr>
        <w:t>7</w:t>
      </w:r>
      <w:r w:rsidRPr="00BB6462">
        <w:rPr>
          <w:rFonts w:hint="eastAsia"/>
          <w:szCs w:val="21"/>
        </w:rPr>
        <w:t>月</w:t>
      </w:r>
      <w:r w:rsidRPr="00BB6462">
        <w:rPr>
          <w:rFonts w:hint="eastAsia"/>
          <w:szCs w:val="21"/>
        </w:rPr>
        <w:t>23</w:t>
      </w:r>
      <w:r w:rsidRPr="00BB6462">
        <w:rPr>
          <w:rFonts w:hint="eastAsia"/>
          <w:szCs w:val="21"/>
        </w:rPr>
        <w:t>日第</w:t>
      </w:r>
      <w:r w:rsidRPr="00BB6462">
        <w:rPr>
          <w:szCs w:val="21"/>
        </w:rPr>
        <w:t>3277</w:t>
      </w:r>
      <w:r w:rsidRPr="00BB6462">
        <w:rPr>
          <w:rFonts w:hint="eastAsia"/>
          <w:szCs w:val="21"/>
        </w:rPr>
        <w:t>次会议上，委员会通过了下述概括性结论：</w:t>
      </w:r>
    </w:p>
    <w:p w:rsidR="00C70268" w:rsidRPr="00BB6462" w:rsidRDefault="00C70268" w:rsidP="00C70268">
      <w:pPr>
        <w:pStyle w:val="SingleTxt"/>
      </w:pPr>
      <w:r>
        <w:rPr>
          <w:rFonts w:hint="eastAsia"/>
        </w:rPr>
        <w:lastRenderedPageBreak/>
        <w:tab/>
      </w:r>
      <w:r w:rsidRPr="00BB6462">
        <w:rPr>
          <w:rFonts w:hint="eastAsia"/>
        </w:rPr>
        <w:t>(a)</w:t>
      </w:r>
      <w:r w:rsidRPr="00BB6462">
        <w:t xml:space="preserve">  </w:t>
      </w:r>
      <w:r w:rsidRPr="00BB6462">
        <w:rPr>
          <w:rFonts w:hint="eastAsia"/>
        </w:rPr>
        <w:t>委员会注意到，自</w:t>
      </w:r>
      <w:r w:rsidRPr="00BB6462">
        <w:t>1978</w:t>
      </w:r>
      <w:r w:rsidRPr="00BB6462">
        <w:rPr>
          <w:rFonts w:hint="eastAsia"/>
        </w:rPr>
        <w:t>年条款草案完成以来，最惠国条款的性质保持不变。</w:t>
      </w:r>
      <w:r w:rsidRPr="00BB6462">
        <w:t>1978</w:t>
      </w:r>
      <w:r w:rsidRPr="00BB6462">
        <w:rPr>
          <w:rFonts w:hint="eastAsia"/>
        </w:rPr>
        <w:t>年条款草案的核心规定仍然是今天解释和适用最惠国条款的基础。然而，它们没有回答最惠国条款可能引起的所有解释问题。</w:t>
      </w:r>
    </w:p>
    <w:p w:rsidR="00C70268" w:rsidRPr="00BB6462" w:rsidRDefault="00C70268" w:rsidP="00C70268">
      <w:pPr>
        <w:pStyle w:val="SingleTxt"/>
      </w:pPr>
      <w:r>
        <w:rPr>
          <w:rFonts w:hint="eastAsia"/>
        </w:rPr>
        <w:tab/>
      </w:r>
      <w:r w:rsidRPr="00BB6462">
        <w:rPr>
          <w:rFonts w:hint="eastAsia"/>
        </w:rPr>
        <w:t>(b)</w:t>
      </w:r>
      <w:r w:rsidRPr="00BB6462">
        <w:t xml:space="preserve">  </w:t>
      </w:r>
      <w:r w:rsidRPr="00BB6462">
        <w:rPr>
          <w:rFonts w:hint="eastAsia"/>
        </w:rPr>
        <w:t>委员会强调把《维也纳条约法公约》作为解释投资条约的出发点的重要性和相关性。应根据《维也纳条约法公约》规定的条约解释规则对最惠国条款进行解释。</w:t>
      </w:r>
    </w:p>
    <w:p w:rsidR="00C70268" w:rsidRPr="00BB6462" w:rsidRDefault="00C70268" w:rsidP="00C70268">
      <w:pPr>
        <w:pStyle w:val="SingleTxt"/>
      </w:pPr>
      <w:r>
        <w:rPr>
          <w:rFonts w:hint="eastAsia"/>
        </w:rPr>
        <w:tab/>
      </w:r>
      <w:r w:rsidRPr="00BB6462">
        <w:rPr>
          <w:rFonts w:hint="eastAsia"/>
        </w:rPr>
        <w:t>(c)</w:t>
      </w:r>
      <w:r w:rsidRPr="00BB6462">
        <w:t xml:space="preserve">  </w:t>
      </w:r>
      <w:r w:rsidRPr="00BB6462">
        <w:rPr>
          <w:rFonts w:hint="eastAsia"/>
        </w:rPr>
        <w:t>关于最惠国条款的核心解释问题是此类条款的范围以及同类原则的适用。也就是说，根据一项最惠国规定可以获得的优惠的范围和性质取决于对这条最惠国规定的解释。</w:t>
      </w:r>
    </w:p>
    <w:p w:rsidR="00C70268" w:rsidRPr="00BB6462" w:rsidRDefault="00C70268" w:rsidP="00C70268">
      <w:pPr>
        <w:pStyle w:val="SingleTxt"/>
      </w:pPr>
      <w:r>
        <w:rPr>
          <w:rFonts w:hint="eastAsia"/>
        </w:rPr>
        <w:tab/>
      </w:r>
      <w:r w:rsidRPr="00BB6462">
        <w:rPr>
          <w:rFonts w:hint="eastAsia"/>
        </w:rPr>
        <w:t>(d)</w:t>
      </w:r>
      <w:r w:rsidRPr="00BB6462">
        <w:t xml:space="preserve">  </w:t>
      </w:r>
      <w:r w:rsidRPr="00BB6462">
        <w:rPr>
          <w:rFonts w:hint="eastAsia"/>
        </w:rPr>
        <w:t>在投资条约的仲裁中，将最惠国条款适用于争端解决规定而不仅限于实质性义务，为思考最惠国规定提供了一个新角度，或许也带来了缔约方在投资协定谈判时没有预见到的结果。不过，这仍然是条约解释上的一个问题。</w:t>
      </w:r>
    </w:p>
    <w:p w:rsidR="00C70268" w:rsidRPr="00BB6462" w:rsidRDefault="00C70268" w:rsidP="00C70268">
      <w:pPr>
        <w:pStyle w:val="SingleTxt"/>
      </w:pPr>
      <w:r>
        <w:rPr>
          <w:rFonts w:hint="eastAsia"/>
        </w:rPr>
        <w:tab/>
      </w:r>
      <w:r w:rsidRPr="00BB6462">
        <w:rPr>
          <w:rFonts w:hint="eastAsia"/>
        </w:rPr>
        <w:t>(e)</w:t>
      </w:r>
      <w:r w:rsidRPr="00BB6462">
        <w:t xml:space="preserve">  </w:t>
      </w:r>
      <w:r w:rsidRPr="00BB6462">
        <w:rPr>
          <w:rFonts w:hint="eastAsia"/>
        </w:rPr>
        <w:t>最惠国条款是否涵盖争端解决规定最终取决于谈判制定这些条款的国家。明确的措辞可以确保最惠国规定适用于或不适用于争端解决规定。否则，将由争端解决法庭逐案对最惠国条款进行解释。</w:t>
      </w:r>
    </w:p>
    <w:p w:rsidR="002B3BAB" w:rsidRPr="00C41E4D" w:rsidRDefault="00C70268" w:rsidP="00C41E4D">
      <w:pPr>
        <w:pStyle w:val="SingleTxt"/>
        <w:rPr>
          <w:szCs w:val="21"/>
        </w:rPr>
      </w:pPr>
      <w:r w:rsidRPr="00BB6462">
        <w:rPr>
          <w:rFonts w:hint="eastAsia"/>
          <w:szCs w:val="21"/>
        </w:rPr>
        <w:t>43</w:t>
      </w:r>
      <w:r w:rsidRPr="00BB6462">
        <w:rPr>
          <w:szCs w:val="21"/>
        </w:rPr>
        <w:t xml:space="preserve">.  </w:t>
      </w:r>
      <w:r w:rsidRPr="00BB6462">
        <w:rPr>
          <w:rFonts w:hint="eastAsia"/>
          <w:szCs w:val="21"/>
        </w:rPr>
        <w:t>委员会希望强调的是，研究组在本报告中审视的多种解释办法是为了帮助解释和适用最惠国规定。</w:t>
      </w: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2B3BAB" w:rsidRPr="002B3BAB" w:rsidRDefault="002B3BAB" w:rsidP="002B3BA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70268" w:rsidRPr="00BB6462" w:rsidRDefault="00C70268" w:rsidP="00C7026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tab/>
        <w:t>C.</w:t>
      </w:r>
      <w:r w:rsidRPr="00BB6462">
        <w:tab/>
      </w:r>
      <w:r w:rsidRPr="00BB6462">
        <w:rPr>
          <w:rFonts w:hint="eastAsia"/>
        </w:rPr>
        <w:t>向研究组及其主席致谢</w:t>
      </w:r>
    </w:p>
    <w:p w:rsidR="002B3BAB" w:rsidRPr="002B3BAB" w:rsidRDefault="002B3BAB" w:rsidP="002B3BAB">
      <w:pPr>
        <w:pStyle w:val="SingleTxt"/>
        <w:spacing w:after="0" w:line="120" w:lineRule="exact"/>
        <w:rPr>
          <w:sz w:val="10"/>
          <w:szCs w:val="21"/>
        </w:rPr>
      </w:pPr>
    </w:p>
    <w:p w:rsidR="002B3BAB" w:rsidRPr="002B3BAB" w:rsidRDefault="002B3BAB" w:rsidP="002B3BAB">
      <w:pPr>
        <w:pStyle w:val="SingleTxt"/>
        <w:spacing w:after="0" w:line="120" w:lineRule="exact"/>
        <w:rPr>
          <w:sz w:val="10"/>
          <w:szCs w:val="21"/>
        </w:rPr>
      </w:pPr>
    </w:p>
    <w:p w:rsidR="00C70268" w:rsidRPr="00BB6462" w:rsidRDefault="00C70268" w:rsidP="00C70268">
      <w:pPr>
        <w:pStyle w:val="SingleTxt"/>
        <w:rPr>
          <w:szCs w:val="21"/>
        </w:rPr>
      </w:pPr>
      <w:r w:rsidRPr="00BB6462">
        <w:rPr>
          <w:rFonts w:hint="eastAsia"/>
          <w:szCs w:val="21"/>
        </w:rPr>
        <w:t>44</w:t>
      </w:r>
      <w:r w:rsidRPr="00BB6462">
        <w:rPr>
          <w:szCs w:val="21"/>
        </w:rPr>
        <w:t xml:space="preserve">.  </w:t>
      </w:r>
      <w:r w:rsidRPr="00BB6462">
        <w:rPr>
          <w:rFonts w:hint="eastAsia"/>
          <w:szCs w:val="21"/>
        </w:rPr>
        <w:t>在</w:t>
      </w:r>
      <w:r w:rsidRPr="00BB6462">
        <w:rPr>
          <w:szCs w:val="21"/>
        </w:rPr>
        <w:t>2015</w:t>
      </w:r>
      <w:r w:rsidRPr="00BB6462">
        <w:rPr>
          <w:rFonts w:hint="eastAsia"/>
          <w:szCs w:val="21"/>
        </w:rPr>
        <w:t>年</w:t>
      </w:r>
      <w:r w:rsidRPr="00BB6462">
        <w:rPr>
          <w:szCs w:val="21"/>
        </w:rPr>
        <w:t>7</w:t>
      </w:r>
      <w:r w:rsidRPr="00BB6462">
        <w:rPr>
          <w:rFonts w:hint="eastAsia"/>
          <w:szCs w:val="21"/>
        </w:rPr>
        <w:t>月</w:t>
      </w:r>
      <w:r w:rsidRPr="00BB6462">
        <w:rPr>
          <w:szCs w:val="21"/>
        </w:rPr>
        <w:t>23</w:t>
      </w:r>
      <w:r w:rsidRPr="00BB6462">
        <w:rPr>
          <w:rFonts w:hint="eastAsia"/>
          <w:szCs w:val="21"/>
        </w:rPr>
        <w:t>日举行的第</w:t>
      </w:r>
      <w:r w:rsidRPr="00BB6462">
        <w:rPr>
          <w:rFonts w:hint="eastAsia"/>
          <w:szCs w:val="21"/>
        </w:rPr>
        <w:t>3</w:t>
      </w:r>
      <w:r w:rsidRPr="00BB6462">
        <w:rPr>
          <w:szCs w:val="21"/>
        </w:rPr>
        <w:t>277</w:t>
      </w:r>
      <w:r w:rsidRPr="00BB6462">
        <w:rPr>
          <w:rFonts w:hint="eastAsia"/>
          <w:szCs w:val="21"/>
        </w:rPr>
        <w:t>次会议上，委员会以鼓掌方式通过了以下决议：</w:t>
      </w:r>
    </w:p>
    <w:p w:rsidR="00C70268" w:rsidRPr="00BB6462" w:rsidRDefault="00C70268" w:rsidP="00C70268">
      <w:pPr>
        <w:pStyle w:val="SingleTxt"/>
        <w:ind w:left="1695"/>
        <w:rPr>
          <w:szCs w:val="21"/>
        </w:rPr>
      </w:pPr>
      <w:r w:rsidRPr="00BB6462">
        <w:rPr>
          <w:rFonts w:hint="eastAsia"/>
          <w:szCs w:val="21"/>
        </w:rPr>
        <w:tab/>
      </w:r>
      <w:r w:rsidRPr="00BB6462">
        <w:rPr>
          <w:rFonts w:hint="eastAsia"/>
          <w:szCs w:val="21"/>
        </w:rPr>
        <w:t>“</w:t>
      </w:r>
      <w:r w:rsidRPr="00BB6462">
        <w:rPr>
          <w:rFonts w:ascii="楷体_GB2312" w:eastAsia="楷体_GB2312" w:hint="eastAsia"/>
          <w:szCs w:val="21"/>
        </w:rPr>
        <w:t>国际法委员会</w:t>
      </w:r>
      <w:r w:rsidRPr="00BB6462">
        <w:rPr>
          <w:rFonts w:hint="eastAsia"/>
          <w:szCs w:val="21"/>
        </w:rPr>
        <w:t>，</w:t>
      </w:r>
    </w:p>
    <w:p w:rsidR="00C70268" w:rsidRPr="00BB6462" w:rsidRDefault="00C70268" w:rsidP="00C70268">
      <w:pPr>
        <w:pStyle w:val="SingleTxt"/>
        <w:ind w:left="1695"/>
        <w:rPr>
          <w:szCs w:val="21"/>
        </w:rPr>
      </w:pPr>
      <w:r w:rsidRPr="00BB6462">
        <w:rPr>
          <w:rFonts w:hint="eastAsia"/>
          <w:szCs w:val="21"/>
        </w:rPr>
        <w:tab/>
      </w:r>
      <w:r w:rsidRPr="00BB6462">
        <w:rPr>
          <w:rFonts w:ascii="楷体_GB2312" w:eastAsia="楷体_GB2312" w:hint="eastAsia"/>
          <w:szCs w:val="21"/>
        </w:rPr>
        <w:t>赞赏地欢迎</w:t>
      </w:r>
      <w:r w:rsidRPr="00BB6462">
        <w:rPr>
          <w:rFonts w:hint="eastAsia"/>
          <w:szCs w:val="21"/>
        </w:rPr>
        <w:t>最惠国条款研究组的报告；</w:t>
      </w:r>
    </w:p>
    <w:p w:rsidR="00C70268" w:rsidRPr="00BB6462" w:rsidRDefault="00C70268" w:rsidP="00C70268">
      <w:pPr>
        <w:pStyle w:val="SingleTxt"/>
        <w:ind w:left="1695"/>
        <w:rPr>
          <w:szCs w:val="21"/>
        </w:rPr>
      </w:pPr>
      <w:r w:rsidRPr="00BB6462">
        <w:rPr>
          <w:rFonts w:hint="eastAsia"/>
          <w:szCs w:val="21"/>
        </w:rPr>
        <w:tab/>
      </w:r>
      <w:r w:rsidRPr="003D3231">
        <w:rPr>
          <w:rFonts w:ascii="楷体" w:eastAsia="楷体" w:hAnsi="楷体" w:hint="eastAsia"/>
          <w:szCs w:val="21"/>
        </w:rPr>
        <w:t>向</w:t>
      </w:r>
      <w:r w:rsidRPr="00BB6462">
        <w:rPr>
          <w:rFonts w:hint="eastAsia"/>
          <w:szCs w:val="21"/>
        </w:rPr>
        <w:t>研究组及其主席唐纳德</w:t>
      </w:r>
      <w:r>
        <w:rPr>
          <w:rFonts w:hint="eastAsia"/>
        </w:rPr>
        <w:t>·</w:t>
      </w:r>
      <w:r w:rsidRPr="00BB6462">
        <w:rPr>
          <w:rFonts w:hint="eastAsia"/>
          <w:szCs w:val="21"/>
        </w:rPr>
        <w:t>麦克雷先生</w:t>
      </w:r>
      <w:r w:rsidRPr="00BB6462">
        <w:rPr>
          <w:rFonts w:ascii="楷体_GB2312" w:eastAsia="楷体_GB2312" w:hint="eastAsia"/>
          <w:szCs w:val="21"/>
        </w:rPr>
        <w:t>表达</w:t>
      </w:r>
      <w:r w:rsidRPr="00BB6462">
        <w:rPr>
          <w:rFonts w:hint="eastAsia"/>
          <w:szCs w:val="21"/>
        </w:rPr>
        <w:t>深挚感谢和热烈祝贺，他们在起草最惠国条款报告的工作中做出了突出贡献，研究组取得了良好结果；</w:t>
      </w:r>
    </w:p>
    <w:p w:rsidR="004D4D71" w:rsidRDefault="00C70268" w:rsidP="00C41E4D">
      <w:pPr>
        <w:pStyle w:val="SingleTxt"/>
        <w:ind w:left="1695"/>
        <w:rPr>
          <w:szCs w:val="21"/>
        </w:rPr>
      </w:pPr>
      <w:r w:rsidRPr="00BB6462">
        <w:rPr>
          <w:rFonts w:hint="eastAsia"/>
          <w:szCs w:val="21"/>
        </w:rPr>
        <w:tab/>
      </w:r>
      <w:r w:rsidRPr="00BB6462">
        <w:rPr>
          <w:rFonts w:hint="eastAsia"/>
          <w:szCs w:val="21"/>
        </w:rPr>
        <w:t>感谢地</w:t>
      </w:r>
      <w:r w:rsidRPr="002A18E7">
        <w:rPr>
          <w:rFonts w:ascii="楷体" w:eastAsia="楷体" w:hAnsi="楷体" w:hint="eastAsia"/>
          <w:szCs w:val="21"/>
        </w:rPr>
        <w:t>忆及</w:t>
      </w:r>
      <w:r w:rsidRPr="00BB6462">
        <w:rPr>
          <w:szCs w:val="21"/>
        </w:rPr>
        <w:t>2009</w:t>
      </w:r>
      <w:r w:rsidRPr="00BB6462">
        <w:rPr>
          <w:rFonts w:hint="eastAsia"/>
          <w:szCs w:val="21"/>
        </w:rPr>
        <w:t>年至</w:t>
      </w:r>
      <w:r w:rsidRPr="00BB6462">
        <w:rPr>
          <w:szCs w:val="21"/>
        </w:rPr>
        <w:t>2011</w:t>
      </w:r>
      <w:r w:rsidRPr="00BB6462">
        <w:rPr>
          <w:rFonts w:hint="eastAsia"/>
          <w:szCs w:val="21"/>
        </w:rPr>
        <w:t>年期间担任研究组共同主席的罗汉</w:t>
      </w:r>
      <w:r w:rsidR="00C41E4D" w:rsidRPr="00BB6462">
        <w:rPr>
          <w:rFonts w:hAnsi="宋体" w:hint="eastAsia"/>
          <w:snapToGrid w:val="0"/>
          <w:kern w:val="0"/>
          <w:szCs w:val="21"/>
        </w:rPr>
        <w:t>·</w:t>
      </w:r>
      <w:r w:rsidRPr="004D4D71">
        <w:rPr>
          <w:rFonts w:hint="eastAsia"/>
          <w:szCs w:val="21"/>
        </w:rPr>
        <w:t>佩雷拉先生做</w:t>
      </w:r>
      <w:r w:rsidRPr="00BB6462">
        <w:rPr>
          <w:rFonts w:hint="eastAsia"/>
          <w:szCs w:val="21"/>
        </w:rPr>
        <w:t>出的贡献，以及马蒂亚斯</w:t>
      </w:r>
      <w:r w:rsidR="00C41E4D" w:rsidRPr="00BB6462">
        <w:rPr>
          <w:rFonts w:hAnsi="宋体" w:hint="eastAsia"/>
          <w:snapToGrid w:val="0"/>
          <w:kern w:val="0"/>
          <w:szCs w:val="21"/>
        </w:rPr>
        <w:t>·</w:t>
      </w:r>
      <w:r w:rsidRPr="00BB6462">
        <w:rPr>
          <w:rFonts w:hint="eastAsia"/>
          <w:szCs w:val="21"/>
        </w:rPr>
        <w:t>福尔托先生做出的贡献，他在麦克雷先生</w:t>
      </w:r>
      <w:r w:rsidRPr="00BB6462">
        <w:rPr>
          <w:szCs w:val="21"/>
        </w:rPr>
        <w:t>2013</w:t>
      </w:r>
      <w:r w:rsidRPr="00BB6462">
        <w:rPr>
          <w:rFonts w:hint="eastAsia"/>
          <w:szCs w:val="21"/>
        </w:rPr>
        <w:t>年和</w:t>
      </w:r>
      <w:r w:rsidRPr="00BB6462">
        <w:rPr>
          <w:szCs w:val="21"/>
        </w:rPr>
        <w:t>2014</w:t>
      </w:r>
      <w:r w:rsidRPr="00BB6462">
        <w:rPr>
          <w:rFonts w:hint="eastAsia"/>
          <w:szCs w:val="21"/>
        </w:rPr>
        <w:t>年届会期间缺席时担任了主席职务。”</w:t>
      </w:r>
    </w:p>
    <w:p w:rsidR="005200D8" w:rsidRPr="005200D8" w:rsidRDefault="003531A9"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r>
        <w:br w:type="page"/>
      </w:r>
    </w:p>
    <w:p w:rsidR="005200D8" w:rsidRPr="005200D8" w:rsidRDefault="005200D8" w:rsidP="005200D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C13183" w:rsidRPr="00BB6462" w:rsidRDefault="00C13183" w:rsidP="00C1318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Pr>
          <w:rFonts w:hint="eastAsia"/>
        </w:rPr>
        <w:tab/>
      </w:r>
      <w:r>
        <w:rPr>
          <w:rFonts w:hint="eastAsia"/>
        </w:rPr>
        <w:tab/>
      </w:r>
      <w:r w:rsidRPr="00BB6462">
        <w:rPr>
          <w:rFonts w:hint="eastAsia"/>
          <w:lang w:val="fr-CH"/>
        </w:rPr>
        <w:t>第五章</w:t>
      </w:r>
      <w:r w:rsidRPr="00BB6462">
        <w:rPr>
          <w:lang w:val="fr-CH"/>
        </w:rPr>
        <w:br/>
      </w:r>
      <w:r w:rsidRPr="00BB6462">
        <w:rPr>
          <w:rFonts w:hint="eastAsia"/>
          <w:lang w:val="fr-CH"/>
        </w:rPr>
        <w:t>保护大气层</w:t>
      </w:r>
    </w:p>
    <w:p w:rsidR="00C13183" w:rsidRPr="004D75FE"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4D75FE"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BB6462"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BB6462">
        <w:rPr>
          <w:rFonts w:hint="eastAsia"/>
          <w:lang w:val="fr-CH"/>
        </w:rPr>
        <w:tab/>
        <w:t>A.</w:t>
      </w:r>
      <w:r w:rsidRPr="00BB6462">
        <w:rPr>
          <w:rFonts w:hint="eastAsia"/>
          <w:lang w:val="fr-CH"/>
        </w:rPr>
        <w:tab/>
        <w:t>导言</w:t>
      </w:r>
    </w:p>
    <w:p w:rsidR="00C13183" w:rsidRPr="004D75FE" w:rsidRDefault="00C13183" w:rsidP="00C13183">
      <w:pPr>
        <w:pStyle w:val="SingleTxt"/>
        <w:spacing w:after="0" w:line="120" w:lineRule="exact"/>
        <w:rPr>
          <w:sz w:val="10"/>
          <w:lang w:val="fr-CH"/>
        </w:rPr>
      </w:pPr>
    </w:p>
    <w:p w:rsidR="00C13183" w:rsidRPr="004D75FE" w:rsidRDefault="00C13183" w:rsidP="00C13183">
      <w:pPr>
        <w:pStyle w:val="SingleTxt"/>
        <w:spacing w:after="0" w:line="120" w:lineRule="exact"/>
        <w:rPr>
          <w:sz w:val="10"/>
          <w:lang w:val="fr-CH"/>
        </w:rPr>
      </w:pPr>
    </w:p>
    <w:p w:rsidR="00C13183" w:rsidRPr="00BB6462" w:rsidRDefault="00C13183" w:rsidP="00C13183">
      <w:pPr>
        <w:pStyle w:val="SingleTxt"/>
        <w:rPr>
          <w:lang w:val="fr-CH"/>
        </w:rPr>
      </w:pPr>
      <w:r w:rsidRPr="00BB6462">
        <w:rPr>
          <w:rFonts w:hint="eastAsia"/>
          <w:lang w:val="fr-CH"/>
        </w:rPr>
        <w:t xml:space="preserve">45.  </w:t>
      </w:r>
      <w:r w:rsidRPr="00BB6462">
        <w:rPr>
          <w:rFonts w:hint="eastAsia"/>
          <w:lang w:val="fr-CH"/>
        </w:rPr>
        <w:t>委员会在第六十五届会议</w:t>
      </w:r>
      <w:r w:rsidRPr="00BB6462">
        <w:rPr>
          <w:rFonts w:hint="eastAsia"/>
          <w:lang w:val="fr-CH"/>
        </w:rPr>
        <w:t>(2013</w:t>
      </w:r>
      <w:r w:rsidRPr="00BB6462">
        <w:rPr>
          <w:rFonts w:hint="eastAsia"/>
          <w:lang w:val="fr-CH"/>
        </w:rPr>
        <w:t>年</w:t>
      </w:r>
      <w:r w:rsidRPr="00BB6462">
        <w:rPr>
          <w:rFonts w:hint="eastAsia"/>
          <w:lang w:val="fr-CH"/>
        </w:rPr>
        <w:t>)</w:t>
      </w:r>
      <w:r w:rsidRPr="00BB6462">
        <w:rPr>
          <w:rFonts w:hint="eastAsia"/>
          <w:lang w:val="fr-CH"/>
        </w:rPr>
        <w:t>决定将“保护大气层”专题连同一项谅解列入其</w:t>
      </w:r>
      <w:r w:rsidRPr="00BB6462">
        <w:rPr>
          <w:lang w:val="fr-CH"/>
        </w:rPr>
        <w:t>工作方案</w:t>
      </w:r>
      <w:r w:rsidRPr="00BB6462">
        <w:rPr>
          <w:rFonts w:hint="eastAsia"/>
          <w:lang w:val="fr-CH"/>
        </w:rPr>
        <w:t>，并任命</w:t>
      </w:r>
      <w:r w:rsidRPr="00BB6462">
        <w:rPr>
          <w:lang w:val="en-GB"/>
        </w:rPr>
        <w:t>村濑信也</w:t>
      </w:r>
      <w:r w:rsidRPr="00BB6462">
        <w:rPr>
          <w:rFonts w:hint="eastAsia"/>
          <w:lang w:val="fr-CH"/>
        </w:rPr>
        <w:t>先生为特别报告员。</w:t>
      </w:r>
      <w:r w:rsidRPr="003F1277">
        <w:rPr>
          <w:rStyle w:val="a3"/>
          <w:color w:val="0000CC"/>
          <w:szCs w:val="21"/>
          <w:lang w:val="fr-CH"/>
        </w:rPr>
        <w:footnoteReference w:id="12"/>
      </w:r>
    </w:p>
    <w:p w:rsidR="00C13183" w:rsidRPr="004D75FE" w:rsidRDefault="00C13183" w:rsidP="00C13183">
      <w:pPr>
        <w:pStyle w:val="SingleTxt"/>
        <w:rPr>
          <w:spacing w:val="4"/>
          <w:lang w:val="fr-CH"/>
        </w:rPr>
      </w:pPr>
      <w:r w:rsidRPr="00BB6462">
        <w:rPr>
          <w:rFonts w:hint="eastAsia"/>
          <w:lang w:val="fr-CH"/>
        </w:rPr>
        <w:t xml:space="preserve">46.  </w:t>
      </w:r>
      <w:r w:rsidRPr="004D75FE">
        <w:rPr>
          <w:rFonts w:hint="eastAsia"/>
          <w:spacing w:val="4"/>
          <w:lang w:val="fr-CH"/>
        </w:rPr>
        <w:t>委</w:t>
      </w:r>
      <w:r w:rsidRPr="004D75FE">
        <w:rPr>
          <w:rFonts w:hint="eastAsia"/>
        </w:rPr>
        <w:t>员会在第六十六届会议</w:t>
      </w:r>
      <w:r w:rsidRPr="004D75FE">
        <w:rPr>
          <w:rFonts w:hint="eastAsia"/>
        </w:rPr>
        <w:t>(2014</w:t>
      </w:r>
      <w:r w:rsidRPr="004D75FE">
        <w:rPr>
          <w:rFonts w:hint="eastAsia"/>
        </w:rPr>
        <w:t>年</w:t>
      </w:r>
      <w:r w:rsidRPr="004D75FE">
        <w:rPr>
          <w:rFonts w:hint="eastAsia"/>
        </w:rPr>
        <w:t>)</w:t>
      </w:r>
      <w:r w:rsidRPr="004D75FE">
        <w:rPr>
          <w:rFonts w:hint="eastAsia"/>
        </w:rPr>
        <w:t>上，</w:t>
      </w:r>
      <w:r w:rsidRPr="004D75FE">
        <w:rPr>
          <w:rFonts w:hint="eastAsia"/>
          <w:spacing w:val="4"/>
          <w:lang w:val="fr-CH"/>
        </w:rPr>
        <w:t>收到并审议了特别报告员的第一次报告。</w:t>
      </w:r>
      <w:r w:rsidRPr="003F1277">
        <w:rPr>
          <w:rStyle w:val="a3"/>
          <w:color w:val="0000CC"/>
          <w:spacing w:val="4"/>
          <w:szCs w:val="21"/>
          <w:lang w:val="fr-CH"/>
        </w:rPr>
        <w:footnoteReference w:id="13"/>
      </w:r>
    </w:p>
    <w:p w:rsidR="00C13183" w:rsidRPr="004D75FE"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4D75FE"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BB6462"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BB6462">
        <w:rPr>
          <w:rFonts w:hint="eastAsia"/>
          <w:lang w:val="fr-CH"/>
        </w:rPr>
        <w:tab/>
        <w:t>B.</w:t>
      </w:r>
      <w:r w:rsidRPr="00BB6462">
        <w:rPr>
          <w:rFonts w:hint="eastAsia"/>
          <w:lang w:val="fr-CH"/>
        </w:rPr>
        <w:tab/>
        <w:t>本届会议审议此专题的情况</w:t>
      </w:r>
    </w:p>
    <w:p w:rsidR="00C13183" w:rsidRPr="004D75FE" w:rsidRDefault="00C13183" w:rsidP="00C13183">
      <w:pPr>
        <w:pStyle w:val="SingleTxt"/>
        <w:spacing w:after="0" w:line="120" w:lineRule="exact"/>
        <w:rPr>
          <w:sz w:val="10"/>
          <w:lang w:val="fr-CH"/>
        </w:rPr>
      </w:pPr>
    </w:p>
    <w:p w:rsidR="00C13183" w:rsidRPr="004D75FE" w:rsidRDefault="00C13183" w:rsidP="00C13183">
      <w:pPr>
        <w:pStyle w:val="SingleTxt"/>
        <w:spacing w:after="0" w:line="120" w:lineRule="exact"/>
        <w:rPr>
          <w:sz w:val="10"/>
          <w:lang w:val="fr-CH"/>
        </w:rPr>
      </w:pPr>
    </w:p>
    <w:p w:rsidR="00C13183" w:rsidRDefault="00C13183" w:rsidP="00C13183">
      <w:pPr>
        <w:pStyle w:val="SingleTxt"/>
        <w:spacing w:after="120"/>
        <w:rPr>
          <w:lang w:val="fr-CH"/>
        </w:rPr>
      </w:pPr>
      <w:r w:rsidRPr="00BB6462">
        <w:rPr>
          <w:rFonts w:hint="eastAsia"/>
          <w:lang w:val="fr-CH"/>
        </w:rPr>
        <w:t xml:space="preserve">47.  </w:t>
      </w:r>
      <w:r w:rsidRPr="00BB6462">
        <w:rPr>
          <w:rFonts w:hint="eastAsia"/>
          <w:lang w:val="fr-CH"/>
        </w:rPr>
        <w:t>在本届会议上，委员会收到了特别报告员的第二次报告</w:t>
      </w:r>
      <w:r w:rsidRPr="00BB6462">
        <w:rPr>
          <w:lang w:val="fr-CH"/>
        </w:rPr>
        <w:t>(A/CN.4/681</w:t>
      </w:r>
      <w:r w:rsidRPr="00BB6462">
        <w:rPr>
          <w:rFonts w:hint="eastAsia"/>
          <w:lang w:val="fr-CH"/>
        </w:rPr>
        <w:t>和</w:t>
      </w:r>
      <w:r w:rsidRPr="00BB6462">
        <w:rPr>
          <w:rFonts w:hint="eastAsia"/>
          <w:lang w:val="fr-CH"/>
        </w:rPr>
        <w:t>Corr.1</w:t>
      </w:r>
      <w:r>
        <w:rPr>
          <w:rFonts w:hint="eastAsia"/>
          <w:lang w:val="fr-CH"/>
        </w:rPr>
        <w:t xml:space="preserve"> </w:t>
      </w:r>
      <w:r w:rsidRPr="00BB6462">
        <w:rPr>
          <w:lang w:val="fr-CH"/>
        </w:rPr>
        <w:t>(</w:t>
      </w:r>
      <w:r w:rsidRPr="00BB6462">
        <w:rPr>
          <w:rFonts w:hint="eastAsia"/>
          <w:lang w:val="fr-CH"/>
        </w:rPr>
        <w:t>仅有中文</w:t>
      </w:r>
      <w:r w:rsidRPr="00BB6462">
        <w:rPr>
          <w:lang w:val="fr-CH"/>
        </w:rPr>
        <w:t>))</w:t>
      </w:r>
      <w:r w:rsidRPr="00BB6462">
        <w:rPr>
          <w:rFonts w:hint="eastAsia"/>
          <w:lang w:val="fr-CH"/>
        </w:rPr>
        <w:t>。根据委员会和大会第六委员会会上提出的意见，特别报告员依据第一次报告，在第二次报告中进一步分析了第一次报告中提出的指南草案，就包括大气层</w:t>
      </w:r>
      <w:r w:rsidRPr="00801C67">
        <w:rPr>
          <w:rFonts w:hint="eastAsia"/>
          <w:spacing w:val="4"/>
          <w:lang w:val="fr-CH"/>
        </w:rPr>
        <w:t>定义在内的用语、指南草案范围和人类的共同关切提出了一套经修订的指南。此</w:t>
      </w:r>
      <w:r w:rsidRPr="00BB6462">
        <w:rPr>
          <w:rFonts w:hint="eastAsia"/>
          <w:lang w:val="fr-CH"/>
        </w:rPr>
        <w:t>外，特别报告员还分析了国家保护大气层的一般义务和保护大气层的国际合作，</w:t>
      </w:r>
      <w:r>
        <w:rPr>
          <w:lang w:val="fr-CH"/>
        </w:rPr>
        <w:br/>
      </w:r>
    </w:p>
    <w:p w:rsidR="00C13183" w:rsidRDefault="00C13183" w:rsidP="00C13183">
      <w:pPr>
        <w:spacing w:line="240" w:lineRule="auto"/>
        <w:jc w:val="left"/>
        <w:rPr>
          <w:lang w:val="fr-CH"/>
        </w:rPr>
      </w:pPr>
      <w:r>
        <w:rPr>
          <w:lang w:val="fr-CH"/>
        </w:rPr>
        <w:br w:type="page"/>
      </w:r>
    </w:p>
    <w:p w:rsidR="00C13183" w:rsidRPr="00BB6462" w:rsidRDefault="00C13183" w:rsidP="00C13183">
      <w:pPr>
        <w:pStyle w:val="SingleTxt"/>
        <w:rPr>
          <w:lang w:val="fr-CH"/>
        </w:rPr>
      </w:pPr>
      <w:r w:rsidRPr="00BB6462">
        <w:rPr>
          <w:rFonts w:hint="eastAsia"/>
          <w:lang w:val="fr-CH"/>
        </w:rPr>
        <w:lastRenderedPageBreak/>
        <w:t>提出了关于国家保护大气层的一般义务和国际合作的指南草案。</w:t>
      </w:r>
      <w:r w:rsidRPr="003F1277">
        <w:rPr>
          <w:rStyle w:val="a3"/>
          <w:color w:val="0000CC"/>
          <w:szCs w:val="21"/>
          <w:lang w:val="fr-CH"/>
        </w:rPr>
        <w:footnoteReference w:id="14"/>
      </w:r>
      <w:r>
        <w:rPr>
          <w:rFonts w:hint="eastAsia"/>
          <w:lang w:val="fr-CH"/>
        </w:rPr>
        <w:t xml:space="preserve"> </w:t>
      </w:r>
      <w:r w:rsidRPr="00BB6462">
        <w:rPr>
          <w:rFonts w:hint="eastAsia"/>
          <w:lang w:val="fr-CH"/>
        </w:rPr>
        <w:t>他提到，在国家做法中已确立人类共同关切、国家保护大气层的一般义务和国际合作，三者从根本上是相互关联</w:t>
      </w:r>
      <w:r w:rsidRPr="008867FA">
        <w:rPr>
          <w:rFonts w:hint="eastAsia"/>
        </w:rPr>
        <w:t>的，因而，组成了保护大气层的三位一体。特别报告员根据委员会</w:t>
      </w:r>
      <w:r w:rsidRPr="008867FA">
        <w:rPr>
          <w:rFonts w:hint="eastAsia"/>
        </w:rPr>
        <w:t>2014</w:t>
      </w:r>
      <w:r w:rsidRPr="008867FA">
        <w:rPr>
          <w:rFonts w:hint="eastAsia"/>
        </w:rPr>
        <w:t>年会议上有委员</w:t>
      </w:r>
      <w:r w:rsidRPr="008867FA">
        <w:rPr>
          <w:rFonts w:asciiTheme="minorEastAsia" w:eastAsiaTheme="minorEastAsia" w:hAnsiTheme="minorEastAsia" w:hint="eastAsia"/>
        </w:rPr>
        <w:t>提出的要求</w:t>
      </w:r>
      <w:r w:rsidRPr="008867FA">
        <w:rPr>
          <w:rFonts w:asciiTheme="minorEastAsia" w:eastAsiaTheme="minorEastAsia" w:hAnsiTheme="minorEastAsia" w:hint="eastAsia"/>
          <w:lang w:val="fr-CH"/>
        </w:rPr>
        <w:t>一份今后</w:t>
      </w:r>
      <w:r w:rsidRPr="008867FA">
        <w:rPr>
          <w:rFonts w:asciiTheme="minorEastAsia" w:eastAsiaTheme="minorEastAsia" w:hAnsiTheme="minorEastAsia"/>
          <w:lang w:val="fr-CH"/>
        </w:rPr>
        <w:t>工作计划</w:t>
      </w:r>
      <w:r w:rsidRPr="008867FA">
        <w:rPr>
          <w:rFonts w:asciiTheme="minorEastAsia" w:eastAsiaTheme="minorEastAsia" w:hAnsiTheme="minorEastAsia" w:hint="eastAsia"/>
          <w:lang w:val="fr-CH"/>
        </w:rPr>
        <w:t>的意见，还提出了一份详细的今后</w:t>
      </w:r>
      <w:r w:rsidRPr="008867FA">
        <w:rPr>
          <w:rFonts w:asciiTheme="minorEastAsia" w:eastAsiaTheme="minorEastAsia" w:hAnsiTheme="minorEastAsia"/>
          <w:lang w:val="fr-CH"/>
        </w:rPr>
        <w:t>工作计划</w:t>
      </w:r>
      <w:r w:rsidRPr="008867FA">
        <w:rPr>
          <w:rFonts w:asciiTheme="minorEastAsia" w:eastAsiaTheme="minorEastAsia" w:hAnsiTheme="minorEastAsia" w:hint="eastAsia"/>
          <w:lang w:val="fr-CH"/>
        </w:rPr>
        <w:t>。特别报告员初步估计，在审议下列各项问题之后，该专题的工作可能于</w:t>
      </w:r>
      <w:r w:rsidRPr="008867FA">
        <w:rPr>
          <w:rFonts w:hint="eastAsia"/>
        </w:rPr>
        <w:t>2020</w:t>
      </w:r>
      <w:r w:rsidRPr="008867FA">
        <w:rPr>
          <w:rFonts w:asciiTheme="minorEastAsia" w:eastAsiaTheme="minorEastAsia" w:hAnsiTheme="minorEastAsia" w:hint="eastAsia"/>
          <w:lang w:val="fr-CH"/>
        </w:rPr>
        <w:t>年完成：使用自己的财产时不得损害他人财</w:t>
      </w:r>
      <w:r w:rsidRPr="00BB6462">
        <w:rPr>
          <w:rFonts w:hint="eastAsia"/>
          <w:lang w:val="fr-CH"/>
        </w:rPr>
        <w:t>产的原则、可持续发展原则</w:t>
      </w:r>
      <w:r w:rsidRPr="00BB6462">
        <w:rPr>
          <w:rFonts w:hint="eastAsia"/>
          <w:lang w:val="fr-CH"/>
        </w:rPr>
        <w:t>(</w:t>
      </w:r>
      <w:r w:rsidRPr="00BB6462">
        <w:rPr>
          <w:rFonts w:hint="eastAsia"/>
          <w:lang w:val="fr-CH"/>
        </w:rPr>
        <w:t>大气层的利用和环境影响评估</w:t>
      </w:r>
      <w:r w:rsidRPr="00BB6462">
        <w:rPr>
          <w:rFonts w:hint="eastAsia"/>
          <w:lang w:val="fr-CH"/>
        </w:rPr>
        <w:t>)</w:t>
      </w:r>
      <w:r w:rsidRPr="00BB6462">
        <w:rPr>
          <w:rFonts w:hint="eastAsia"/>
          <w:lang w:val="fr-CH"/>
        </w:rPr>
        <w:t>、公平原则、特殊情况与脆弱性</w:t>
      </w:r>
      <w:r w:rsidRPr="00BB6462">
        <w:rPr>
          <w:rFonts w:hint="eastAsia"/>
          <w:lang w:val="fr-CH"/>
        </w:rPr>
        <w:t>(2016</w:t>
      </w:r>
      <w:r w:rsidRPr="00BB6462">
        <w:rPr>
          <w:rFonts w:hint="eastAsia"/>
          <w:lang w:val="fr-CH"/>
        </w:rPr>
        <w:t>年</w:t>
      </w:r>
      <w:r w:rsidRPr="00BB6462">
        <w:rPr>
          <w:rFonts w:hint="eastAsia"/>
          <w:lang w:val="fr-CH"/>
        </w:rPr>
        <w:t>)</w:t>
      </w:r>
      <w:r w:rsidRPr="00BB6462">
        <w:rPr>
          <w:rFonts w:hint="eastAsia"/>
          <w:lang w:val="fr-CH"/>
        </w:rPr>
        <w:t>；预防、尽职、预警</w:t>
      </w:r>
      <w:r w:rsidRPr="00BB6462">
        <w:rPr>
          <w:rFonts w:hint="eastAsia"/>
          <w:lang w:val="fr-CH"/>
        </w:rPr>
        <w:t>(2017</w:t>
      </w:r>
      <w:r w:rsidRPr="00BB6462">
        <w:rPr>
          <w:rFonts w:hint="eastAsia"/>
          <w:lang w:val="fr-CH"/>
        </w:rPr>
        <w:t>年</w:t>
      </w:r>
      <w:r w:rsidRPr="00BB6462">
        <w:rPr>
          <w:rFonts w:hint="eastAsia"/>
          <w:lang w:val="fr-CH"/>
        </w:rPr>
        <w:t>)</w:t>
      </w:r>
      <w:r w:rsidRPr="00BB6462">
        <w:rPr>
          <w:rFonts w:hint="eastAsia"/>
          <w:lang w:val="fr-CH"/>
        </w:rPr>
        <w:t>；与国际法其他领域内指导相互关系的原则</w:t>
      </w:r>
      <w:r w:rsidRPr="00BB6462">
        <w:rPr>
          <w:rFonts w:hint="eastAsia"/>
          <w:lang w:val="fr-CH"/>
        </w:rPr>
        <w:t>(2018</w:t>
      </w:r>
      <w:r w:rsidRPr="00BB6462">
        <w:rPr>
          <w:rFonts w:hint="eastAsia"/>
          <w:lang w:val="fr-CH"/>
        </w:rPr>
        <w:t>年</w:t>
      </w:r>
      <w:r w:rsidRPr="00BB6462">
        <w:rPr>
          <w:rFonts w:hint="eastAsia"/>
          <w:lang w:val="fr-CH"/>
        </w:rPr>
        <w:t>)</w:t>
      </w:r>
      <w:r w:rsidRPr="00BB6462">
        <w:rPr>
          <w:rFonts w:hint="eastAsia"/>
          <w:lang w:val="fr-CH"/>
        </w:rPr>
        <w:t>；遵守与实施及争端解决</w:t>
      </w:r>
      <w:r w:rsidRPr="00BB6462">
        <w:rPr>
          <w:rFonts w:hint="eastAsia"/>
          <w:lang w:val="fr-CH"/>
        </w:rPr>
        <w:t>(2019</w:t>
      </w:r>
      <w:r w:rsidRPr="00BB6462">
        <w:rPr>
          <w:rFonts w:hint="eastAsia"/>
          <w:lang w:val="fr-CH"/>
        </w:rPr>
        <w:t>年</w:t>
      </w:r>
      <w:r w:rsidRPr="00BB6462">
        <w:rPr>
          <w:rFonts w:hint="eastAsia"/>
          <w:lang w:val="fr-CH"/>
        </w:rPr>
        <w:t>)</w:t>
      </w:r>
      <w:r w:rsidRPr="00BB6462">
        <w:rPr>
          <w:rFonts w:hint="eastAsia"/>
          <w:lang w:val="fr-CH"/>
        </w:rPr>
        <w:t>。</w:t>
      </w:r>
    </w:p>
    <w:p w:rsidR="00C13183" w:rsidRPr="00BB6462" w:rsidRDefault="00C13183" w:rsidP="00C13183">
      <w:pPr>
        <w:pStyle w:val="SingleTxt"/>
        <w:rPr>
          <w:szCs w:val="21"/>
          <w:lang w:val="fr-CH"/>
        </w:rPr>
      </w:pPr>
      <w:r w:rsidRPr="00BB6462">
        <w:rPr>
          <w:rFonts w:hint="eastAsia"/>
          <w:szCs w:val="21"/>
          <w:lang w:val="fr-CH"/>
        </w:rPr>
        <w:lastRenderedPageBreak/>
        <w:t xml:space="preserve">48.  </w:t>
      </w:r>
      <w:r w:rsidRPr="00BB6462">
        <w:rPr>
          <w:rFonts w:hint="eastAsia"/>
          <w:szCs w:val="21"/>
          <w:lang w:val="fr-CH"/>
        </w:rPr>
        <w:t>委员会在</w:t>
      </w:r>
      <w:r w:rsidRPr="00BB6462">
        <w:rPr>
          <w:rFonts w:hint="eastAsia"/>
          <w:szCs w:val="21"/>
          <w:lang w:val="fr-CH"/>
        </w:rPr>
        <w:t>2015</w:t>
      </w:r>
      <w:r w:rsidRPr="00BB6462">
        <w:rPr>
          <w:rFonts w:hint="eastAsia"/>
          <w:szCs w:val="21"/>
          <w:lang w:val="fr-CH"/>
        </w:rPr>
        <w:t>年</w:t>
      </w:r>
      <w:r w:rsidRPr="00BB6462">
        <w:rPr>
          <w:rFonts w:hint="eastAsia"/>
          <w:szCs w:val="21"/>
          <w:lang w:val="fr-CH"/>
        </w:rPr>
        <w:t>5</w:t>
      </w:r>
      <w:r w:rsidRPr="00BB6462">
        <w:rPr>
          <w:rFonts w:hint="eastAsia"/>
          <w:szCs w:val="21"/>
          <w:lang w:val="fr-CH"/>
        </w:rPr>
        <w:t>月</w:t>
      </w:r>
      <w:r w:rsidRPr="00BB6462">
        <w:rPr>
          <w:rFonts w:hint="eastAsia"/>
          <w:szCs w:val="21"/>
          <w:lang w:val="fr-CH"/>
        </w:rPr>
        <w:t>4</w:t>
      </w:r>
      <w:r w:rsidRPr="00BB6462">
        <w:rPr>
          <w:rFonts w:hint="eastAsia"/>
          <w:szCs w:val="21"/>
          <w:lang w:val="fr-CH"/>
        </w:rPr>
        <w:t>日、</w:t>
      </w:r>
      <w:r w:rsidRPr="00BB6462">
        <w:rPr>
          <w:rFonts w:hint="eastAsia"/>
          <w:szCs w:val="21"/>
          <w:lang w:val="fr-CH"/>
        </w:rPr>
        <w:t>5</w:t>
      </w:r>
      <w:r w:rsidRPr="00BB6462">
        <w:rPr>
          <w:rFonts w:hint="eastAsia"/>
          <w:szCs w:val="21"/>
          <w:lang w:val="fr-CH"/>
        </w:rPr>
        <w:t>日、</w:t>
      </w:r>
      <w:r w:rsidRPr="00BB6462">
        <w:rPr>
          <w:rFonts w:hint="eastAsia"/>
          <w:szCs w:val="21"/>
          <w:lang w:val="fr-CH"/>
        </w:rPr>
        <w:t>6</w:t>
      </w:r>
      <w:r w:rsidRPr="00BB6462">
        <w:rPr>
          <w:rFonts w:hint="eastAsia"/>
          <w:szCs w:val="21"/>
          <w:lang w:val="fr-CH"/>
        </w:rPr>
        <w:t>日、</w:t>
      </w:r>
      <w:r w:rsidRPr="00BB6462">
        <w:rPr>
          <w:rFonts w:hint="eastAsia"/>
          <w:szCs w:val="21"/>
          <w:lang w:val="fr-CH"/>
        </w:rPr>
        <w:t>7</w:t>
      </w:r>
      <w:r w:rsidRPr="00BB6462">
        <w:rPr>
          <w:rFonts w:hint="eastAsia"/>
          <w:szCs w:val="21"/>
          <w:lang w:val="fr-CH"/>
        </w:rPr>
        <w:t>日、</w:t>
      </w:r>
      <w:r w:rsidRPr="00BB6462">
        <w:rPr>
          <w:rFonts w:hint="eastAsia"/>
          <w:szCs w:val="21"/>
          <w:lang w:val="fr-CH"/>
        </w:rPr>
        <w:t>8</w:t>
      </w:r>
      <w:r w:rsidRPr="00BB6462">
        <w:rPr>
          <w:rFonts w:hint="eastAsia"/>
          <w:szCs w:val="21"/>
          <w:lang w:val="fr-CH"/>
        </w:rPr>
        <w:t>日和</w:t>
      </w:r>
      <w:r w:rsidRPr="00BB6462">
        <w:rPr>
          <w:rFonts w:hint="eastAsia"/>
          <w:szCs w:val="21"/>
          <w:lang w:val="fr-CH"/>
        </w:rPr>
        <w:t>12</w:t>
      </w:r>
      <w:r w:rsidRPr="00BB6462">
        <w:rPr>
          <w:rFonts w:hint="eastAsia"/>
          <w:szCs w:val="21"/>
          <w:lang w:val="fr-CH"/>
        </w:rPr>
        <w:t>日的第</w:t>
      </w:r>
      <w:r w:rsidRPr="00BB6462">
        <w:rPr>
          <w:rFonts w:hint="eastAsia"/>
          <w:szCs w:val="21"/>
          <w:lang w:val="fr-CH"/>
        </w:rPr>
        <w:t>3244</w:t>
      </w:r>
      <w:r w:rsidRPr="00BB6462">
        <w:rPr>
          <w:rFonts w:hint="eastAsia"/>
          <w:szCs w:val="21"/>
          <w:lang w:val="fr-CH"/>
        </w:rPr>
        <w:t>次至</w:t>
      </w:r>
      <w:r w:rsidRPr="00BB6462">
        <w:rPr>
          <w:rFonts w:hint="eastAsia"/>
          <w:szCs w:val="21"/>
          <w:lang w:val="fr-CH"/>
        </w:rPr>
        <w:t>3249</w:t>
      </w:r>
      <w:r w:rsidRPr="00BB6462">
        <w:rPr>
          <w:rFonts w:hint="eastAsia"/>
          <w:szCs w:val="21"/>
          <w:lang w:val="fr-CH"/>
        </w:rPr>
        <w:t>次会议上审议了该份报告。</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rPr>
          <w:szCs w:val="21"/>
          <w:lang w:val="fr-CH"/>
        </w:rPr>
      </w:pPr>
      <w:r w:rsidRPr="00BB6462">
        <w:rPr>
          <w:rFonts w:hint="eastAsia"/>
          <w:szCs w:val="21"/>
          <w:lang w:val="fr-CH"/>
        </w:rPr>
        <w:t xml:space="preserve">49.  </w:t>
      </w:r>
      <w:r w:rsidRPr="00BB6462">
        <w:rPr>
          <w:rFonts w:hint="eastAsia"/>
          <w:szCs w:val="21"/>
          <w:lang w:val="fr-CH"/>
        </w:rPr>
        <w:t>除了委员会的辩论之外，</w:t>
      </w:r>
      <w:r w:rsidRPr="00BB6462">
        <w:rPr>
          <w:rFonts w:hint="eastAsia"/>
          <w:szCs w:val="21"/>
          <w:lang w:val="fr-CH"/>
        </w:rPr>
        <w:t>2015</w:t>
      </w:r>
      <w:r w:rsidRPr="00BB6462">
        <w:rPr>
          <w:rFonts w:hint="eastAsia"/>
          <w:szCs w:val="21"/>
          <w:lang w:val="fr-CH"/>
        </w:rPr>
        <w:t>年</w:t>
      </w:r>
      <w:r w:rsidRPr="00BB6462">
        <w:rPr>
          <w:rFonts w:hint="eastAsia"/>
          <w:szCs w:val="21"/>
          <w:lang w:val="fr-CH"/>
        </w:rPr>
        <w:t>5</w:t>
      </w:r>
      <w:r w:rsidRPr="00BB6462">
        <w:rPr>
          <w:rFonts w:hint="eastAsia"/>
          <w:szCs w:val="21"/>
          <w:lang w:val="fr-CH"/>
        </w:rPr>
        <w:t>月</w:t>
      </w:r>
      <w:r w:rsidRPr="00BB6462">
        <w:rPr>
          <w:rFonts w:hint="eastAsia"/>
          <w:szCs w:val="21"/>
          <w:lang w:val="fr-CH"/>
        </w:rPr>
        <w:t>7</w:t>
      </w:r>
      <w:r w:rsidRPr="00BB6462">
        <w:rPr>
          <w:rFonts w:hint="eastAsia"/>
          <w:szCs w:val="21"/>
          <w:lang w:val="fr-CH"/>
        </w:rPr>
        <w:t>日，特别报告员组织了与科学家的对话。</w:t>
      </w:r>
      <w:r w:rsidRPr="003F1277">
        <w:rPr>
          <w:rStyle w:val="a3"/>
          <w:color w:val="0000CC"/>
          <w:szCs w:val="21"/>
          <w:lang w:val="fr-CH"/>
        </w:rPr>
        <w:footnoteReference w:id="15"/>
      </w:r>
      <w:r w:rsidRPr="00BB6462">
        <w:rPr>
          <w:rFonts w:hint="eastAsia"/>
          <w:szCs w:val="21"/>
          <w:lang w:val="fr-CH"/>
        </w:rPr>
        <w:t xml:space="preserve"> </w:t>
      </w:r>
      <w:r w:rsidRPr="00BB6462">
        <w:rPr>
          <w:rFonts w:hint="eastAsia"/>
          <w:szCs w:val="21"/>
          <w:lang w:val="fr-CH"/>
        </w:rPr>
        <w:t>委员会委员认为对话有益，并感谢发言者所作的贡献。</w:t>
      </w:r>
    </w:p>
    <w:p w:rsidR="00C13183" w:rsidRPr="00BB6462" w:rsidRDefault="00C13183" w:rsidP="00C13183">
      <w:pPr>
        <w:pStyle w:val="SingleTxt"/>
        <w:rPr>
          <w:szCs w:val="21"/>
          <w:lang w:val="fr-CH"/>
        </w:rPr>
      </w:pPr>
      <w:r w:rsidRPr="00BB6462">
        <w:rPr>
          <w:rFonts w:hint="eastAsia"/>
          <w:szCs w:val="21"/>
          <w:lang w:val="fr-CH"/>
        </w:rPr>
        <w:t xml:space="preserve">50.  </w:t>
      </w:r>
      <w:r w:rsidRPr="00AC08C6">
        <w:rPr>
          <w:rFonts w:hint="eastAsia"/>
          <w:spacing w:val="-4"/>
          <w:szCs w:val="21"/>
          <w:lang w:val="fr-CH"/>
        </w:rPr>
        <w:t>在对报告进行辩论之后，委员会在</w:t>
      </w:r>
      <w:r w:rsidRPr="00AC08C6">
        <w:rPr>
          <w:rFonts w:hint="eastAsia"/>
          <w:spacing w:val="-4"/>
          <w:szCs w:val="21"/>
          <w:lang w:val="fr-CH"/>
        </w:rPr>
        <w:t>2015</w:t>
      </w:r>
      <w:r w:rsidRPr="00AC08C6">
        <w:rPr>
          <w:rFonts w:hint="eastAsia"/>
          <w:spacing w:val="-4"/>
          <w:szCs w:val="21"/>
          <w:lang w:val="fr-CH"/>
        </w:rPr>
        <w:t>年</w:t>
      </w:r>
      <w:r w:rsidRPr="00AC08C6">
        <w:rPr>
          <w:rFonts w:hint="eastAsia"/>
          <w:spacing w:val="-4"/>
          <w:szCs w:val="21"/>
          <w:lang w:val="fr-CH"/>
        </w:rPr>
        <w:t>5</w:t>
      </w:r>
      <w:r w:rsidRPr="00AC08C6">
        <w:rPr>
          <w:rFonts w:hint="eastAsia"/>
          <w:spacing w:val="-4"/>
          <w:szCs w:val="21"/>
          <w:lang w:val="fr-CH"/>
        </w:rPr>
        <w:t>月</w:t>
      </w:r>
      <w:r w:rsidRPr="00AC08C6">
        <w:rPr>
          <w:rFonts w:hint="eastAsia"/>
          <w:spacing w:val="-4"/>
          <w:szCs w:val="21"/>
          <w:lang w:val="fr-CH"/>
        </w:rPr>
        <w:t>12</w:t>
      </w:r>
      <w:r w:rsidRPr="00AC08C6">
        <w:rPr>
          <w:rFonts w:hint="eastAsia"/>
          <w:spacing w:val="-4"/>
          <w:szCs w:val="21"/>
          <w:lang w:val="fr-CH"/>
        </w:rPr>
        <w:t>日第</w:t>
      </w:r>
      <w:r w:rsidRPr="00AC08C6">
        <w:rPr>
          <w:rFonts w:hint="eastAsia"/>
          <w:spacing w:val="-4"/>
          <w:szCs w:val="21"/>
          <w:lang w:val="fr-CH"/>
        </w:rPr>
        <w:t>3249</w:t>
      </w:r>
      <w:r w:rsidRPr="00AC08C6">
        <w:rPr>
          <w:rFonts w:hint="eastAsia"/>
          <w:spacing w:val="-4"/>
          <w:szCs w:val="21"/>
          <w:lang w:val="fr-CH"/>
        </w:rPr>
        <w:t>次会议上决定将特别报告员</w:t>
      </w:r>
      <w:r w:rsidRPr="00801C67">
        <w:rPr>
          <w:rFonts w:hint="eastAsia"/>
          <w:spacing w:val="4"/>
          <w:szCs w:val="21"/>
          <w:lang w:val="fr-CH"/>
        </w:rPr>
        <w:t>第二次报</w:t>
      </w:r>
      <w:r w:rsidRPr="00801C67">
        <w:rPr>
          <w:rFonts w:hint="eastAsia"/>
        </w:rPr>
        <w:t>告中所载的指南草案</w:t>
      </w:r>
      <w:r w:rsidRPr="00801C67">
        <w:rPr>
          <w:rFonts w:hint="eastAsia"/>
        </w:rPr>
        <w:t>1</w:t>
      </w:r>
      <w:r w:rsidRPr="00801C67">
        <w:rPr>
          <w:rFonts w:hint="eastAsia"/>
        </w:rPr>
        <w:t>、</w:t>
      </w:r>
      <w:r w:rsidRPr="00801C67">
        <w:rPr>
          <w:rFonts w:hint="eastAsia"/>
        </w:rPr>
        <w:t>2</w:t>
      </w:r>
      <w:r w:rsidRPr="00801C67">
        <w:rPr>
          <w:rFonts w:hint="eastAsia"/>
        </w:rPr>
        <w:t>、</w:t>
      </w:r>
      <w:r w:rsidRPr="00801C67">
        <w:rPr>
          <w:rFonts w:hint="eastAsia"/>
        </w:rPr>
        <w:t>3</w:t>
      </w:r>
      <w:r w:rsidRPr="00801C67">
        <w:rPr>
          <w:rFonts w:hint="eastAsia"/>
        </w:rPr>
        <w:t>和</w:t>
      </w:r>
      <w:r w:rsidRPr="00801C67">
        <w:rPr>
          <w:rFonts w:hint="eastAsia"/>
        </w:rPr>
        <w:t>5</w:t>
      </w:r>
      <w:r w:rsidRPr="00801C67">
        <w:rPr>
          <w:rFonts w:hint="eastAsia"/>
        </w:rPr>
        <w:t>转交起草委员会，一项谅解是，结合可能的序言来审议指南草案</w:t>
      </w:r>
      <w:r w:rsidRPr="00801C67">
        <w:rPr>
          <w:rFonts w:hint="eastAsia"/>
        </w:rPr>
        <w:t>3</w:t>
      </w:r>
      <w:r w:rsidRPr="00801C67">
        <w:rPr>
          <w:rFonts w:hint="eastAsia"/>
          <w:spacing w:val="4"/>
          <w:szCs w:val="21"/>
          <w:lang w:val="fr-CH"/>
        </w:rPr>
        <w:t>。此外，特</w:t>
      </w:r>
      <w:r w:rsidRPr="00801C67">
        <w:rPr>
          <w:rFonts w:hint="eastAsia"/>
        </w:rPr>
        <w:t>别报告员提议</w:t>
      </w:r>
      <w:r w:rsidRPr="00801C67">
        <w:rPr>
          <w:rFonts w:hint="eastAsia"/>
          <w:spacing w:val="4"/>
          <w:szCs w:val="21"/>
          <w:lang w:val="fr-CH"/>
        </w:rPr>
        <w:t>，在</w:t>
      </w:r>
      <w:r w:rsidRPr="00801C67">
        <w:rPr>
          <w:rFonts w:hint="eastAsia"/>
          <w:spacing w:val="4"/>
          <w:szCs w:val="21"/>
          <w:lang w:val="fr-CH"/>
        </w:rPr>
        <w:t>2016</w:t>
      </w:r>
      <w:r w:rsidRPr="00801C67">
        <w:rPr>
          <w:rFonts w:hint="eastAsia"/>
          <w:spacing w:val="4"/>
          <w:szCs w:val="21"/>
          <w:lang w:val="fr-CH"/>
        </w:rPr>
        <w:t>年进行进一步分析之后，再由委员会向起草委员会转</w:t>
      </w:r>
      <w:r w:rsidRPr="00AC08C6">
        <w:rPr>
          <w:rFonts w:hint="eastAsia"/>
          <w:spacing w:val="-4"/>
          <w:szCs w:val="21"/>
          <w:lang w:val="fr-CH"/>
        </w:rPr>
        <w:t>交关于国家保护大气层一般义务的指南草案</w:t>
      </w:r>
      <w:r>
        <w:rPr>
          <w:rFonts w:hint="eastAsia"/>
          <w:szCs w:val="21"/>
          <w:lang w:val="fr-CH"/>
        </w:rPr>
        <w:t>4</w:t>
      </w:r>
      <w:r w:rsidRPr="00BB6462">
        <w:rPr>
          <w:rFonts w:hint="eastAsia"/>
          <w:szCs w:val="21"/>
          <w:lang w:val="fr-CH"/>
        </w:rPr>
        <w:t>。</w:t>
      </w:r>
      <w:r w:rsidRPr="003F1277">
        <w:rPr>
          <w:rStyle w:val="a3"/>
          <w:color w:val="0000CC"/>
          <w:szCs w:val="21"/>
          <w:lang w:val="fr-CH"/>
        </w:rPr>
        <w:footnoteReference w:id="16"/>
      </w:r>
    </w:p>
    <w:p w:rsidR="00C13183" w:rsidRPr="00BB6462" w:rsidRDefault="00C13183" w:rsidP="00C13183">
      <w:pPr>
        <w:pStyle w:val="SingleTxt"/>
        <w:rPr>
          <w:szCs w:val="21"/>
          <w:lang w:val="fr-CH"/>
        </w:rPr>
      </w:pPr>
      <w:r w:rsidRPr="00BB6462">
        <w:rPr>
          <w:rFonts w:hint="eastAsia"/>
          <w:szCs w:val="21"/>
          <w:lang w:val="fr-CH"/>
        </w:rPr>
        <w:t xml:space="preserve">51.  </w:t>
      </w:r>
      <w:r w:rsidRPr="00BB6462">
        <w:rPr>
          <w:rFonts w:hint="eastAsia"/>
          <w:szCs w:val="21"/>
          <w:lang w:val="fr-CH"/>
        </w:rPr>
        <w:t>委员会在</w:t>
      </w:r>
      <w:r w:rsidRPr="00BB6462">
        <w:rPr>
          <w:rFonts w:hint="eastAsia"/>
          <w:szCs w:val="21"/>
          <w:lang w:val="fr-CH"/>
        </w:rPr>
        <w:t>2015</w:t>
      </w:r>
      <w:r w:rsidRPr="00BB6462">
        <w:rPr>
          <w:rFonts w:hint="eastAsia"/>
          <w:szCs w:val="21"/>
          <w:lang w:val="fr-CH"/>
        </w:rPr>
        <w:t>年</w:t>
      </w:r>
      <w:r w:rsidRPr="00BB6462">
        <w:rPr>
          <w:rFonts w:hint="eastAsia"/>
          <w:szCs w:val="21"/>
          <w:lang w:val="fr-CH"/>
        </w:rPr>
        <w:t>6</w:t>
      </w:r>
      <w:r w:rsidRPr="00BB6462">
        <w:rPr>
          <w:rFonts w:hint="eastAsia"/>
          <w:szCs w:val="21"/>
          <w:lang w:val="fr-CH"/>
        </w:rPr>
        <w:t>月</w:t>
      </w:r>
      <w:r w:rsidRPr="00BB6462">
        <w:rPr>
          <w:rFonts w:hint="eastAsia"/>
          <w:szCs w:val="21"/>
          <w:lang w:val="fr-CH"/>
        </w:rPr>
        <w:t>2</w:t>
      </w:r>
      <w:r w:rsidRPr="00BB6462">
        <w:rPr>
          <w:rFonts w:hint="eastAsia"/>
          <w:szCs w:val="21"/>
          <w:lang w:val="fr-CH"/>
        </w:rPr>
        <w:t>日举行的第</w:t>
      </w:r>
      <w:r w:rsidRPr="00BB6462">
        <w:rPr>
          <w:rFonts w:hint="eastAsia"/>
          <w:szCs w:val="21"/>
          <w:lang w:val="fr-CH"/>
        </w:rPr>
        <w:t>3260</w:t>
      </w:r>
      <w:r w:rsidRPr="00BB6462">
        <w:rPr>
          <w:rFonts w:hint="eastAsia"/>
          <w:szCs w:val="21"/>
          <w:lang w:val="fr-CH"/>
        </w:rPr>
        <w:t>次会议上收到起草委员会的报告，并暂时通过了指南</w:t>
      </w:r>
      <w:r>
        <w:rPr>
          <w:rFonts w:hint="eastAsia"/>
          <w:szCs w:val="21"/>
          <w:lang w:val="fr-CH"/>
        </w:rPr>
        <w:t>草案</w:t>
      </w:r>
      <w:r w:rsidRPr="00BB6462">
        <w:rPr>
          <w:rFonts w:hint="eastAsia"/>
          <w:szCs w:val="21"/>
          <w:lang w:val="fr-CH"/>
        </w:rPr>
        <w:t>1</w:t>
      </w:r>
      <w:r w:rsidRPr="00BB6462">
        <w:rPr>
          <w:rFonts w:hint="eastAsia"/>
          <w:szCs w:val="21"/>
          <w:lang w:val="fr-CH"/>
        </w:rPr>
        <w:t>、</w:t>
      </w:r>
      <w:r w:rsidRPr="00BB6462">
        <w:rPr>
          <w:rFonts w:hint="eastAsia"/>
          <w:szCs w:val="21"/>
          <w:lang w:val="fr-CH"/>
        </w:rPr>
        <w:t>2</w:t>
      </w:r>
      <w:r w:rsidRPr="00BB6462">
        <w:rPr>
          <w:rFonts w:hint="eastAsia"/>
          <w:szCs w:val="21"/>
          <w:lang w:val="fr-CH"/>
        </w:rPr>
        <w:t>和</w:t>
      </w:r>
      <w:r w:rsidRPr="00BB6462">
        <w:rPr>
          <w:rFonts w:hint="eastAsia"/>
          <w:szCs w:val="21"/>
          <w:lang w:val="fr-CH"/>
        </w:rPr>
        <w:t>5</w:t>
      </w:r>
      <w:r w:rsidRPr="00BB6462">
        <w:rPr>
          <w:rFonts w:hint="eastAsia"/>
          <w:szCs w:val="21"/>
          <w:lang w:val="fr-CH"/>
        </w:rPr>
        <w:t>以及四个序言部分段落</w:t>
      </w:r>
      <w:r w:rsidRPr="00BB6462">
        <w:rPr>
          <w:rFonts w:hint="eastAsia"/>
          <w:szCs w:val="21"/>
          <w:lang w:val="fr-CH"/>
        </w:rPr>
        <w:t>(</w:t>
      </w:r>
      <w:r w:rsidRPr="00BB6462">
        <w:rPr>
          <w:rFonts w:hint="eastAsia"/>
          <w:szCs w:val="21"/>
          <w:lang w:val="fr-CH"/>
        </w:rPr>
        <w:t>见下文第</w:t>
      </w:r>
      <w:r w:rsidRPr="00BB6462">
        <w:rPr>
          <w:rFonts w:hint="eastAsia"/>
          <w:szCs w:val="21"/>
          <w:lang w:val="fr-CH"/>
        </w:rPr>
        <w:t>C.1</w:t>
      </w:r>
      <w:r w:rsidRPr="00BB6462">
        <w:rPr>
          <w:rFonts w:hint="eastAsia"/>
          <w:szCs w:val="21"/>
          <w:lang w:val="fr-CH"/>
        </w:rPr>
        <w:t>节</w:t>
      </w:r>
      <w:r w:rsidRPr="00BB6462">
        <w:rPr>
          <w:rFonts w:hint="eastAsia"/>
          <w:szCs w:val="21"/>
          <w:lang w:val="fr-CH"/>
        </w:rPr>
        <w:t>)</w:t>
      </w:r>
      <w:r w:rsidRPr="00BB6462">
        <w:rPr>
          <w:rFonts w:hint="eastAsia"/>
          <w:szCs w:val="21"/>
          <w:lang w:val="fr-CH"/>
        </w:rPr>
        <w:t>。</w:t>
      </w:r>
    </w:p>
    <w:p w:rsidR="00C13183" w:rsidRPr="00BB6462" w:rsidRDefault="00C13183" w:rsidP="00C13183">
      <w:pPr>
        <w:pStyle w:val="SingleTxt"/>
        <w:rPr>
          <w:szCs w:val="21"/>
          <w:lang w:val="fr-CH"/>
        </w:rPr>
      </w:pPr>
      <w:r w:rsidRPr="00BB6462">
        <w:rPr>
          <w:rFonts w:hint="eastAsia"/>
          <w:szCs w:val="21"/>
          <w:lang w:val="fr-CH"/>
        </w:rPr>
        <w:t xml:space="preserve">52.  </w:t>
      </w:r>
      <w:r w:rsidRPr="00BB6462">
        <w:rPr>
          <w:rFonts w:hint="eastAsia"/>
          <w:szCs w:val="21"/>
          <w:lang w:val="fr-CH"/>
        </w:rPr>
        <w:t>在</w:t>
      </w:r>
      <w:r w:rsidRPr="00BB6462">
        <w:rPr>
          <w:rFonts w:hint="eastAsia"/>
          <w:szCs w:val="21"/>
          <w:lang w:val="fr-CH"/>
        </w:rPr>
        <w:t>2015</w:t>
      </w:r>
      <w:r w:rsidRPr="00BB6462">
        <w:rPr>
          <w:rFonts w:hint="eastAsia"/>
          <w:szCs w:val="21"/>
          <w:lang w:val="fr-CH"/>
        </w:rPr>
        <w:t>年</w:t>
      </w:r>
      <w:r w:rsidRPr="00BB6462">
        <w:rPr>
          <w:rFonts w:hint="eastAsia"/>
          <w:szCs w:val="21"/>
          <w:lang w:val="fr-CH"/>
        </w:rPr>
        <w:t>7</w:t>
      </w:r>
      <w:r w:rsidRPr="00BB6462">
        <w:rPr>
          <w:rFonts w:hint="eastAsia"/>
          <w:szCs w:val="21"/>
          <w:lang w:val="fr-CH"/>
        </w:rPr>
        <w:t>月</w:t>
      </w:r>
      <w:r w:rsidRPr="00BB6462">
        <w:rPr>
          <w:rFonts w:hint="eastAsia"/>
          <w:szCs w:val="21"/>
          <w:lang w:val="fr-CH"/>
        </w:rPr>
        <w:t>5</w:t>
      </w:r>
      <w:r w:rsidRPr="00BB6462">
        <w:rPr>
          <w:rFonts w:hint="eastAsia"/>
          <w:szCs w:val="21"/>
          <w:lang w:val="fr-CH"/>
        </w:rPr>
        <w:t>日和</w:t>
      </w:r>
      <w:r w:rsidRPr="00BB6462">
        <w:rPr>
          <w:rFonts w:hint="eastAsia"/>
          <w:szCs w:val="21"/>
          <w:lang w:val="fr-CH"/>
        </w:rPr>
        <w:t>6</w:t>
      </w:r>
      <w:r w:rsidRPr="00BB6462">
        <w:rPr>
          <w:rFonts w:hint="eastAsia"/>
          <w:szCs w:val="21"/>
          <w:lang w:val="fr-CH"/>
        </w:rPr>
        <w:t>日的第</w:t>
      </w:r>
      <w:r w:rsidRPr="00BB6462">
        <w:rPr>
          <w:rFonts w:hint="eastAsia"/>
          <w:szCs w:val="21"/>
          <w:lang w:val="fr-CH"/>
        </w:rPr>
        <w:t>3287</w:t>
      </w:r>
      <w:r w:rsidRPr="00BB6462">
        <w:rPr>
          <w:rFonts w:hint="eastAsia"/>
          <w:szCs w:val="21"/>
          <w:lang w:val="fr-CH"/>
        </w:rPr>
        <w:t>次至第</w:t>
      </w:r>
      <w:r w:rsidRPr="00BB6462">
        <w:rPr>
          <w:rFonts w:hint="eastAsia"/>
          <w:szCs w:val="21"/>
          <w:lang w:val="fr-CH"/>
        </w:rPr>
        <w:t>3228</w:t>
      </w:r>
      <w:r w:rsidRPr="00BB6462">
        <w:rPr>
          <w:rFonts w:hint="eastAsia"/>
          <w:szCs w:val="21"/>
          <w:lang w:val="fr-CH"/>
        </w:rPr>
        <w:t>次会议上，委员会通过了本届会议暂时通过的指南草案的评注</w:t>
      </w:r>
      <w:r w:rsidRPr="00BB6462">
        <w:rPr>
          <w:rFonts w:hint="eastAsia"/>
          <w:szCs w:val="21"/>
          <w:lang w:val="fr-CH"/>
        </w:rPr>
        <w:t>(</w:t>
      </w:r>
      <w:r w:rsidRPr="00BB6462">
        <w:rPr>
          <w:rFonts w:hint="eastAsia"/>
          <w:szCs w:val="21"/>
          <w:lang w:val="fr-CH"/>
        </w:rPr>
        <w:t>见下文第</w:t>
      </w:r>
      <w:r w:rsidRPr="00BB6462">
        <w:rPr>
          <w:rFonts w:hint="eastAsia"/>
          <w:szCs w:val="21"/>
          <w:lang w:val="fr-CH"/>
        </w:rPr>
        <w:t>C.2</w:t>
      </w:r>
      <w:r w:rsidRPr="00BB6462">
        <w:rPr>
          <w:rFonts w:hint="eastAsia"/>
          <w:szCs w:val="21"/>
          <w:lang w:val="fr-CH"/>
        </w:rPr>
        <w:t>节</w:t>
      </w:r>
      <w:r w:rsidRPr="00BB6462">
        <w:rPr>
          <w:rFonts w:hint="eastAsia"/>
          <w:szCs w:val="21"/>
          <w:lang w:val="fr-CH"/>
        </w:rPr>
        <w:t>)</w:t>
      </w:r>
      <w:r w:rsidRPr="00BB6462">
        <w:rPr>
          <w:rFonts w:hint="eastAsia"/>
          <w:szCs w:val="21"/>
          <w:lang w:val="fr-CH"/>
        </w:rPr>
        <w:t>。</w:t>
      </w:r>
    </w:p>
    <w:p w:rsidR="00C13183" w:rsidRPr="00E63C93"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E63C93"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BB6462" w:rsidRDefault="00C13183" w:rsidP="00C1318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BB6462">
        <w:rPr>
          <w:rFonts w:hint="eastAsia"/>
          <w:lang w:val="fr-CH"/>
        </w:rPr>
        <w:tab/>
        <w:t>C.</w:t>
      </w:r>
      <w:r w:rsidRPr="00BB6462">
        <w:rPr>
          <w:rFonts w:hint="eastAsia"/>
          <w:lang w:val="fr-CH"/>
        </w:rPr>
        <w:tab/>
        <w:t>委员会迄今为止暂时通过的指南草案案文及序言部分段落</w:t>
      </w:r>
    </w:p>
    <w:p w:rsidR="00C13183" w:rsidRPr="00E63C93" w:rsidRDefault="00C13183" w:rsidP="00C13183">
      <w:pPr>
        <w:pStyle w:val="SingleTxt"/>
        <w:spacing w:after="0" w:line="120" w:lineRule="exact"/>
        <w:rPr>
          <w:sz w:val="10"/>
          <w:szCs w:val="21"/>
          <w:lang w:val="fr-CH"/>
        </w:rPr>
      </w:pPr>
    </w:p>
    <w:p w:rsidR="00C13183" w:rsidRPr="00E63C93" w:rsidRDefault="00C13183" w:rsidP="00C13183">
      <w:pPr>
        <w:pStyle w:val="SingleTxt"/>
        <w:spacing w:after="0" w:line="120" w:lineRule="exact"/>
        <w:rPr>
          <w:sz w:val="10"/>
          <w:szCs w:val="21"/>
          <w:lang w:val="fr-CH"/>
        </w:rPr>
      </w:pPr>
    </w:p>
    <w:p w:rsidR="00C13183" w:rsidRPr="00BB6462" w:rsidRDefault="00C13183" w:rsidP="00C1318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BB6462">
        <w:rPr>
          <w:rFonts w:hint="eastAsia"/>
          <w:lang w:val="fr-CH"/>
        </w:rPr>
        <w:tab/>
        <w:t>1.</w:t>
      </w:r>
      <w:r w:rsidRPr="00BB6462">
        <w:rPr>
          <w:rFonts w:hint="eastAsia"/>
          <w:lang w:val="fr-CH"/>
        </w:rPr>
        <w:tab/>
        <w:t>指南草案案文及序言部分段落</w:t>
      </w:r>
    </w:p>
    <w:p w:rsidR="00C13183" w:rsidRPr="00E63C93" w:rsidRDefault="00C13183" w:rsidP="00C13183">
      <w:pPr>
        <w:pStyle w:val="SingleTxt"/>
        <w:spacing w:after="0" w:line="120" w:lineRule="exact"/>
        <w:rPr>
          <w:sz w:val="10"/>
          <w:szCs w:val="21"/>
          <w:lang w:val="fr-CH"/>
        </w:rPr>
      </w:pPr>
    </w:p>
    <w:p w:rsidR="00C13183" w:rsidRPr="00E63C93" w:rsidRDefault="00C13183" w:rsidP="00C13183">
      <w:pPr>
        <w:pStyle w:val="SingleTxt"/>
        <w:spacing w:after="0" w:line="120" w:lineRule="exact"/>
        <w:rPr>
          <w:sz w:val="10"/>
          <w:szCs w:val="21"/>
          <w:lang w:val="fr-CH"/>
        </w:rPr>
      </w:pPr>
    </w:p>
    <w:p w:rsidR="00C13183" w:rsidRPr="00BB6462" w:rsidRDefault="00C13183" w:rsidP="00C13183">
      <w:pPr>
        <w:pStyle w:val="SingleTxt"/>
        <w:rPr>
          <w:szCs w:val="21"/>
          <w:lang w:val="fr-CH"/>
        </w:rPr>
      </w:pPr>
      <w:r w:rsidRPr="00BB6462">
        <w:rPr>
          <w:rFonts w:hint="eastAsia"/>
          <w:szCs w:val="21"/>
          <w:lang w:val="fr-CH"/>
        </w:rPr>
        <w:t xml:space="preserve">53.  </w:t>
      </w:r>
      <w:r w:rsidRPr="00BB6462">
        <w:rPr>
          <w:rFonts w:hint="eastAsia"/>
          <w:szCs w:val="21"/>
          <w:lang w:val="fr-CH"/>
        </w:rPr>
        <w:t>委员会迄今为止暂时通过的关于保护大气层的指南草案案文及序言部分段落</w:t>
      </w:r>
      <w:r>
        <w:rPr>
          <w:rFonts w:hint="eastAsia"/>
          <w:szCs w:val="21"/>
          <w:lang w:val="fr-CH"/>
        </w:rPr>
        <w:t>载录如下。</w:t>
      </w:r>
    </w:p>
    <w:p w:rsidR="00C13183" w:rsidRPr="00BB6462" w:rsidRDefault="00C13183" w:rsidP="00C13183">
      <w:pPr>
        <w:pStyle w:val="Sponsors"/>
        <w:tabs>
          <w:tab w:val="clear" w:pos="1021"/>
          <w:tab w:val="clear" w:pos="1264"/>
          <w:tab w:val="clear" w:pos="1695"/>
          <w:tab w:val="clear" w:pos="2126"/>
          <w:tab w:val="clear" w:pos="2557"/>
        </w:tabs>
        <w:spacing w:after="140"/>
        <w:ind w:left="1701" w:hanging="1701"/>
      </w:pPr>
      <w:r w:rsidRPr="00BB6462">
        <w:tab/>
      </w:r>
      <w:r w:rsidRPr="00BB6462">
        <w:rPr>
          <w:rFonts w:hint="eastAsia"/>
        </w:rPr>
        <w:t>序言</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sidRPr="00BB6462">
        <w:rPr>
          <w:rFonts w:hint="eastAsia"/>
          <w:szCs w:val="21"/>
        </w:rPr>
        <w:t>……</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承认</w:t>
      </w:r>
      <w:r w:rsidRPr="00BB6462">
        <w:rPr>
          <w:rFonts w:hint="eastAsia"/>
          <w:szCs w:val="21"/>
        </w:rPr>
        <w:t>大气层是维持地球上的生命、人类健康和福祉以及水生和陆地生态系统所不可缺少的，</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铭记</w:t>
      </w:r>
      <w:r w:rsidRPr="00BB6462">
        <w:rPr>
          <w:rFonts w:hint="eastAsia"/>
          <w:szCs w:val="21"/>
        </w:rPr>
        <w:t>大气层中存在污染物质和降解物质的输送和扩散，</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因此认识到</w:t>
      </w:r>
      <w:r w:rsidRPr="00BB6462">
        <w:rPr>
          <w:rFonts w:hint="eastAsia"/>
          <w:szCs w:val="21"/>
        </w:rPr>
        <w:t>保护大气层免遭大气污染和大气层退化是整个国际社会面临的紧迫关切问题，</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lang w:val="fr-CH"/>
        </w:rPr>
      </w:pPr>
      <w:r w:rsidRPr="00BB6462">
        <w:rPr>
          <w:rFonts w:ascii="Time New Roman" w:eastAsia="楷体" w:hAnsi="Time New Roman" w:hint="eastAsia"/>
          <w:szCs w:val="21"/>
        </w:rPr>
        <w:lastRenderedPageBreak/>
        <w:t>忆及</w:t>
      </w:r>
      <w:r w:rsidRPr="00BB6462">
        <w:rPr>
          <w:rFonts w:hint="eastAsia"/>
          <w:szCs w:val="21"/>
        </w:rPr>
        <w:t>本指南草案不会影响有关的政治谈判，包括关于气候变化、臭氧消耗、远距离跨界空气污染的政治谈判，也不会试图“弥补”条约制度中存在的缺陷，或是给现行条约制度强加上条约制度尚不具有的法律规则或法律原则</w:t>
      </w:r>
      <w:r w:rsidRPr="00BB6462">
        <w:rPr>
          <w:rFonts w:hint="eastAsia"/>
          <w:szCs w:val="21"/>
          <w:lang w:val="fr-CH"/>
        </w:rPr>
        <w:t>，</w:t>
      </w:r>
      <w:r w:rsidRPr="003F1277">
        <w:rPr>
          <w:rStyle w:val="a3"/>
          <w:color w:val="0000CC"/>
          <w:szCs w:val="21"/>
          <w:lang w:val="fr-CH"/>
        </w:rPr>
        <w:footnoteReference w:id="17"/>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w:t>
      </w:r>
      <w:r w:rsidRPr="00E63C93">
        <w:rPr>
          <w:rFonts w:hint="eastAsia"/>
          <w:szCs w:val="21"/>
        </w:rPr>
        <w:t>之后</w:t>
      </w:r>
      <w:r w:rsidRPr="00BB6462">
        <w:rPr>
          <w:rFonts w:hint="eastAsia"/>
          <w:szCs w:val="21"/>
          <w:lang w:val="fr-CH"/>
        </w:rPr>
        <w:t>可增加其他段落或调整段落顺序。</w:t>
      </w:r>
      <w:r w:rsidRPr="00BB6462">
        <w:rPr>
          <w:rFonts w:hint="eastAsia"/>
          <w:szCs w:val="21"/>
          <w:lang w:val="fr-CH"/>
        </w:rPr>
        <w:t>]</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rPr>
        <w:t>……</w:t>
      </w:r>
    </w:p>
    <w:p w:rsidR="00C13183" w:rsidRPr="00E63C93"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rFonts w:ascii="黑体" w:eastAsia="黑体"/>
          <w:szCs w:val="21"/>
        </w:rPr>
      </w:pPr>
      <w:r w:rsidRPr="00E63C93">
        <w:rPr>
          <w:rFonts w:ascii="黑体" w:eastAsia="黑体" w:hint="eastAsia"/>
          <w:szCs w:val="21"/>
          <w:lang w:val="fr-CH"/>
        </w:rPr>
        <w:t>指南</w:t>
      </w:r>
      <w:r w:rsidRPr="00E63C93">
        <w:rPr>
          <w:rFonts w:asciiTheme="majorBidi" w:eastAsia="黑体" w:hAnsiTheme="majorBidi" w:cstheme="majorBidi"/>
          <w:szCs w:val="21"/>
          <w:lang w:val="fr-CH"/>
        </w:rPr>
        <w:t>1</w:t>
      </w:r>
      <w:r w:rsidRPr="00E63C93">
        <w:rPr>
          <w:rFonts w:ascii="黑体" w:eastAsia="黑体" w:hint="eastAsia"/>
          <w:szCs w:val="21"/>
          <w:lang w:val="fr-CH"/>
        </w:rPr>
        <w:br/>
      </w:r>
      <w:r w:rsidRPr="00E63C93">
        <w:rPr>
          <w:rFonts w:ascii="黑体" w:eastAsia="黑体" w:hint="eastAsia"/>
          <w:szCs w:val="21"/>
        </w:rPr>
        <w:t>用语</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Pr>
          <w:rFonts w:hint="eastAsia"/>
          <w:szCs w:val="21"/>
        </w:rPr>
        <w:t>为了本指南草案的目的</w:t>
      </w:r>
      <w:r w:rsidRPr="00BB6462">
        <w:rPr>
          <w:rFonts w:hint="eastAsia"/>
          <w:szCs w:val="21"/>
        </w:rPr>
        <w:t>，</w:t>
      </w:r>
    </w:p>
    <w:p w:rsidR="00C13183" w:rsidRPr="00BB6462" w:rsidRDefault="00C13183" w:rsidP="00F91618">
      <w:pPr>
        <w:pStyle w:val="SingleTxt"/>
        <w:numPr>
          <w:ilvl w:val="0"/>
          <w:numId w:val="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2552"/>
        </w:tabs>
        <w:ind w:firstLine="443"/>
        <w:rPr>
          <w:szCs w:val="21"/>
        </w:rPr>
      </w:pPr>
      <w:r w:rsidRPr="00BB6462">
        <w:rPr>
          <w:rFonts w:hint="eastAsia"/>
          <w:szCs w:val="21"/>
        </w:rPr>
        <w:t>“大气层”指环绕地球的气体圈层；</w:t>
      </w:r>
    </w:p>
    <w:p w:rsidR="00C13183" w:rsidRPr="00BB6462" w:rsidRDefault="00C13183" w:rsidP="00F91618">
      <w:pPr>
        <w:pStyle w:val="SingleTxt"/>
        <w:numPr>
          <w:ilvl w:val="0"/>
          <w:numId w:val="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2552"/>
        </w:tabs>
        <w:ind w:firstLine="443"/>
        <w:rPr>
          <w:szCs w:val="21"/>
          <w:lang w:val="fr-CH"/>
        </w:rPr>
      </w:pPr>
      <w:r w:rsidRPr="00BB6462">
        <w:rPr>
          <w:rFonts w:hint="eastAsia"/>
          <w:szCs w:val="21"/>
        </w:rPr>
        <w:t>“大气污染”指人类直接或间接向大气层引入或释放某些物质，产生的有害影响超出来源国，危及人类生命和健康以及地球自然环境的现象；</w:t>
      </w:r>
    </w:p>
    <w:p w:rsidR="00C13183" w:rsidRPr="00BB6462" w:rsidRDefault="00C13183" w:rsidP="00F91618">
      <w:pPr>
        <w:pStyle w:val="SingleTxt"/>
        <w:numPr>
          <w:ilvl w:val="0"/>
          <w:numId w:val="1"/>
        </w:numPr>
        <w:tabs>
          <w:tab w:val="clear" w:pos="1264"/>
          <w:tab w:val="clear" w:pos="1695"/>
          <w:tab w:val="clear" w:pos="2126"/>
          <w:tab w:val="clear" w:pos="2988"/>
          <w:tab w:val="clear" w:pos="3419"/>
          <w:tab w:val="clear" w:pos="3850"/>
          <w:tab w:val="clear" w:pos="4281"/>
          <w:tab w:val="clear" w:pos="4712"/>
          <w:tab w:val="clear" w:pos="5143"/>
          <w:tab w:val="clear" w:pos="5574"/>
          <w:tab w:val="clear" w:pos="6005"/>
          <w:tab w:val="clear" w:pos="6435"/>
        </w:tabs>
        <w:ind w:firstLine="443"/>
        <w:rPr>
          <w:szCs w:val="21"/>
          <w:lang w:val="fr-CH"/>
        </w:rPr>
      </w:pPr>
      <w:r w:rsidRPr="00BB6462">
        <w:rPr>
          <w:rFonts w:hint="eastAsia"/>
          <w:szCs w:val="21"/>
        </w:rPr>
        <w:t>“大气层退化”指人类直接或间接改变大气状况，产生较大有害影响，危及人类生命和健康以及地球自然环境的现象。</w:t>
      </w:r>
    </w:p>
    <w:p w:rsidR="00C13183" w:rsidRPr="00E63C93"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rFonts w:ascii="黑体" w:eastAsia="黑体"/>
          <w:szCs w:val="21"/>
          <w:lang w:val="fr-CH"/>
        </w:rPr>
      </w:pPr>
      <w:r w:rsidRPr="00E63C93">
        <w:rPr>
          <w:rFonts w:ascii="黑体" w:eastAsia="黑体" w:hint="eastAsia"/>
          <w:szCs w:val="21"/>
          <w:lang w:val="fr-CH"/>
        </w:rPr>
        <w:t>指南</w:t>
      </w:r>
      <w:r w:rsidRPr="00E63C93">
        <w:rPr>
          <w:rFonts w:asciiTheme="majorBidi" w:eastAsia="黑体" w:hAnsiTheme="majorBidi" w:cstheme="majorBidi"/>
          <w:szCs w:val="21"/>
          <w:lang w:val="fr-CH"/>
        </w:rPr>
        <w:t>2</w:t>
      </w:r>
      <w:r>
        <w:rPr>
          <w:rFonts w:asciiTheme="majorBidi" w:eastAsia="黑体" w:hAnsiTheme="majorBidi" w:cstheme="majorBidi" w:hint="eastAsia"/>
          <w:szCs w:val="21"/>
          <w:lang w:val="fr-CH"/>
        </w:rPr>
        <w:br/>
      </w:r>
      <w:r w:rsidRPr="00E63C93">
        <w:rPr>
          <w:rFonts w:ascii="黑体" w:eastAsia="黑体" w:hint="eastAsia"/>
          <w:szCs w:val="21"/>
          <w:lang w:val="fr-CH"/>
        </w:rPr>
        <w:t>指南的</w:t>
      </w:r>
      <w:r w:rsidRPr="00DF0371">
        <w:rPr>
          <w:rFonts w:ascii="黑体" w:eastAsia="黑体" w:hint="eastAsia"/>
          <w:szCs w:val="21"/>
        </w:rPr>
        <w:t>范围</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lang w:val="fr-CH"/>
        </w:rPr>
      </w:pPr>
      <w:r w:rsidRPr="00BB6462">
        <w:rPr>
          <w:rFonts w:hint="eastAsia"/>
          <w:lang w:val="fr-CH"/>
        </w:rPr>
        <w:t xml:space="preserve">1.  </w:t>
      </w:r>
      <w:r w:rsidRPr="00BB6462">
        <w:rPr>
          <w:rFonts w:hint="eastAsia"/>
        </w:rPr>
        <w:t>本</w:t>
      </w:r>
      <w:r w:rsidRPr="00E63C93">
        <w:rPr>
          <w:rFonts w:hint="eastAsia"/>
          <w:szCs w:val="21"/>
        </w:rPr>
        <w:t>指南</w:t>
      </w:r>
      <w:r w:rsidRPr="00BB6462">
        <w:rPr>
          <w:rFonts w:hint="eastAsia"/>
        </w:rPr>
        <w:t>草案</w:t>
      </w:r>
      <w:r w:rsidRPr="00BB6462">
        <w:rPr>
          <w:rFonts w:hint="eastAsia"/>
        </w:rPr>
        <w:t>[</w:t>
      </w:r>
      <w:r w:rsidRPr="00BB6462">
        <w:rPr>
          <w:rFonts w:hint="eastAsia"/>
        </w:rPr>
        <w:t>所载指导原则涉及</w:t>
      </w:r>
      <w:r w:rsidRPr="00BB6462">
        <w:rPr>
          <w:rFonts w:hint="eastAsia"/>
        </w:rPr>
        <w:t>][</w:t>
      </w:r>
      <w:r w:rsidRPr="00BB6462">
        <w:rPr>
          <w:rFonts w:hint="eastAsia"/>
        </w:rPr>
        <w:t>涉及</w:t>
      </w:r>
      <w:r w:rsidRPr="00BB6462">
        <w:rPr>
          <w:rFonts w:hint="eastAsia"/>
        </w:rPr>
        <w:t>]</w:t>
      </w:r>
      <w:r w:rsidRPr="003F1277">
        <w:rPr>
          <w:rStyle w:val="a3"/>
          <w:color w:val="0000CC"/>
          <w:szCs w:val="21"/>
          <w:lang w:val="fr-CH"/>
        </w:rPr>
        <w:footnoteReference w:id="18"/>
      </w:r>
      <w:r w:rsidR="00C4799D">
        <w:rPr>
          <w:rFonts w:hint="eastAsia"/>
        </w:rPr>
        <w:t xml:space="preserve"> </w:t>
      </w:r>
      <w:r w:rsidRPr="00BB6462">
        <w:rPr>
          <w:rFonts w:hint="eastAsia"/>
        </w:rPr>
        <w:t>保护大气层免遭大气污染和大气层退化</w:t>
      </w:r>
      <w:r w:rsidRPr="00BB6462">
        <w:rPr>
          <w:rFonts w:hint="eastAsia"/>
          <w:lang w:val="fr-CH"/>
        </w:rPr>
        <w:t>。</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 xml:space="preserve">2.  </w:t>
      </w:r>
      <w:r w:rsidRPr="00BB6462">
        <w:rPr>
          <w:rFonts w:hint="eastAsia"/>
          <w:szCs w:val="21"/>
        </w:rPr>
        <w:t>本指南草案不处理、但也不妨碍以下问题：污染者付费原则、谨慎原则、共同但有区别的责任、国家及其国民的赔偿责任，以及向发展中国家转让资金，包括知识产权</w:t>
      </w:r>
      <w:r w:rsidRPr="00BB6462">
        <w:rPr>
          <w:rFonts w:hint="eastAsia"/>
          <w:szCs w:val="21"/>
          <w:lang w:val="fr-CH"/>
        </w:rPr>
        <w:t>。</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 xml:space="preserve">3.  </w:t>
      </w:r>
      <w:r w:rsidRPr="00BB6462">
        <w:rPr>
          <w:rFonts w:hint="eastAsia"/>
          <w:szCs w:val="21"/>
        </w:rPr>
        <w:t>本指南草案不涉及具体物质，例如国家之间正在谈判的黑碳、对流层臭氧以及其他双重影响物质</w:t>
      </w:r>
      <w:r w:rsidRPr="00BB6462">
        <w:rPr>
          <w:rFonts w:hint="eastAsia"/>
          <w:szCs w:val="21"/>
          <w:lang w:val="fr-CH"/>
        </w:rPr>
        <w:t>。</w:t>
      </w:r>
    </w:p>
    <w:p w:rsidR="00C13183" w:rsidRPr="008F1257"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sidRPr="00BB6462">
        <w:rPr>
          <w:rFonts w:hint="eastAsia"/>
          <w:szCs w:val="21"/>
          <w:lang w:val="fr-CH"/>
        </w:rPr>
        <w:t xml:space="preserve">4.  </w:t>
      </w:r>
      <w:r w:rsidRPr="00BB6462">
        <w:rPr>
          <w:rFonts w:hint="eastAsia"/>
          <w:szCs w:val="21"/>
        </w:rPr>
        <w:t>本指南草案中的任何内容都不影响国际法规定的空气空间的地位，也不影</w:t>
      </w:r>
      <w:r w:rsidRPr="008F1257">
        <w:rPr>
          <w:rFonts w:hint="eastAsia"/>
          <w:szCs w:val="21"/>
        </w:rPr>
        <w:t>响与外层空间，包括外层空间划界有关的问题。</w:t>
      </w:r>
    </w:p>
    <w:p w:rsidR="00C13183" w:rsidRPr="00E63C93"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rFonts w:ascii="黑体" w:eastAsia="黑体"/>
          <w:szCs w:val="21"/>
          <w:lang w:val="fr-CH"/>
        </w:rPr>
      </w:pPr>
      <w:r w:rsidRPr="00E63C93">
        <w:rPr>
          <w:rFonts w:ascii="黑体" w:eastAsia="黑体" w:hint="eastAsia"/>
          <w:szCs w:val="21"/>
          <w:lang w:val="fr-CH"/>
        </w:rPr>
        <w:t>指南</w:t>
      </w:r>
      <w:r w:rsidRPr="00E63C93">
        <w:rPr>
          <w:rFonts w:asciiTheme="majorBidi" w:eastAsia="黑体" w:hAnsiTheme="majorBidi" w:cstheme="majorBidi"/>
          <w:szCs w:val="21"/>
          <w:lang w:val="fr-CH"/>
        </w:rPr>
        <w:t>5</w:t>
      </w:r>
      <w:r>
        <w:rPr>
          <w:rFonts w:ascii="黑体" w:eastAsia="黑体"/>
          <w:szCs w:val="21"/>
          <w:lang w:val="fr-CH"/>
        </w:rPr>
        <w:br/>
      </w:r>
      <w:r w:rsidRPr="00E63C93">
        <w:rPr>
          <w:rFonts w:ascii="黑体" w:eastAsia="黑体" w:hint="eastAsia"/>
          <w:szCs w:val="21"/>
          <w:lang w:val="fr-CH"/>
        </w:rPr>
        <w:t>国际合作</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1.</w:t>
      </w:r>
      <w:r>
        <w:rPr>
          <w:rFonts w:hint="eastAsia"/>
          <w:szCs w:val="21"/>
          <w:lang w:val="fr-CH"/>
        </w:rPr>
        <w:t xml:space="preserve">  </w:t>
      </w:r>
      <w:r w:rsidRPr="00BB6462">
        <w:rPr>
          <w:rFonts w:hint="eastAsia"/>
          <w:szCs w:val="21"/>
          <w:lang w:val="fr-CH"/>
        </w:rPr>
        <w:t>国家有义务就保护大气层免遭大气污染和大气层退化，酌情与其他国家或有关国际组织合作。</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2.</w:t>
      </w:r>
      <w:r>
        <w:rPr>
          <w:rFonts w:hint="eastAsia"/>
          <w:szCs w:val="21"/>
          <w:lang w:val="fr-CH"/>
        </w:rPr>
        <w:t xml:space="preserve">  </w:t>
      </w:r>
      <w:r w:rsidRPr="00BB6462">
        <w:rPr>
          <w:rFonts w:hint="eastAsia"/>
          <w:szCs w:val="21"/>
          <w:lang w:val="fr-CH"/>
        </w:rPr>
        <w:t>国家应就进一步增进关于大气污染和大气层退化的原因与影响的科学知识开展合作。合作应包括信息交流和联合监测。</w:t>
      </w:r>
    </w:p>
    <w:p w:rsidR="00C13183" w:rsidRPr="00DF0371" w:rsidRDefault="00C13183" w:rsidP="00C1318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DF0371" w:rsidRDefault="00C13183" w:rsidP="00C1318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13183" w:rsidRPr="00DF0371" w:rsidRDefault="00C13183" w:rsidP="00C1318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Pr>
          <w:rFonts w:hint="eastAsia"/>
          <w:lang w:val="fr-CH"/>
        </w:rPr>
        <w:tab/>
      </w:r>
      <w:r w:rsidRPr="00DF0371">
        <w:rPr>
          <w:rFonts w:hint="eastAsia"/>
          <w:lang w:val="fr-CH"/>
        </w:rPr>
        <w:t>2.</w:t>
      </w:r>
      <w:r w:rsidRPr="00DF0371">
        <w:rPr>
          <w:rFonts w:hint="eastAsia"/>
          <w:lang w:val="fr-CH"/>
        </w:rPr>
        <w:tab/>
        <w:t>委员会第六十七届会议暂时通过的指南草案和序言段落案文及其评注</w:t>
      </w:r>
    </w:p>
    <w:p w:rsidR="00C13183" w:rsidRPr="00DF0371" w:rsidRDefault="00C13183" w:rsidP="00C13183">
      <w:pPr>
        <w:pStyle w:val="SingleTxt"/>
        <w:spacing w:after="0" w:line="120" w:lineRule="exact"/>
        <w:rPr>
          <w:rFonts w:ascii="黑体" w:eastAsia="黑体"/>
          <w:spacing w:val="2"/>
          <w:sz w:val="10"/>
          <w:lang w:val="fr-CH"/>
        </w:rPr>
      </w:pPr>
    </w:p>
    <w:p w:rsidR="00C13183" w:rsidRPr="00DF0371" w:rsidRDefault="00C13183" w:rsidP="00C13183">
      <w:pPr>
        <w:pStyle w:val="SingleTxt"/>
        <w:spacing w:after="0" w:line="120" w:lineRule="exact"/>
        <w:rPr>
          <w:rFonts w:ascii="黑体" w:eastAsia="黑体"/>
          <w:spacing w:val="2"/>
          <w:sz w:val="10"/>
          <w:lang w:val="fr-CH"/>
        </w:rPr>
      </w:pPr>
    </w:p>
    <w:p w:rsidR="00C13183" w:rsidRPr="00BB6462" w:rsidRDefault="00C13183" w:rsidP="00C13183">
      <w:pPr>
        <w:pStyle w:val="SingleTxt"/>
        <w:rPr>
          <w:lang w:val="fr-CH"/>
        </w:rPr>
      </w:pPr>
      <w:r w:rsidRPr="00DF0371">
        <w:rPr>
          <w:rFonts w:hint="eastAsia"/>
          <w:lang w:val="fr-CH"/>
        </w:rPr>
        <w:t xml:space="preserve">54.  </w:t>
      </w:r>
      <w:r w:rsidRPr="00DF0371">
        <w:rPr>
          <w:rFonts w:hint="eastAsia"/>
          <w:lang w:val="fr-CH"/>
        </w:rPr>
        <w:t>委员会第六十七届会议暂时通过的指南草案和序言段落案文及其评注载录如</w:t>
      </w:r>
      <w:r w:rsidRPr="00BB6462">
        <w:rPr>
          <w:rFonts w:hint="eastAsia"/>
          <w:lang w:val="fr-CH"/>
        </w:rPr>
        <w:t>下。</w:t>
      </w:r>
    </w:p>
    <w:p w:rsidR="00C13183" w:rsidRPr="00DF0371" w:rsidRDefault="00C13183" w:rsidP="00C13183">
      <w:pPr>
        <w:pStyle w:val="Sponsors"/>
        <w:spacing w:line="120" w:lineRule="exact"/>
        <w:rPr>
          <w:b/>
          <w:bCs/>
          <w:sz w:val="10"/>
        </w:rPr>
      </w:pPr>
    </w:p>
    <w:p w:rsidR="00C13183" w:rsidRPr="00BB6462" w:rsidRDefault="00C13183" w:rsidP="00C13183">
      <w:pPr>
        <w:pStyle w:val="Sponsors"/>
        <w:spacing w:before="160" w:after="160" w:line="320" w:lineRule="exact"/>
        <w:rPr>
          <w:lang w:val="fr-CH"/>
        </w:rPr>
      </w:pPr>
      <w:r w:rsidRPr="00BB6462">
        <w:rPr>
          <w:rFonts w:hint="eastAsia"/>
          <w:b/>
          <w:bCs/>
        </w:rPr>
        <w:tab/>
      </w:r>
      <w:r w:rsidRPr="00BB6462">
        <w:rPr>
          <w:rFonts w:hint="eastAsia"/>
          <w:b/>
          <w:bCs/>
        </w:rPr>
        <w:tab/>
      </w:r>
      <w:r w:rsidRPr="00BB6462">
        <w:rPr>
          <w:rFonts w:hint="eastAsia"/>
          <w:lang w:val="fr-CH"/>
        </w:rPr>
        <w:t>总</w:t>
      </w:r>
      <w:r w:rsidRPr="00BB6462">
        <w:rPr>
          <w:lang w:val="fr-CH"/>
        </w:rPr>
        <w:t>评注</w:t>
      </w:r>
    </w:p>
    <w:p w:rsidR="00C13183" w:rsidRPr="00DF0371" w:rsidRDefault="00C13183" w:rsidP="00C13183">
      <w:pPr>
        <w:pStyle w:val="SingleTxt"/>
        <w:spacing w:after="0" w:line="120" w:lineRule="exact"/>
        <w:rPr>
          <w:sz w:val="10"/>
          <w:szCs w:val="21"/>
        </w:rPr>
      </w:pPr>
    </w:p>
    <w:p w:rsidR="00C13183" w:rsidRPr="00BB6462" w:rsidRDefault="00C13183" w:rsidP="00C13183">
      <w:pPr>
        <w:pStyle w:val="SingleTxt"/>
        <w:ind w:firstLine="431"/>
        <w:rPr>
          <w:szCs w:val="21"/>
        </w:rPr>
      </w:pPr>
      <w:r w:rsidRPr="00BB6462">
        <w:rPr>
          <w:rFonts w:hint="eastAsia"/>
          <w:szCs w:val="21"/>
        </w:rPr>
        <w:t>委员会认识到充分照顾国际社会当前需要的重要性。人们承认，人类环境和自然环境都可能因大气层条件的某些改变而受到不利影响，这些改变主要由引入有害物质所致，造成跨界空气污染、臭氧层耗竭，以及最终导致气候变化的大气层条件改变。委员会意在通过国际法的逐步发展和编纂提供指南，协助国际社会处理与跨界和全球大气层保护有关的关键问题。委员会做这项工作，不会影响有关的政治谈判，包括关于气候变化、臭氧层消耗、远距离跨界空气污染的政治谈判，也不会试图“弥补”条约制度中存在的缺陷，或是给现行条约制度规定条约制度尚不具有的法律规定或法律原则。</w:t>
      </w:r>
    </w:p>
    <w:p w:rsidR="00C13183" w:rsidRPr="00DF0371" w:rsidRDefault="00C13183" w:rsidP="00C13183">
      <w:pPr>
        <w:pStyle w:val="Sponsors"/>
        <w:keepNext/>
        <w:keepLines/>
        <w:tabs>
          <w:tab w:val="clear" w:pos="1021"/>
          <w:tab w:val="clear" w:pos="1264"/>
          <w:tab w:val="clear" w:pos="1695"/>
          <w:tab w:val="clear" w:pos="2126"/>
          <w:tab w:val="clear" w:pos="2557"/>
        </w:tabs>
        <w:spacing w:after="140" w:line="320" w:lineRule="exact"/>
        <w:ind w:left="1701" w:hanging="1701"/>
      </w:pPr>
      <w:r w:rsidRPr="00DF0371">
        <w:rPr>
          <w:rFonts w:hint="eastAsia"/>
        </w:rPr>
        <w:tab/>
        <w:t>序言</w:t>
      </w:r>
    </w:p>
    <w:p w:rsidR="00C13183" w:rsidRPr="00DF0371" w:rsidRDefault="00C13183" w:rsidP="00C13183">
      <w:pPr>
        <w:pStyle w:val="Sponsors"/>
        <w:keepNext/>
        <w:keepLines/>
        <w:tabs>
          <w:tab w:val="clear" w:pos="1021"/>
          <w:tab w:val="clear" w:pos="1264"/>
          <w:tab w:val="clear" w:pos="1695"/>
          <w:tab w:val="clear" w:pos="2126"/>
          <w:tab w:val="clear" w:pos="2557"/>
        </w:tabs>
        <w:spacing w:after="140" w:line="320" w:lineRule="exact"/>
        <w:ind w:left="1701" w:hanging="1701"/>
      </w:pPr>
      <w:r w:rsidRPr="00DF0371">
        <w:tab/>
      </w:r>
      <w:r w:rsidRPr="00DF0371">
        <w:rPr>
          <w:rFonts w:hint="eastAsia"/>
        </w:rPr>
        <w:t>……</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承认</w:t>
      </w:r>
      <w:r w:rsidRPr="00BB6462">
        <w:rPr>
          <w:rFonts w:hint="eastAsia"/>
          <w:szCs w:val="21"/>
        </w:rPr>
        <w:t>大气层是维持地球上的生命、人类健康和福祉以及水生和陆地生态系统所不可缺少的，</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铭记</w:t>
      </w:r>
      <w:r w:rsidRPr="00BB6462">
        <w:rPr>
          <w:rFonts w:hint="eastAsia"/>
          <w:szCs w:val="21"/>
        </w:rPr>
        <w:t>大气层中存在污染物质和降解物质的输送和扩散，</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因此认识到</w:t>
      </w:r>
      <w:r w:rsidRPr="00BB6462">
        <w:rPr>
          <w:rFonts w:hint="eastAsia"/>
          <w:szCs w:val="21"/>
        </w:rPr>
        <w:t>保护大气层免遭大气污染和大气层退化是整个国际社会面临的紧迫关切问题，</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ascii="Time New Roman" w:eastAsia="楷体" w:hAnsi="Time New Roman" w:hint="eastAsia"/>
          <w:szCs w:val="21"/>
        </w:rPr>
        <w:t>忆及</w:t>
      </w:r>
      <w:r w:rsidRPr="00BB6462">
        <w:rPr>
          <w:rFonts w:hint="eastAsia"/>
          <w:szCs w:val="21"/>
        </w:rPr>
        <w:t>本指南</w:t>
      </w:r>
      <w:r w:rsidRPr="00D9224C">
        <w:rPr>
          <w:rFonts w:hint="eastAsia"/>
          <w:spacing w:val="2"/>
          <w:szCs w:val="21"/>
        </w:rPr>
        <w:t>草案不会影响有关的政治谈判，包括关于气候变化、臭氧层消耗、远距离跨界空气污染的政治谈判，也不会试图“弥补”条约制度中存在的缺陷，或是给现行条约制度规定条约制度尚</w:t>
      </w:r>
      <w:r w:rsidRPr="00BB6462">
        <w:rPr>
          <w:rFonts w:hint="eastAsia"/>
          <w:szCs w:val="21"/>
        </w:rPr>
        <w:t>不具有的法律规则或法律原则，</w:t>
      </w:r>
      <w:r w:rsidRPr="003F1277">
        <w:rPr>
          <w:rStyle w:val="a3"/>
          <w:color w:val="0000CC"/>
          <w:szCs w:val="21"/>
        </w:rPr>
        <w:footnoteReference w:id="19"/>
      </w:r>
    </w:p>
    <w:p w:rsidR="00C13183"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BB6462">
        <w:rPr>
          <w:rFonts w:hint="eastAsia"/>
          <w:szCs w:val="21"/>
          <w:lang w:val="fr-CH"/>
        </w:rPr>
        <w:t>[</w:t>
      </w:r>
      <w:r w:rsidRPr="00BB6462">
        <w:rPr>
          <w:rFonts w:hint="eastAsia"/>
          <w:szCs w:val="21"/>
          <w:lang w:val="fr-CH"/>
        </w:rPr>
        <w:t>之后可增加其他段落或调整段落顺序。</w:t>
      </w:r>
      <w:r w:rsidRPr="00BB6462">
        <w:rPr>
          <w:rFonts w:hint="eastAsia"/>
          <w:szCs w:val="21"/>
          <w:lang w:val="fr-CH"/>
        </w:rPr>
        <w:t>]</w:t>
      </w:r>
    </w:p>
    <w:p w:rsidR="000138E0" w:rsidRPr="00DF0371" w:rsidRDefault="000138E0"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lang w:val="fr-CH"/>
        </w:rPr>
      </w:pPr>
      <w:r w:rsidRPr="00DF0371">
        <w:rPr>
          <w:rFonts w:hint="eastAsia"/>
        </w:rPr>
        <w:t>……</w:t>
      </w:r>
    </w:p>
    <w:p w:rsidR="00C13183" w:rsidRPr="00DF0371" w:rsidRDefault="00C13183" w:rsidP="00C13183">
      <w:pPr>
        <w:pStyle w:val="Sponsors"/>
        <w:spacing w:line="120" w:lineRule="exact"/>
        <w:rPr>
          <w:b/>
          <w:bCs/>
          <w:sz w:val="10"/>
        </w:rPr>
      </w:pPr>
    </w:p>
    <w:p w:rsidR="00C13183" w:rsidRPr="00DF0371" w:rsidRDefault="00C13183" w:rsidP="00C13183">
      <w:pPr>
        <w:pStyle w:val="Sponsors"/>
        <w:keepNext/>
        <w:keepLines/>
        <w:spacing w:line="320" w:lineRule="exact"/>
      </w:pPr>
      <w:r w:rsidRPr="00DF0371">
        <w:rPr>
          <w:rFonts w:hint="eastAsia"/>
        </w:rPr>
        <w:lastRenderedPageBreak/>
        <w:tab/>
      </w:r>
      <w:r w:rsidRPr="00DF0371">
        <w:rPr>
          <w:rFonts w:hint="eastAsia"/>
        </w:rPr>
        <w:tab/>
        <w:t>评注</w:t>
      </w:r>
    </w:p>
    <w:p w:rsidR="00C13183" w:rsidRPr="00DF0371" w:rsidRDefault="00C13183" w:rsidP="00C13183">
      <w:pPr>
        <w:pStyle w:val="SingleTxt"/>
        <w:keepNext/>
        <w:keepLines/>
        <w:spacing w:after="0" w:line="120" w:lineRule="exact"/>
        <w:rPr>
          <w:sz w:val="10"/>
          <w:szCs w:val="21"/>
        </w:rPr>
      </w:pPr>
    </w:p>
    <w:p w:rsidR="00C13183" w:rsidRPr="00BB6462" w:rsidRDefault="00C13183" w:rsidP="00C13183">
      <w:pPr>
        <w:pStyle w:val="SingleTxt"/>
        <w:keepNext/>
        <w:keepLines/>
        <w:rPr>
          <w:szCs w:val="21"/>
        </w:rPr>
      </w:pPr>
      <w:r w:rsidRPr="00BB6462">
        <w:rPr>
          <w:rFonts w:hint="eastAsia"/>
          <w:szCs w:val="21"/>
        </w:rPr>
        <w:t xml:space="preserve">(1)  </w:t>
      </w:r>
      <w:r w:rsidRPr="00BB6462">
        <w:rPr>
          <w:rFonts w:hint="eastAsia"/>
          <w:szCs w:val="21"/>
        </w:rPr>
        <w:t>在以往情况下，委员会在结束某个专题的工作结束时拟订序言部分。</w:t>
      </w:r>
      <w:r w:rsidRPr="003F1277">
        <w:rPr>
          <w:rStyle w:val="a3"/>
          <w:color w:val="0000CC"/>
          <w:szCs w:val="21"/>
        </w:rPr>
        <w:footnoteReference w:id="20"/>
      </w:r>
      <w:r>
        <w:rPr>
          <w:rFonts w:hint="eastAsia"/>
          <w:szCs w:val="21"/>
        </w:rPr>
        <w:t xml:space="preserve"> </w:t>
      </w:r>
      <w:r w:rsidRPr="00BB6462">
        <w:rPr>
          <w:rFonts w:hint="eastAsia"/>
          <w:szCs w:val="21"/>
        </w:rPr>
        <w:t>这次的情况是，委员会在</w:t>
      </w:r>
      <w:r w:rsidRPr="00BB6462">
        <w:rPr>
          <w:rFonts w:hint="eastAsia"/>
          <w:szCs w:val="21"/>
        </w:rPr>
        <w:t>2015</w:t>
      </w:r>
      <w:r w:rsidRPr="00BB6462">
        <w:rPr>
          <w:rFonts w:hint="eastAsia"/>
          <w:szCs w:val="21"/>
        </w:rPr>
        <w:t>年</w:t>
      </w:r>
      <w:r w:rsidRPr="00BB6462">
        <w:rPr>
          <w:rFonts w:hint="eastAsia"/>
          <w:szCs w:val="21"/>
        </w:rPr>
        <w:t>5</w:t>
      </w:r>
      <w:r w:rsidRPr="00BB6462">
        <w:rPr>
          <w:rFonts w:hint="eastAsia"/>
          <w:szCs w:val="21"/>
        </w:rPr>
        <w:t>月</w:t>
      </w:r>
      <w:r w:rsidRPr="00BB6462">
        <w:rPr>
          <w:rFonts w:hint="eastAsia"/>
          <w:szCs w:val="21"/>
        </w:rPr>
        <w:t>12</w:t>
      </w:r>
      <w:r w:rsidRPr="00BB6462">
        <w:rPr>
          <w:rFonts w:hint="eastAsia"/>
          <w:szCs w:val="21"/>
        </w:rPr>
        <w:t>日第</w:t>
      </w:r>
      <w:r w:rsidRPr="00BB6462">
        <w:rPr>
          <w:rFonts w:hint="eastAsia"/>
          <w:szCs w:val="21"/>
        </w:rPr>
        <w:t>3249</w:t>
      </w:r>
      <w:r w:rsidRPr="00BB6462">
        <w:rPr>
          <w:rFonts w:hint="eastAsia"/>
          <w:szCs w:val="21"/>
        </w:rPr>
        <w:t>次会议上决定将特别报告员第二份报告所载指南草案</w:t>
      </w:r>
      <w:r>
        <w:rPr>
          <w:rFonts w:hint="eastAsia"/>
          <w:szCs w:val="21"/>
        </w:rPr>
        <w:t>3 (</w:t>
      </w:r>
      <w:r w:rsidRPr="00BB6462">
        <w:rPr>
          <w:rFonts w:hint="eastAsia"/>
          <w:szCs w:val="21"/>
        </w:rPr>
        <w:t>人类</w:t>
      </w:r>
      <w:r>
        <w:rPr>
          <w:rFonts w:hint="eastAsia"/>
          <w:szCs w:val="21"/>
        </w:rPr>
        <w:t>的共同关切</w:t>
      </w:r>
      <w:r>
        <w:rPr>
          <w:rFonts w:hint="eastAsia"/>
          <w:szCs w:val="21"/>
        </w:rPr>
        <w:t>)</w:t>
      </w:r>
      <w:r w:rsidRPr="00BB6462">
        <w:rPr>
          <w:rFonts w:hint="eastAsia"/>
          <w:szCs w:val="21"/>
        </w:rPr>
        <w:t>转交起草委员会，与可能拟订的序言一并审议。因此，拟出了反映现阶段审议情况的序言部分，与此相关的谅解是，随着工作的进展，还可能增加序言段落。</w:t>
      </w:r>
    </w:p>
    <w:p w:rsidR="00C13183" w:rsidRPr="00BB6462" w:rsidRDefault="00C13183" w:rsidP="00C13183">
      <w:pPr>
        <w:pStyle w:val="SingleTxt"/>
        <w:rPr>
          <w:szCs w:val="21"/>
        </w:rPr>
      </w:pPr>
      <w:r w:rsidRPr="00BB6462">
        <w:rPr>
          <w:rFonts w:hint="eastAsia"/>
          <w:szCs w:val="21"/>
        </w:rPr>
        <w:t xml:space="preserve">(2)  </w:t>
      </w:r>
      <w:r w:rsidRPr="00BB6462">
        <w:rPr>
          <w:rFonts w:hint="eastAsia"/>
          <w:szCs w:val="21"/>
        </w:rPr>
        <w:t>序言部分是要为指南草案提供一个背景框架。第一序言段是总括性的，承认大气层是维持地球上的生命、人类健康和福祉以及水生和陆地生态系统所不可或缺的。大气层是地球最大的单一自然资源，也是最重要的自然资源之一。原联合国自然资源委员会、</w:t>
      </w:r>
      <w:r w:rsidRPr="003F1277">
        <w:rPr>
          <w:rStyle w:val="a3"/>
          <w:color w:val="0000CC"/>
          <w:szCs w:val="21"/>
        </w:rPr>
        <w:footnoteReference w:id="21"/>
      </w:r>
      <w:r w:rsidRPr="00BB6462">
        <w:rPr>
          <w:rFonts w:hint="eastAsia"/>
          <w:szCs w:val="21"/>
        </w:rPr>
        <w:t xml:space="preserve"> 1972</w:t>
      </w:r>
      <w:r w:rsidRPr="00BB6462">
        <w:rPr>
          <w:rFonts w:hint="eastAsia"/>
          <w:szCs w:val="21"/>
        </w:rPr>
        <w:t>年《斯德哥尔摩宣言》</w:t>
      </w:r>
      <w:r w:rsidRPr="003F1277">
        <w:rPr>
          <w:rStyle w:val="a3"/>
          <w:color w:val="0000CC"/>
          <w:szCs w:val="21"/>
        </w:rPr>
        <w:footnoteReference w:id="22"/>
      </w:r>
      <w:r w:rsidRPr="00BB6462">
        <w:rPr>
          <w:rFonts w:hint="eastAsia"/>
          <w:szCs w:val="21"/>
        </w:rPr>
        <w:t xml:space="preserve"> </w:t>
      </w:r>
      <w:r w:rsidRPr="00BB6462">
        <w:rPr>
          <w:rFonts w:hint="eastAsia"/>
          <w:szCs w:val="21"/>
        </w:rPr>
        <w:t>及</w:t>
      </w:r>
      <w:r w:rsidRPr="00BB6462">
        <w:rPr>
          <w:rFonts w:hint="eastAsia"/>
          <w:szCs w:val="21"/>
        </w:rPr>
        <w:t>1982</w:t>
      </w:r>
      <w:r w:rsidRPr="00BB6462">
        <w:rPr>
          <w:rFonts w:hint="eastAsia"/>
          <w:szCs w:val="21"/>
        </w:rPr>
        <w:t>年《世界大自然宪章》</w:t>
      </w:r>
      <w:r w:rsidRPr="003F1277">
        <w:rPr>
          <w:rStyle w:val="a3"/>
          <w:color w:val="0000CC"/>
          <w:szCs w:val="21"/>
        </w:rPr>
        <w:footnoteReference w:id="23"/>
      </w:r>
      <w:r>
        <w:rPr>
          <w:rFonts w:hint="eastAsia"/>
          <w:szCs w:val="21"/>
        </w:rPr>
        <w:t xml:space="preserve"> </w:t>
      </w:r>
      <w:r w:rsidRPr="00BB6462">
        <w:rPr>
          <w:rFonts w:hint="eastAsia"/>
          <w:szCs w:val="21"/>
        </w:rPr>
        <w:t>将之与矿物、能源和水资源并列，视为自然资源。大气层为人类、植物和动物在地球上生存提供了至关重要的可再生的“流动资源”；它还被用作运输和传播的媒介。大气层过去长期被视为无限、非专属的资源，因为存在一种认为人人可在不剥夺他人的情况下从中受益的假设。人们如今不再持有这种看法。</w:t>
      </w:r>
      <w:r w:rsidRPr="003F1277">
        <w:rPr>
          <w:rStyle w:val="a3"/>
          <w:color w:val="0000CC"/>
          <w:szCs w:val="21"/>
        </w:rPr>
        <w:footnoteReference w:id="24"/>
      </w:r>
      <w:r w:rsidRPr="00BB6462">
        <w:rPr>
          <w:rFonts w:hint="eastAsia"/>
          <w:szCs w:val="21"/>
        </w:rPr>
        <w:t xml:space="preserve"> </w:t>
      </w:r>
      <w:r w:rsidRPr="00BB6462">
        <w:rPr>
          <w:rFonts w:hint="eastAsia"/>
          <w:szCs w:val="21"/>
        </w:rPr>
        <w:t>必须牢记，大气层是一</w:t>
      </w:r>
      <w:r w:rsidRPr="00211423">
        <w:rPr>
          <w:rFonts w:hint="eastAsia"/>
          <w:szCs w:val="21"/>
        </w:rPr>
        <w:t>种吸收能力有限</w:t>
      </w:r>
      <w:r w:rsidRPr="00BB6462">
        <w:rPr>
          <w:rFonts w:hint="eastAsia"/>
          <w:szCs w:val="21"/>
        </w:rPr>
        <w:t>的有限资源。</w:t>
      </w:r>
    </w:p>
    <w:p w:rsidR="00C13183" w:rsidRPr="00BB6462" w:rsidRDefault="00C13183" w:rsidP="00C13183">
      <w:pPr>
        <w:pStyle w:val="SingleTxt"/>
        <w:rPr>
          <w:szCs w:val="21"/>
        </w:rPr>
      </w:pPr>
      <w:r w:rsidRPr="00BB6462">
        <w:rPr>
          <w:rFonts w:hint="eastAsia"/>
          <w:szCs w:val="21"/>
        </w:rPr>
        <w:t xml:space="preserve">(3)  </w:t>
      </w:r>
      <w:r w:rsidRPr="00BB6462">
        <w:rPr>
          <w:rFonts w:hint="eastAsia"/>
          <w:szCs w:val="21"/>
        </w:rPr>
        <w:t>第二序言段指出大气层作为污染物质和降解物质输送和扩散媒介的功能方面。委员会认为宜在序言部</w:t>
      </w:r>
      <w:r w:rsidRPr="00383FD8">
        <w:rPr>
          <w:rFonts w:hint="eastAsia"/>
          <w:spacing w:val="-4"/>
          <w:szCs w:val="21"/>
        </w:rPr>
        <w:t>分提及这个功能方面。这一决定反映了一种关切，即将功能方面包括在定义之中可能</w:t>
      </w:r>
      <w:r w:rsidRPr="00BB6462">
        <w:rPr>
          <w:rFonts w:hint="eastAsia"/>
          <w:szCs w:val="21"/>
        </w:rPr>
        <w:t>暗示这种输送和扩散是所希望的，但这不是委员会的意向。</w:t>
      </w:r>
      <w:r w:rsidRPr="00BB6462">
        <w:rPr>
          <w:rFonts w:hint="eastAsia"/>
          <w:szCs w:val="21"/>
        </w:rPr>
        <w:lastRenderedPageBreak/>
        <w:t>污染物质和降解物质的长途跨界输送被视为当今大气环境的主要问题之一，</w:t>
      </w:r>
      <w:r w:rsidRPr="003F1277">
        <w:rPr>
          <w:rStyle w:val="a3"/>
          <w:color w:val="0000CC"/>
          <w:szCs w:val="21"/>
        </w:rPr>
        <w:footnoteReference w:id="25"/>
      </w:r>
      <w:r w:rsidRPr="00BB6462">
        <w:rPr>
          <w:rFonts w:hint="eastAsia"/>
          <w:szCs w:val="21"/>
        </w:rPr>
        <w:t xml:space="preserve"> </w:t>
      </w:r>
      <w:r w:rsidRPr="00BB6462">
        <w:rPr>
          <w:rFonts w:hint="eastAsia"/>
          <w:szCs w:val="21"/>
        </w:rPr>
        <w:t>北极地区被认为是受有害污染物世界范围扩散影响的最为严重的地区之一。</w:t>
      </w:r>
      <w:r w:rsidRPr="003F1277">
        <w:rPr>
          <w:rStyle w:val="a3"/>
          <w:color w:val="0000CC"/>
          <w:szCs w:val="21"/>
        </w:rPr>
        <w:footnoteReference w:id="26"/>
      </w:r>
    </w:p>
    <w:p w:rsidR="00C13183" w:rsidRPr="00BB6462" w:rsidRDefault="00C13183" w:rsidP="00C13183">
      <w:pPr>
        <w:pStyle w:val="SingleTxt"/>
        <w:spacing w:after="90"/>
        <w:rPr>
          <w:szCs w:val="21"/>
        </w:rPr>
      </w:pPr>
      <w:r w:rsidRPr="00BB6462">
        <w:rPr>
          <w:rFonts w:hint="eastAsia"/>
          <w:szCs w:val="21"/>
        </w:rPr>
        <w:t xml:space="preserve">(4)  </w:t>
      </w:r>
      <w:r w:rsidRPr="00BB6462">
        <w:rPr>
          <w:rFonts w:hint="eastAsia"/>
          <w:szCs w:val="21"/>
        </w:rPr>
        <w:t>第三序言段，在铭记上述与大气层有关的问题的重要性的前提下，申明保护大气层免遭大气污染和大气层退化是“整个国际社会面临的紧迫关切问题”。虽然一些条约和文献表明对于“人类共同关切”概念存在一定程度的支持”，</w:t>
      </w:r>
      <w:r w:rsidRPr="003F1277">
        <w:rPr>
          <w:rStyle w:val="a3"/>
          <w:color w:val="0000CC"/>
          <w:szCs w:val="21"/>
        </w:rPr>
        <w:footnoteReference w:id="27"/>
      </w:r>
      <w:r w:rsidRPr="00BB6462">
        <w:rPr>
          <w:rFonts w:hint="eastAsia"/>
          <w:szCs w:val="21"/>
        </w:rPr>
        <w:t xml:space="preserve"> </w:t>
      </w:r>
      <w:r w:rsidRPr="00BB6462">
        <w:rPr>
          <w:rFonts w:hint="eastAsia"/>
          <w:szCs w:val="21"/>
        </w:rPr>
        <w:t>但委员会</w:t>
      </w:r>
      <w:r w:rsidRPr="00BB6462">
        <w:rPr>
          <w:rFonts w:hint="eastAsia"/>
          <w:szCs w:val="21"/>
        </w:rPr>
        <w:lastRenderedPageBreak/>
        <w:t>决定不用这个词语为问题定性，因为共同关切概念的法律后果在关于大气层的国际法发展的当前阶段尚不清楚。据认为，以事实性陈述来表术大气层问题的严重性这个国际社会关心的问题较妥，不宜用某种规范性的词句来表述。因此，在这方面采用了“整个国际社会面临的紧迫关切问题”这个表述。委员会常用这种表述作为为纳入长期</w:t>
      </w:r>
      <w:r w:rsidRPr="00BB6462">
        <w:rPr>
          <w:szCs w:val="21"/>
        </w:rPr>
        <w:t>工作方案</w:t>
      </w:r>
      <w:r w:rsidRPr="00BB6462">
        <w:rPr>
          <w:rFonts w:hint="eastAsia"/>
          <w:szCs w:val="21"/>
        </w:rPr>
        <w:t>选择新专题的判断标准之一。</w:t>
      </w:r>
      <w:r w:rsidRPr="003F1277">
        <w:rPr>
          <w:rStyle w:val="a3"/>
          <w:color w:val="0000CC"/>
          <w:szCs w:val="21"/>
        </w:rPr>
        <w:footnoteReference w:id="28"/>
      </w:r>
    </w:p>
    <w:p w:rsidR="00C13183" w:rsidRPr="00BB6462" w:rsidRDefault="00C13183" w:rsidP="00C13183">
      <w:pPr>
        <w:pStyle w:val="SingleTxt"/>
        <w:spacing w:after="90"/>
        <w:rPr>
          <w:szCs w:val="21"/>
        </w:rPr>
      </w:pPr>
      <w:r w:rsidRPr="00BB6462">
        <w:rPr>
          <w:rFonts w:hint="eastAsia"/>
          <w:szCs w:val="21"/>
        </w:rPr>
        <w:t xml:space="preserve">(5)  </w:t>
      </w:r>
      <w:r w:rsidRPr="00BB6462">
        <w:rPr>
          <w:rFonts w:hint="eastAsia"/>
          <w:szCs w:val="21"/>
        </w:rPr>
        <w:t>第四序言段取自委员会在</w:t>
      </w:r>
      <w:r w:rsidRPr="00BB6462">
        <w:rPr>
          <w:rFonts w:hint="eastAsia"/>
          <w:szCs w:val="21"/>
        </w:rPr>
        <w:t>2013</w:t>
      </w:r>
      <w:r w:rsidRPr="00BB6462">
        <w:rPr>
          <w:rFonts w:hint="eastAsia"/>
          <w:szCs w:val="21"/>
        </w:rPr>
        <w:t>年就本专题纳入第六十五届会议</w:t>
      </w:r>
      <w:r w:rsidRPr="00BB6462">
        <w:rPr>
          <w:szCs w:val="21"/>
        </w:rPr>
        <w:t>工作方案</w:t>
      </w:r>
      <w:r w:rsidRPr="00BB6462">
        <w:rPr>
          <w:rFonts w:hint="eastAsia"/>
          <w:szCs w:val="21"/>
        </w:rPr>
        <w:t>达成的谅解。委员会同意，本段的用语和位置将在委员会关于本专题的工作的以后一个阶段重新审视。</w:t>
      </w:r>
      <w:r w:rsidRPr="003F1277">
        <w:rPr>
          <w:rStyle w:val="a3"/>
          <w:color w:val="0000CC"/>
          <w:szCs w:val="21"/>
        </w:rPr>
        <w:footnoteReference w:id="29"/>
      </w:r>
    </w:p>
    <w:p w:rsidR="00C13183" w:rsidRPr="00BB6462" w:rsidRDefault="00C13183" w:rsidP="00C13183">
      <w:pPr>
        <w:pStyle w:val="SingleTxt"/>
        <w:spacing w:after="80"/>
        <w:rPr>
          <w:szCs w:val="21"/>
        </w:rPr>
      </w:pPr>
      <w:r w:rsidRPr="00BB6462">
        <w:rPr>
          <w:rFonts w:hint="eastAsia"/>
          <w:szCs w:val="21"/>
        </w:rPr>
        <w:t xml:space="preserve">(6)  </w:t>
      </w:r>
      <w:r w:rsidRPr="00BB6462">
        <w:rPr>
          <w:rFonts w:hint="eastAsia"/>
          <w:szCs w:val="21"/>
        </w:rPr>
        <w:t>以后可再增加一些段落，并调整段落顺序。</w:t>
      </w:r>
    </w:p>
    <w:p w:rsidR="00C13183" w:rsidRPr="00BB6462" w:rsidRDefault="00C13183" w:rsidP="00C13183">
      <w:pPr>
        <w:pStyle w:val="Sponsors"/>
        <w:keepNext/>
        <w:keepLines/>
        <w:tabs>
          <w:tab w:val="clear" w:pos="1021"/>
          <w:tab w:val="clear" w:pos="1264"/>
          <w:tab w:val="clear" w:pos="1695"/>
          <w:tab w:val="clear" w:pos="2126"/>
          <w:tab w:val="clear" w:pos="2557"/>
        </w:tabs>
        <w:spacing w:after="80" w:line="320" w:lineRule="exact"/>
        <w:ind w:left="1701" w:hanging="1701"/>
        <w:rPr>
          <w:szCs w:val="21"/>
        </w:rPr>
      </w:pPr>
      <w:r w:rsidRPr="00BB6462">
        <w:rPr>
          <w:rFonts w:hint="eastAsia"/>
          <w:szCs w:val="21"/>
        </w:rPr>
        <w:tab/>
        <w:t>指南</w:t>
      </w:r>
      <w:r w:rsidRPr="008F1257">
        <w:rPr>
          <w:rFonts w:asciiTheme="majorBidi" w:hAnsiTheme="majorBidi" w:cstheme="majorBidi"/>
          <w:szCs w:val="21"/>
        </w:rPr>
        <w:t>1</w:t>
      </w:r>
      <w:r w:rsidRPr="00BB6462">
        <w:rPr>
          <w:szCs w:val="21"/>
        </w:rPr>
        <w:br/>
      </w:r>
      <w:r w:rsidRPr="00BB6462">
        <w:rPr>
          <w:rFonts w:hint="eastAsia"/>
          <w:szCs w:val="21"/>
        </w:rPr>
        <w:t>用语</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80"/>
        <w:ind w:left="2127"/>
        <w:rPr>
          <w:szCs w:val="21"/>
        </w:rPr>
      </w:pPr>
      <w:r>
        <w:rPr>
          <w:rFonts w:hint="eastAsia"/>
          <w:szCs w:val="21"/>
        </w:rPr>
        <w:t>为了本指南草案的目的</w:t>
      </w:r>
      <w:r w:rsidRPr="00BB6462">
        <w:rPr>
          <w:rFonts w:hint="eastAsia"/>
          <w:szCs w:val="21"/>
        </w:rPr>
        <w:t>，</w:t>
      </w:r>
    </w:p>
    <w:p w:rsidR="00C13183" w:rsidRPr="00BB6462" w:rsidRDefault="00C13183" w:rsidP="00F91618">
      <w:pPr>
        <w:pStyle w:val="SingleTxt"/>
        <w:numPr>
          <w:ilvl w:val="0"/>
          <w:numId w:val="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2552"/>
        </w:tabs>
        <w:spacing w:after="80"/>
        <w:ind w:left="1701" w:firstLine="426"/>
        <w:rPr>
          <w:szCs w:val="21"/>
        </w:rPr>
      </w:pPr>
      <w:r w:rsidRPr="00BB6462">
        <w:rPr>
          <w:rFonts w:hint="eastAsia"/>
          <w:szCs w:val="21"/>
        </w:rPr>
        <w:t>“大气层”指环绕地球的气体圈层；</w:t>
      </w:r>
    </w:p>
    <w:p w:rsidR="00C13183" w:rsidRPr="00BB6462" w:rsidRDefault="00C13183" w:rsidP="00F91618">
      <w:pPr>
        <w:pStyle w:val="SingleTxt"/>
        <w:numPr>
          <w:ilvl w:val="0"/>
          <w:numId w:val="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2552"/>
        </w:tabs>
        <w:spacing w:after="80"/>
        <w:ind w:left="1701" w:firstLine="426"/>
        <w:rPr>
          <w:szCs w:val="21"/>
        </w:rPr>
      </w:pPr>
      <w:r w:rsidRPr="00BB6462">
        <w:rPr>
          <w:rFonts w:hint="eastAsia"/>
          <w:szCs w:val="21"/>
        </w:rPr>
        <w:t>“大气污染”指人类直接或间接向大气层引入或释放某些物质，产生的有害影响超出来源国，危及人类生命和健康以及地球自然环境的现象；</w:t>
      </w:r>
    </w:p>
    <w:p w:rsidR="00C13183" w:rsidRPr="00BB6462" w:rsidRDefault="00C13183" w:rsidP="00F91618">
      <w:pPr>
        <w:pStyle w:val="SingleTxt"/>
        <w:numPr>
          <w:ilvl w:val="0"/>
          <w:numId w:val="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2552"/>
        </w:tabs>
        <w:ind w:left="1701" w:firstLine="426"/>
        <w:rPr>
          <w:szCs w:val="21"/>
        </w:rPr>
      </w:pPr>
      <w:r w:rsidRPr="00BB6462">
        <w:rPr>
          <w:rFonts w:hint="eastAsia"/>
          <w:szCs w:val="21"/>
        </w:rPr>
        <w:t>“大气层退化”指人类直接或间接改变大气状况，产生较大有害影响，危及人类生命和健康以及地球自然环境的现象。</w:t>
      </w:r>
    </w:p>
    <w:p w:rsidR="00C13183" w:rsidRPr="00591DCA" w:rsidRDefault="00C13183" w:rsidP="00C13183">
      <w:pPr>
        <w:pStyle w:val="Sponsors"/>
        <w:spacing w:line="120" w:lineRule="exact"/>
        <w:rPr>
          <w:sz w:val="10"/>
        </w:rPr>
      </w:pPr>
    </w:p>
    <w:p w:rsidR="00C13183" w:rsidRPr="00BB6462" w:rsidRDefault="00C13183" w:rsidP="00C13183">
      <w:pPr>
        <w:pStyle w:val="Sponsors"/>
        <w:spacing w:line="320" w:lineRule="exact"/>
      </w:pPr>
      <w:r w:rsidRPr="00BB6462">
        <w:rPr>
          <w:rFonts w:hint="eastAsia"/>
        </w:rPr>
        <w:tab/>
      </w:r>
      <w:r w:rsidRPr="00BB6462">
        <w:rPr>
          <w:rFonts w:hint="eastAsia"/>
        </w:rPr>
        <w:tab/>
        <w:t>评注</w:t>
      </w:r>
    </w:p>
    <w:p w:rsidR="00C13183" w:rsidRPr="00591DCA" w:rsidRDefault="00C13183" w:rsidP="00C13183">
      <w:pPr>
        <w:pStyle w:val="SingleTxt"/>
        <w:spacing w:after="0" w:line="120" w:lineRule="exact"/>
        <w:rPr>
          <w:sz w:val="10"/>
          <w:szCs w:val="21"/>
        </w:rPr>
      </w:pPr>
    </w:p>
    <w:p w:rsidR="00C13183" w:rsidRPr="00BB6462" w:rsidRDefault="00C13183" w:rsidP="00C13183">
      <w:pPr>
        <w:pStyle w:val="SingleTxt"/>
        <w:rPr>
          <w:szCs w:val="21"/>
        </w:rPr>
      </w:pPr>
      <w:r w:rsidRPr="00BB6462">
        <w:rPr>
          <w:rFonts w:hint="eastAsia"/>
          <w:szCs w:val="21"/>
        </w:rPr>
        <w:t xml:space="preserve">(1)  </w:t>
      </w:r>
      <w:r w:rsidRPr="00BB6462">
        <w:rPr>
          <w:rFonts w:hint="eastAsia"/>
          <w:szCs w:val="21"/>
        </w:rPr>
        <w:t>委员会认为，出于实际需要，最好提供一项关于“用语”的指南草案，以便就本指南草案的涵盖范围达成共同的理解。提供这些用语仅是“</w:t>
      </w:r>
      <w:r>
        <w:rPr>
          <w:rFonts w:hint="eastAsia"/>
          <w:szCs w:val="21"/>
        </w:rPr>
        <w:t>为了本指南草案的目的</w:t>
      </w:r>
      <w:r w:rsidRPr="00BB6462">
        <w:rPr>
          <w:rFonts w:hint="eastAsia"/>
          <w:szCs w:val="21"/>
        </w:rPr>
        <w:t>”，无意影响这些词语在国际法中的任何现有或未来定义。</w:t>
      </w:r>
    </w:p>
    <w:p w:rsidR="00C13183" w:rsidRPr="00BB6462" w:rsidRDefault="00C13183" w:rsidP="00C13183">
      <w:pPr>
        <w:pStyle w:val="SingleTxt"/>
        <w:rPr>
          <w:szCs w:val="21"/>
        </w:rPr>
      </w:pPr>
      <w:r w:rsidRPr="00BB6462">
        <w:rPr>
          <w:rFonts w:hint="eastAsia"/>
          <w:szCs w:val="21"/>
        </w:rPr>
        <w:t xml:space="preserve">(2)  </w:t>
      </w:r>
      <w:r w:rsidRPr="00BB6462">
        <w:rPr>
          <w:rFonts w:hint="eastAsia"/>
          <w:szCs w:val="21"/>
        </w:rPr>
        <w:t>有关国际文书中没有“大气层”一语的定义。然而，委员会认为有必要为本指南草案提供一个工作定义，</w:t>
      </w:r>
      <w:r w:rsidRPr="00BB6462">
        <w:rPr>
          <w:rFonts w:hint="eastAsia"/>
          <w:szCs w:val="21"/>
        </w:rPr>
        <w:t>(a)</w:t>
      </w:r>
      <w:r w:rsidR="00C4799D">
        <w:rPr>
          <w:rFonts w:hint="eastAsia"/>
          <w:szCs w:val="21"/>
        </w:rPr>
        <w:t xml:space="preserve"> </w:t>
      </w:r>
      <w:r w:rsidRPr="00BB6462">
        <w:rPr>
          <w:rFonts w:hint="eastAsia"/>
          <w:szCs w:val="21"/>
        </w:rPr>
        <w:t>项所载定义参考了政府间气候变化专门委员会</w:t>
      </w:r>
      <w:r w:rsidRPr="00BB6462">
        <w:rPr>
          <w:rFonts w:hint="eastAsia"/>
          <w:szCs w:val="21"/>
        </w:rPr>
        <w:t>(</w:t>
      </w:r>
      <w:r w:rsidRPr="00BB6462">
        <w:rPr>
          <w:rFonts w:hint="eastAsia"/>
          <w:szCs w:val="21"/>
        </w:rPr>
        <w:t>气专委</w:t>
      </w:r>
      <w:r w:rsidRPr="00BB6462">
        <w:rPr>
          <w:rFonts w:hint="eastAsia"/>
          <w:szCs w:val="21"/>
        </w:rPr>
        <w:t>)</w:t>
      </w:r>
      <w:r w:rsidRPr="00BB6462">
        <w:rPr>
          <w:rFonts w:hint="eastAsia"/>
          <w:szCs w:val="21"/>
        </w:rPr>
        <w:t>工作组给出的定义。</w:t>
      </w:r>
      <w:r w:rsidRPr="003F1277">
        <w:rPr>
          <w:rStyle w:val="a3"/>
          <w:color w:val="0000CC"/>
          <w:szCs w:val="21"/>
        </w:rPr>
        <w:footnoteReference w:id="30"/>
      </w:r>
    </w:p>
    <w:p w:rsidR="00C13183" w:rsidRPr="00BB6462" w:rsidRDefault="00C13183" w:rsidP="00C13183">
      <w:pPr>
        <w:pStyle w:val="SingleTxt"/>
        <w:rPr>
          <w:szCs w:val="21"/>
        </w:rPr>
      </w:pPr>
      <w:r w:rsidRPr="00BB6462">
        <w:rPr>
          <w:rFonts w:hint="eastAsia"/>
          <w:szCs w:val="21"/>
        </w:rPr>
        <w:t xml:space="preserve">(3)  </w:t>
      </w:r>
      <w:r w:rsidRPr="00BB6462">
        <w:rPr>
          <w:rFonts w:hint="eastAsia"/>
          <w:szCs w:val="21"/>
        </w:rPr>
        <w:t>委员会认为，有必要的是，其使用的法律定义应一科学家的定义一致。据科学家认为，大气层存在于所谓的大气壳层当中。</w:t>
      </w:r>
      <w:r w:rsidRPr="003F1277">
        <w:rPr>
          <w:rStyle w:val="a3"/>
          <w:color w:val="0000CC"/>
          <w:szCs w:val="21"/>
        </w:rPr>
        <w:footnoteReference w:id="31"/>
      </w:r>
      <w:r w:rsidRPr="00BB6462">
        <w:rPr>
          <w:rFonts w:hint="eastAsia"/>
          <w:szCs w:val="21"/>
        </w:rPr>
        <w:t xml:space="preserve"> </w:t>
      </w:r>
      <w:r w:rsidRPr="00BB6462">
        <w:rPr>
          <w:rFonts w:hint="eastAsia"/>
          <w:szCs w:val="21"/>
        </w:rPr>
        <w:t>干大气层从其底层分界线</w:t>
      </w:r>
      <w:r w:rsidRPr="00BB6462">
        <w:rPr>
          <w:rFonts w:hint="eastAsia"/>
          <w:spacing w:val="-40"/>
          <w:szCs w:val="21"/>
        </w:rPr>
        <w:t>――</w:t>
      </w:r>
      <w:r w:rsidRPr="00BB6462">
        <w:rPr>
          <w:rFonts w:hint="eastAsia"/>
          <w:spacing w:val="-40"/>
          <w:szCs w:val="21"/>
        </w:rPr>
        <w:t xml:space="preserve"> </w:t>
      </w:r>
      <w:r w:rsidRPr="00BB6462">
        <w:rPr>
          <w:rFonts w:hint="eastAsia"/>
          <w:szCs w:val="21"/>
        </w:rPr>
        <w:t>地球表面向上延伸。海拔</w:t>
      </w:r>
      <w:r w:rsidRPr="00BB6462">
        <w:rPr>
          <w:rFonts w:hint="eastAsia"/>
          <w:szCs w:val="21"/>
        </w:rPr>
        <w:t>25</w:t>
      </w:r>
      <w:r w:rsidRPr="00BB6462">
        <w:rPr>
          <w:rFonts w:hint="eastAsia"/>
          <w:szCs w:val="21"/>
        </w:rPr>
        <w:t>千米以下的大气层的平均组成状况如下：氮</w:t>
      </w:r>
      <w:r w:rsidRPr="00BB6462">
        <w:rPr>
          <w:rFonts w:hint="eastAsia"/>
          <w:szCs w:val="21"/>
        </w:rPr>
        <w:t>(78.08%)</w:t>
      </w:r>
      <w:r w:rsidRPr="00BB6462">
        <w:rPr>
          <w:rFonts w:hint="eastAsia"/>
          <w:szCs w:val="21"/>
        </w:rPr>
        <w:t>、氧</w:t>
      </w:r>
      <w:r w:rsidRPr="00BB6462">
        <w:rPr>
          <w:rFonts w:hint="eastAsia"/>
          <w:szCs w:val="21"/>
        </w:rPr>
        <w:t>(20.95%)</w:t>
      </w:r>
      <w:r w:rsidRPr="00BB6462">
        <w:rPr>
          <w:rFonts w:hint="eastAsia"/>
          <w:szCs w:val="21"/>
        </w:rPr>
        <w:t>、氩</w:t>
      </w:r>
      <w:r w:rsidRPr="00BB6462">
        <w:rPr>
          <w:rFonts w:hint="eastAsia"/>
          <w:szCs w:val="21"/>
        </w:rPr>
        <w:t>(0.93%)</w:t>
      </w:r>
      <w:r w:rsidRPr="00BB6462">
        <w:rPr>
          <w:rFonts w:hint="eastAsia"/>
          <w:szCs w:val="21"/>
        </w:rPr>
        <w:t>和若干痕量气体，诸如氩</w:t>
      </w:r>
      <w:r w:rsidRPr="00BB6462">
        <w:rPr>
          <w:rFonts w:hint="eastAsia"/>
          <w:szCs w:val="21"/>
        </w:rPr>
        <w:t>(0.93%)</w:t>
      </w:r>
      <w:r w:rsidRPr="00BB6462">
        <w:rPr>
          <w:rFonts w:hint="eastAsia"/>
          <w:szCs w:val="21"/>
        </w:rPr>
        <w:t>、氦以及二氧化碳</w:t>
      </w:r>
      <w:r w:rsidRPr="00BB6462">
        <w:rPr>
          <w:rFonts w:hint="eastAsia"/>
          <w:szCs w:val="21"/>
        </w:rPr>
        <w:t>(0.035%)</w:t>
      </w:r>
      <w:r w:rsidRPr="00BB6462">
        <w:rPr>
          <w:rFonts w:hint="eastAsia"/>
          <w:szCs w:val="21"/>
        </w:rPr>
        <w:lastRenderedPageBreak/>
        <w:t>和臭氧等相对活跃的温室气体，还有数量变化不定的水蒸气。</w:t>
      </w:r>
      <w:r w:rsidRPr="003F1277">
        <w:rPr>
          <w:rStyle w:val="a3"/>
          <w:color w:val="0000CC"/>
          <w:szCs w:val="21"/>
        </w:rPr>
        <w:footnoteReference w:id="32"/>
      </w:r>
      <w:r w:rsidRPr="00BB6462">
        <w:rPr>
          <w:rFonts w:hint="eastAsia"/>
          <w:szCs w:val="21"/>
        </w:rPr>
        <w:t xml:space="preserve"> </w:t>
      </w:r>
      <w:r w:rsidRPr="00BB6462">
        <w:rPr>
          <w:rFonts w:hint="eastAsia"/>
          <w:szCs w:val="21"/>
        </w:rPr>
        <w:t>大气层中还有云和气溶胶。</w:t>
      </w:r>
      <w:r w:rsidRPr="003F1277">
        <w:rPr>
          <w:rStyle w:val="a3"/>
          <w:color w:val="0000CC"/>
          <w:szCs w:val="21"/>
        </w:rPr>
        <w:footnoteReference w:id="33"/>
      </w:r>
      <w:r w:rsidRPr="00BB6462">
        <w:rPr>
          <w:rFonts w:hint="eastAsia"/>
          <w:szCs w:val="21"/>
        </w:rPr>
        <w:t xml:space="preserve"> </w:t>
      </w:r>
      <w:r w:rsidRPr="00BB6462">
        <w:rPr>
          <w:rFonts w:hint="eastAsia"/>
          <w:szCs w:val="21"/>
        </w:rPr>
        <w:t>大气层按照温度特性被垂直分为四层。从最下层至最上层分别为：对流层、平流层、中间层、热层、</w:t>
      </w:r>
      <w:r w:rsidRPr="00BB6462">
        <w:rPr>
          <w:szCs w:val="21"/>
        </w:rPr>
        <w:t>散逸层</w:t>
      </w:r>
      <w:r w:rsidRPr="00BB6462">
        <w:rPr>
          <w:rFonts w:hint="eastAsia"/>
          <w:szCs w:val="21"/>
        </w:rPr>
        <w:t>。约有</w:t>
      </w:r>
      <w:r w:rsidRPr="00BB6462">
        <w:rPr>
          <w:rFonts w:hint="eastAsia"/>
          <w:szCs w:val="21"/>
        </w:rPr>
        <w:t>80%</w:t>
      </w:r>
      <w:r w:rsidRPr="00BB6462">
        <w:rPr>
          <w:rFonts w:hint="eastAsia"/>
          <w:szCs w:val="21"/>
        </w:rPr>
        <w:t>的大气层质量位于对流层，</w:t>
      </w:r>
      <w:r w:rsidRPr="00BB6462">
        <w:rPr>
          <w:rFonts w:hint="eastAsia"/>
          <w:szCs w:val="21"/>
        </w:rPr>
        <w:t>20%</w:t>
      </w:r>
      <w:r w:rsidRPr="00BB6462">
        <w:rPr>
          <w:rFonts w:hint="eastAsia"/>
          <w:szCs w:val="21"/>
        </w:rPr>
        <w:t>的大气层质量位于平流层。从一定距离以外遥望地球时看到的薄薄一层白色雾带</w:t>
      </w:r>
      <w:r w:rsidRPr="00BB6462">
        <w:rPr>
          <w:rFonts w:hint="eastAsia"/>
          <w:szCs w:val="21"/>
        </w:rPr>
        <w:t>(</w:t>
      </w:r>
      <w:r w:rsidRPr="00BB6462">
        <w:rPr>
          <w:rFonts w:hint="eastAsia"/>
          <w:szCs w:val="21"/>
        </w:rPr>
        <w:t>厚度不到地球半径的</w:t>
      </w:r>
      <w:r w:rsidRPr="00BB6462">
        <w:rPr>
          <w:rFonts w:hint="eastAsia"/>
          <w:szCs w:val="21"/>
        </w:rPr>
        <w:t>1%)</w:t>
      </w:r>
      <w:r w:rsidRPr="00BB6462">
        <w:rPr>
          <w:rFonts w:hint="eastAsia"/>
          <w:szCs w:val="21"/>
        </w:rPr>
        <w:t>就是大气层。在科学上，这些气层一起组成“低层大气层”，它往上延伸至平均海拔</w:t>
      </w:r>
      <w:r w:rsidRPr="00BB6462">
        <w:rPr>
          <w:rFonts w:hint="eastAsia"/>
          <w:szCs w:val="21"/>
        </w:rPr>
        <w:t>50</w:t>
      </w:r>
      <w:r w:rsidRPr="00BB6462">
        <w:rPr>
          <w:rFonts w:hint="eastAsia"/>
          <w:szCs w:val="21"/>
        </w:rPr>
        <w:t>千米的高度，以此可与“高层大气层”区别开来。</w:t>
      </w:r>
      <w:r w:rsidRPr="003F1277">
        <w:rPr>
          <w:rStyle w:val="a3"/>
          <w:color w:val="0000CC"/>
          <w:szCs w:val="21"/>
        </w:rPr>
        <w:footnoteReference w:id="34"/>
      </w:r>
      <w:r w:rsidRPr="00BB6462">
        <w:rPr>
          <w:rFonts w:hint="eastAsia"/>
          <w:szCs w:val="21"/>
        </w:rPr>
        <w:t xml:space="preserve"> </w:t>
      </w:r>
      <w:r w:rsidRPr="00BB6462">
        <w:rPr>
          <w:rFonts w:hint="eastAsia"/>
          <w:szCs w:val="21"/>
        </w:rPr>
        <w:t>大气层的温度随高度变化而变化。在对流层</w:t>
      </w:r>
      <w:r w:rsidRPr="00BB6462">
        <w:rPr>
          <w:rFonts w:hint="eastAsia"/>
          <w:szCs w:val="21"/>
        </w:rPr>
        <w:t>(</w:t>
      </w:r>
      <w:r w:rsidRPr="00BB6462">
        <w:rPr>
          <w:rFonts w:hint="eastAsia"/>
          <w:szCs w:val="21"/>
        </w:rPr>
        <w:t>至海拔</w:t>
      </w:r>
      <w:r w:rsidRPr="00BB6462">
        <w:rPr>
          <w:rFonts w:hint="eastAsia"/>
          <w:szCs w:val="21"/>
        </w:rPr>
        <w:t>12</w:t>
      </w:r>
      <w:r w:rsidRPr="00BB6462">
        <w:rPr>
          <w:rFonts w:hint="eastAsia"/>
          <w:szCs w:val="21"/>
        </w:rPr>
        <w:t>千米的对流层顶</w:t>
      </w:r>
      <w:r w:rsidRPr="00BB6462">
        <w:rPr>
          <w:rFonts w:hint="eastAsia"/>
          <w:szCs w:val="21"/>
        </w:rPr>
        <w:t>)</w:t>
      </w:r>
      <w:r w:rsidRPr="00BB6462">
        <w:rPr>
          <w:rFonts w:hint="eastAsia"/>
          <w:szCs w:val="21"/>
        </w:rPr>
        <w:t>，因为地球表面吸收和反射太阳光，温度随着高度的上升而下降。</w:t>
      </w:r>
      <w:r w:rsidRPr="003F1277">
        <w:rPr>
          <w:rStyle w:val="a3"/>
          <w:color w:val="0000CC"/>
          <w:szCs w:val="21"/>
        </w:rPr>
        <w:footnoteReference w:id="35"/>
      </w:r>
      <w:r w:rsidRPr="00BB6462">
        <w:rPr>
          <w:rFonts w:hint="eastAsia"/>
          <w:szCs w:val="21"/>
        </w:rPr>
        <w:t xml:space="preserve"> </w:t>
      </w:r>
      <w:r w:rsidRPr="00BB6462">
        <w:rPr>
          <w:rFonts w:hint="eastAsia"/>
          <w:szCs w:val="21"/>
        </w:rPr>
        <w:t>反之，在平流层</w:t>
      </w:r>
      <w:r w:rsidRPr="00BB6462">
        <w:rPr>
          <w:rFonts w:hint="eastAsia"/>
          <w:szCs w:val="21"/>
        </w:rPr>
        <w:t>(</w:t>
      </w:r>
      <w:r w:rsidRPr="00BB6462">
        <w:rPr>
          <w:rFonts w:hint="eastAsia"/>
          <w:szCs w:val="21"/>
        </w:rPr>
        <w:t>至约</w:t>
      </w:r>
      <w:r w:rsidRPr="00BB6462">
        <w:rPr>
          <w:rFonts w:hint="eastAsia"/>
          <w:szCs w:val="21"/>
        </w:rPr>
        <w:t>50</w:t>
      </w:r>
      <w:r w:rsidRPr="00BB6462">
        <w:rPr>
          <w:rFonts w:hint="eastAsia"/>
          <w:szCs w:val="21"/>
        </w:rPr>
        <w:t>千米的平流层顶</w:t>
      </w:r>
      <w:r w:rsidRPr="00BB6462">
        <w:rPr>
          <w:rFonts w:hint="eastAsia"/>
          <w:szCs w:val="21"/>
        </w:rPr>
        <w:t>)</w:t>
      </w:r>
      <w:r w:rsidRPr="00BB6462">
        <w:rPr>
          <w:rFonts w:hint="eastAsia"/>
          <w:szCs w:val="21"/>
        </w:rPr>
        <w:t>，因为臭氧吸收紫外线辐射，所以温度随着高度上升</w:t>
      </w:r>
      <w:r w:rsidRPr="003F1277">
        <w:rPr>
          <w:rStyle w:val="a3"/>
          <w:color w:val="0000CC"/>
          <w:szCs w:val="21"/>
        </w:rPr>
        <w:footnoteReference w:id="36"/>
      </w:r>
      <w:r w:rsidRPr="00BB6462">
        <w:rPr>
          <w:rFonts w:hint="eastAsia"/>
          <w:szCs w:val="21"/>
        </w:rPr>
        <w:t xml:space="preserve"> </w:t>
      </w:r>
      <w:r w:rsidRPr="00BB6462">
        <w:rPr>
          <w:rFonts w:hint="eastAsia"/>
          <w:szCs w:val="21"/>
        </w:rPr>
        <w:t>逐渐上升。在中间层</w:t>
      </w:r>
      <w:r w:rsidRPr="00BB6462">
        <w:rPr>
          <w:rFonts w:hint="eastAsia"/>
          <w:szCs w:val="21"/>
        </w:rPr>
        <w:t>(</w:t>
      </w:r>
      <w:r w:rsidRPr="00BB6462">
        <w:rPr>
          <w:rFonts w:hint="eastAsia"/>
          <w:szCs w:val="21"/>
        </w:rPr>
        <w:t>至海拔超过</w:t>
      </w:r>
      <w:r w:rsidRPr="00BB6462">
        <w:rPr>
          <w:rFonts w:hint="eastAsia"/>
          <w:szCs w:val="21"/>
        </w:rPr>
        <w:t>80</w:t>
      </w:r>
      <w:r w:rsidRPr="00BB6462">
        <w:rPr>
          <w:rFonts w:hint="eastAsia"/>
          <w:szCs w:val="21"/>
        </w:rPr>
        <w:t>千米的中间层顶</w:t>
      </w:r>
      <w:r w:rsidRPr="00BB6462">
        <w:rPr>
          <w:rFonts w:hint="eastAsia"/>
          <w:szCs w:val="21"/>
        </w:rPr>
        <w:t>)</w:t>
      </w:r>
      <w:r w:rsidRPr="00BB6462">
        <w:rPr>
          <w:rFonts w:hint="eastAsia"/>
          <w:szCs w:val="21"/>
        </w:rPr>
        <w:t>，温度再次随着高度上升而下降。在热层，来自太阳的</w:t>
      </w:r>
      <w:r w:rsidRPr="00BB6462">
        <w:rPr>
          <w:rFonts w:hint="eastAsia"/>
          <w:szCs w:val="21"/>
        </w:rPr>
        <w:t>X</w:t>
      </w:r>
      <w:r w:rsidRPr="00BB6462">
        <w:rPr>
          <w:rFonts w:hint="eastAsia"/>
          <w:szCs w:val="21"/>
        </w:rPr>
        <w:t>射线和紫外线辐射使温度再次快速上升。大气层“没有明确的上层界限”。</w:t>
      </w:r>
      <w:r w:rsidRPr="003F1277">
        <w:rPr>
          <w:rStyle w:val="a3"/>
          <w:color w:val="0000CC"/>
          <w:szCs w:val="21"/>
        </w:rPr>
        <w:footnoteReference w:id="37"/>
      </w:r>
    </w:p>
    <w:p w:rsidR="00C13183" w:rsidRPr="00BB6462" w:rsidRDefault="00C13183" w:rsidP="00C13183">
      <w:pPr>
        <w:pStyle w:val="SingleTxt"/>
        <w:rPr>
          <w:szCs w:val="21"/>
        </w:rPr>
      </w:pPr>
      <w:r w:rsidRPr="00BB6462">
        <w:rPr>
          <w:rFonts w:hint="eastAsia"/>
          <w:szCs w:val="21"/>
        </w:rPr>
        <w:t xml:space="preserve">(4)  </w:t>
      </w:r>
      <w:r w:rsidRPr="00BB6462">
        <w:rPr>
          <w:szCs w:val="21"/>
        </w:rPr>
        <w:t>(a)</w:t>
      </w:r>
      <w:r w:rsidRPr="00BB6462">
        <w:rPr>
          <w:rFonts w:hint="eastAsia"/>
          <w:szCs w:val="21"/>
        </w:rPr>
        <w:t>项</w:t>
      </w:r>
      <w:r w:rsidRPr="00CB5E7C">
        <w:rPr>
          <w:rFonts w:hint="eastAsia"/>
          <w:spacing w:val="4"/>
          <w:szCs w:val="21"/>
        </w:rPr>
        <w:t>中将大气层界定为环绕地球的气体圈层，是对大气层的“物理”描述。此外还有一个“功能”层面，涉及空气的大规模移动。大气移动具有动态的、变幻不定的特点。空气以一种所谓“大气环流”的复杂形态环绕着地球移动。正如前边序言评注里所说，委员会决定在序言第二段</w:t>
      </w:r>
      <w:r w:rsidRPr="00BB6462">
        <w:rPr>
          <w:rFonts w:hint="eastAsia"/>
          <w:szCs w:val="21"/>
        </w:rPr>
        <w:t>里提及大气层的这一功能方面。</w:t>
      </w:r>
      <w:r w:rsidRPr="003F1277">
        <w:rPr>
          <w:rStyle w:val="a3"/>
          <w:color w:val="0000CC"/>
          <w:szCs w:val="21"/>
        </w:rPr>
        <w:footnoteReference w:id="38"/>
      </w:r>
    </w:p>
    <w:p w:rsidR="00C13183" w:rsidRPr="00BB6462" w:rsidRDefault="00C13183" w:rsidP="00C13183">
      <w:pPr>
        <w:pStyle w:val="SingleTxt"/>
        <w:rPr>
          <w:szCs w:val="21"/>
        </w:rPr>
      </w:pPr>
      <w:r w:rsidRPr="00BB6462">
        <w:rPr>
          <w:rFonts w:hint="eastAsia"/>
          <w:szCs w:val="21"/>
        </w:rPr>
        <w:t xml:space="preserve">(5)  </w:t>
      </w:r>
      <w:r w:rsidRPr="00BB6462">
        <w:rPr>
          <w:rFonts w:hint="eastAsia"/>
          <w:szCs w:val="21"/>
        </w:rPr>
        <w:t>尤为重要的是，要认识到大气层作为内部存在不断运动的媒介的功能，因为正是在这个背景内发生污染物质和降解物质的输送和扩散。事实上，污染物质的</w:t>
      </w:r>
      <w:r w:rsidRPr="00BB6462">
        <w:rPr>
          <w:szCs w:val="21"/>
        </w:rPr>
        <w:t>长途跨界移动</w:t>
      </w:r>
      <w:r w:rsidRPr="00BB6462">
        <w:rPr>
          <w:rFonts w:hint="eastAsia"/>
          <w:szCs w:val="21"/>
        </w:rPr>
        <w:t>是大气环境的主要问题之一。除了跨界污染以外，还存在着与臭氧层消耗和气候变化有关的其他关注问题。</w:t>
      </w:r>
    </w:p>
    <w:p w:rsidR="00C13183" w:rsidRPr="00BB6462" w:rsidRDefault="00C13183" w:rsidP="00C13183">
      <w:pPr>
        <w:pStyle w:val="SingleTxt"/>
        <w:rPr>
          <w:szCs w:val="21"/>
        </w:rPr>
      </w:pPr>
      <w:r w:rsidRPr="00BB6462">
        <w:rPr>
          <w:rFonts w:hint="eastAsia"/>
          <w:szCs w:val="21"/>
        </w:rPr>
        <w:t>(6)  (b)</w:t>
      </w:r>
      <w:r w:rsidRPr="00BB6462">
        <w:rPr>
          <w:rFonts w:hint="eastAsia"/>
          <w:szCs w:val="21"/>
        </w:rPr>
        <w:t>项界定了“大气污染”，提及跨界空气污染，而</w:t>
      </w:r>
      <w:r w:rsidRPr="00BB6462">
        <w:rPr>
          <w:rFonts w:hint="eastAsia"/>
          <w:szCs w:val="21"/>
        </w:rPr>
        <w:t>(c)</w:t>
      </w:r>
      <w:r w:rsidRPr="00BB6462">
        <w:rPr>
          <w:rFonts w:hint="eastAsia"/>
          <w:szCs w:val="21"/>
        </w:rPr>
        <w:t>项界定了“大气层退化”，提及全球大气层问题。</w:t>
      </w:r>
      <w:r w:rsidRPr="00BB6462">
        <w:rPr>
          <w:rFonts w:hint="eastAsia"/>
          <w:szCs w:val="21"/>
        </w:rPr>
        <w:t>(b)</w:t>
      </w:r>
      <w:r w:rsidRPr="00BB6462">
        <w:rPr>
          <w:rFonts w:hint="eastAsia"/>
          <w:szCs w:val="21"/>
        </w:rPr>
        <w:t>、</w:t>
      </w:r>
      <w:r w:rsidRPr="00BB6462">
        <w:rPr>
          <w:rFonts w:hint="eastAsia"/>
          <w:szCs w:val="21"/>
        </w:rPr>
        <w:t>(c)</w:t>
      </w:r>
      <w:r w:rsidRPr="00BB6462">
        <w:rPr>
          <w:rFonts w:hint="eastAsia"/>
          <w:szCs w:val="21"/>
        </w:rPr>
        <w:t>两项</w:t>
      </w:r>
      <w:r w:rsidRPr="00CB5E7C">
        <w:rPr>
          <w:rFonts w:hint="eastAsia"/>
          <w:spacing w:val="4"/>
          <w:szCs w:val="21"/>
        </w:rPr>
        <w:t>都用了“人类”一词，意在指明本指南草案所</w:t>
      </w:r>
      <w:r w:rsidRPr="00CB5E7C">
        <w:rPr>
          <w:rFonts w:hint="eastAsia"/>
          <w:spacing w:val="4"/>
          <w:szCs w:val="21"/>
        </w:rPr>
        <w:lastRenderedPageBreak/>
        <w:t>针对的是“人为”大气污染和大气层退化。委员会意识到，将重点放在直接和间接的人类活动方面是故意的，因为本指</w:t>
      </w:r>
      <w:r w:rsidRPr="00BB6462">
        <w:rPr>
          <w:rFonts w:hint="eastAsia"/>
          <w:szCs w:val="21"/>
        </w:rPr>
        <w:t>南是要为各国和国际社会提供指导意见。</w:t>
      </w:r>
    </w:p>
    <w:p w:rsidR="00C13183" w:rsidRPr="00BB6462" w:rsidRDefault="00C13183" w:rsidP="00C13183">
      <w:pPr>
        <w:pStyle w:val="SingleTxt"/>
        <w:rPr>
          <w:szCs w:val="21"/>
        </w:rPr>
      </w:pPr>
      <w:r w:rsidRPr="00BB6462">
        <w:rPr>
          <w:rFonts w:hint="eastAsia"/>
          <w:szCs w:val="21"/>
        </w:rPr>
        <w:t xml:space="preserve">(7)  </w:t>
      </w:r>
      <w:r w:rsidRPr="00BB6462">
        <w:rPr>
          <w:rFonts w:hint="eastAsia"/>
          <w:szCs w:val="21"/>
        </w:rPr>
        <w:t>“大气污染”</w:t>
      </w:r>
      <w:r w:rsidRPr="00BB6462">
        <w:rPr>
          <w:rFonts w:hint="eastAsia"/>
          <w:szCs w:val="21"/>
        </w:rPr>
        <w:t>(</w:t>
      </w:r>
      <w:r w:rsidRPr="00BB6462">
        <w:rPr>
          <w:rFonts w:hint="eastAsia"/>
          <w:szCs w:val="21"/>
        </w:rPr>
        <w:t>或“空气污染”</w:t>
      </w:r>
      <w:r w:rsidRPr="00BB6462">
        <w:rPr>
          <w:rFonts w:hint="eastAsia"/>
          <w:szCs w:val="21"/>
        </w:rPr>
        <w:t>)</w:t>
      </w:r>
      <w:r w:rsidRPr="00BB6462">
        <w:rPr>
          <w:rFonts w:hint="eastAsia"/>
          <w:szCs w:val="21"/>
        </w:rPr>
        <w:t>一语有时广义使用，包含大气层条件的全球恶化，诸如臭氧层消耗和气候变化，</w:t>
      </w:r>
      <w:r w:rsidRPr="003F1277">
        <w:rPr>
          <w:rStyle w:val="a3"/>
          <w:color w:val="0000CC"/>
          <w:szCs w:val="21"/>
        </w:rPr>
        <w:footnoteReference w:id="39"/>
      </w:r>
      <w:r w:rsidRPr="00BB6462">
        <w:rPr>
          <w:rFonts w:hint="eastAsia"/>
          <w:szCs w:val="21"/>
        </w:rPr>
        <w:t xml:space="preserve"> </w:t>
      </w:r>
      <w:r w:rsidRPr="00BB6462">
        <w:rPr>
          <w:rFonts w:hint="eastAsia"/>
          <w:szCs w:val="21"/>
        </w:rPr>
        <w:t>但是，这个词语在本指南草案中是狭义使用，与现有条约实践一致。这样，该词语将全球问题排除在大气污染定义之外。</w:t>
      </w:r>
    </w:p>
    <w:p w:rsidR="00C13183" w:rsidRPr="00BB6462" w:rsidRDefault="00C13183" w:rsidP="00C13183">
      <w:pPr>
        <w:pStyle w:val="SingleTxt"/>
        <w:rPr>
          <w:szCs w:val="21"/>
        </w:rPr>
      </w:pPr>
      <w:r w:rsidRPr="00BB6462">
        <w:rPr>
          <w:rFonts w:hint="eastAsia"/>
          <w:szCs w:val="21"/>
        </w:rPr>
        <w:t xml:space="preserve">(8)  </w:t>
      </w:r>
      <w:r w:rsidRPr="00BB6462">
        <w:rPr>
          <w:rFonts w:hint="eastAsia"/>
          <w:szCs w:val="21"/>
        </w:rPr>
        <w:t>为界定“大气污染”，</w:t>
      </w:r>
      <w:r w:rsidRPr="00BB6462">
        <w:rPr>
          <w:rFonts w:hint="eastAsia"/>
          <w:szCs w:val="21"/>
        </w:rPr>
        <w:t>(b)</w:t>
      </w:r>
      <w:r w:rsidRPr="00BB6462">
        <w:rPr>
          <w:rFonts w:hint="eastAsia"/>
          <w:szCs w:val="21"/>
        </w:rPr>
        <w:t>项所用词语基本依据</w:t>
      </w:r>
      <w:r w:rsidRPr="00BB6462">
        <w:rPr>
          <w:rFonts w:hint="eastAsia"/>
          <w:szCs w:val="21"/>
        </w:rPr>
        <w:t>1979</w:t>
      </w:r>
      <w:r w:rsidRPr="00BB6462">
        <w:rPr>
          <w:rFonts w:hint="eastAsia"/>
          <w:szCs w:val="21"/>
        </w:rPr>
        <w:t>年《远距离跨界空气污染公约》</w:t>
      </w:r>
      <w:r w:rsidRPr="00BB6462">
        <w:rPr>
          <w:rFonts w:hint="eastAsia"/>
          <w:szCs w:val="21"/>
        </w:rPr>
        <w:t>(</w:t>
      </w:r>
      <w:r w:rsidRPr="00BB6462">
        <w:rPr>
          <w:rFonts w:hint="eastAsia"/>
          <w:szCs w:val="21"/>
        </w:rPr>
        <w:t>《跨界污染公约》</w:t>
      </w:r>
      <w:r w:rsidRPr="00BB6462">
        <w:rPr>
          <w:rFonts w:hint="eastAsia"/>
          <w:szCs w:val="21"/>
        </w:rPr>
        <w:t>)</w:t>
      </w:r>
      <w:r w:rsidRPr="00BB6462">
        <w:rPr>
          <w:rFonts w:hint="eastAsia"/>
          <w:szCs w:val="21"/>
        </w:rPr>
        <w:t>第</w:t>
      </w:r>
      <w:r w:rsidRPr="00BB6462">
        <w:rPr>
          <w:rFonts w:hint="eastAsia"/>
          <w:szCs w:val="21"/>
        </w:rPr>
        <w:t>1</w:t>
      </w:r>
      <w:r w:rsidRPr="00BB6462">
        <w:rPr>
          <w:rFonts w:hint="eastAsia"/>
          <w:szCs w:val="21"/>
        </w:rPr>
        <w:t>条</w:t>
      </w:r>
      <w:r w:rsidRPr="00BB6462">
        <w:rPr>
          <w:rFonts w:hint="eastAsia"/>
          <w:szCs w:val="21"/>
        </w:rPr>
        <w:t>(a)</w:t>
      </w:r>
      <w:r w:rsidRPr="00BB6462">
        <w:rPr>
          <w:rFonts w:hint="eastAsia"/>
          <w:szCs w:val="21"/>
        </w:rPr>
        <w:t>项，</w:t>
      </w:r>
      <w:r w:rsidRPr="003F1277">
        <w:rPr>
          <w:rStyle w:val="a3"/>
          <w:color w:val="0000CC"/>
          <w:szCs w:val="21"/>
        </w:rPr>
        <w:footnoteReference w:id="40"/>
      </w:r>
      <w:r w:rsidRPr="00BB6462">
        <w:rPr>
          <w:rFonts w:hint="eastAsia"/>
          <w:szCs w:val="21"/>
        </w:rPr>
        <w:t xml:space="preserve"> </w:t>
      </w:r>
      <w:r w:rsidRPr="00BB6462">
        <w:rPr>
          <w:rFonts w:hint="eastAsia"/>
          <w:szCs w:val="21"/>
        </w:rPr>
        <w:t>其中规定：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t>“空气污染”指“由人类直接或间接将物质或能量引入空气的现象，所致有害影响的性质包括危害人的健康、破坏生命资源和生态系统及物质财产，并损害或干扰舒适度及对环境的其他合理使用，而对‘空气污染物’应作相应理解。”</w:t>
      </w:r>
    </w:p>
    <w:p w:rsidR="00C13183" w:rsidRPr="00BB6462" w:rsidRDefault="00C13183" w:rsidP="00C13183">
      <w:pPr>
        <w:pStyle w:val="SingleTxt"/>
        <w:rPr>
          <w:szCs w:val="21"/>
        </w:rPr>
      </w:pPr>
      <w:r w:rsidRPr="00BB6462">
        <w:rPr>
          <w:rFonts w:hint="eastAsia"/>
          <w:szCs w:val="21"/>
        </w:rPr>
        <w:t>或许还可以指出，《联合国海洋法公约》</w:t>
      </w:r>
      <w:r w:rsidRPr="00BB6462">
        <w:rPr>
          <w:rFonts w:hint="eastAsia"/>
          <w:szCs w:val="21"/>
        </w:rPr>
        <w:t>(</w:t>
      </w:r>
      <w:r w:rsidRPr="00BB6462">
        <w:rPr>
          <w:rFonts w:hint="eastAsia"/>
          <w:szCs w:val="21"/>
        </w:rPr>
        <w:t>《海洋法公约》</w:t>
      </w:r>
      <w:r w:rsidRPr="00BB6462">
        <w:rPr>
          <w:rFonts w:hint="eastAsia"/>
          <w:szCs w:val="21"/>
        </w:rPr>
        <w:t>)</w:t>
      </w:r>
      <w:r w:rsidRPr="003F1277">
        <w:rPr>
          <w:rStyle w:val="a3"/>
          <w:color w:val="0000CC"/>
          <w:szCs w:val="21"/>
        </w:rPr>
        <w:footnoteReference w:id="41"/>
      </w:r>
      <w:r w:rsidRPr="00BB6462">
        <w:rPr>
          <w:rFonts w:hint="eastAsia"/>
          <w:szCs w:val="21"/>
        </w:rPr>
        <w:t xml:space="preserve"> </w:t>
      </w:r>
      <w:r w:rsidRPr="00BB6462">
        <w:rPr>
          <w:rFonts w:hint="eastAsia"/>
          <w:szCs w:val="21"/>
        </w:rPr>
        <w:t>第一条第</w:t>
      </w:r>
      <w:r w:rsidRPr="00BB6462">
        <w:rPr>
          <w:rFonts w:hint="eastAsia"/>
          <w:szCs w:val="21"/>
        </w:rPr>
        <w:t>(4)</w:t>
      </w:r>
      <w:r w:rsidRPr="00BB6462">
        <w:rPr>
          <w:rFonts w:hint="eastAsia"/>
          <w:szCs w:val="21"/>
        </w:rPr>
        <w:t>款将“污染”一词界定为指“人类直接或间接把物质或能量引入海洋环境，其中包括河口湾，以致造成或可能造成损害生物资源和海洋生物、危害人类健康……”。</w:t>
      </w:r>
      <w:r w:rsidRPr="003F1277">
        <w:rPr>
          <w:rStyle w:val="a3"/>
          <w:color w:val="0000CC"/>
          <w:szCs w:val="21"/>
        </w:rPr>
        <w:footnoteReference w:id="42"/>
      </w:r>
      <w:r w:rsidRPr="00BB6462">
        <w:rPr>
          <w:rFonts w:hint="eastAsia"/>
          <w:szCs w:val="21"/>
        </w:rPr>
        <w:t xml:space="preserve"> </w:t>
      </w:r>
      <w:r w:rsidRPr="00BB6462">
        <w:rPr>
          <w:rFonts w:hint="eastAsia"/>
          <w:szCs w:val="21"/>
        </w:rPr>
        <w:t>引入或释放所致有害影响的性质须达到危害人类健康和地球自然环境的程度，包括有助于造成这种危害。</w:t>
      </w:r>
    </w:p>
    <w:p w:rsidR="00C13183" w:rsidRPr="00BB6462" w:rsidRDefault="00C13183" w:rsidP="00C13183">
      <w:pPr>
        <w:pStyle w:val="SingleTxt"/>
        <w:keepNext/>
        <w:keepLines/>
        <w:rPr>
          <w:szCs w:val="21"/>
        </w:rPr>
      </w:pPr>
      <w:r w:rsidRPr="00BB6462">
        <w:rPr>
          <w:rFonts w:hint="eastAsia"/>
          <w:szCs w:val="21"/>
        </w:rPr>
        <w:lastRenderedPageBreak/>
        <w:t xml:space="preserve">(9)  </w:t>
      </w:r>
      <w:r w:rsidRPr="00BB6462">
        <w:rPr>
          <w:rFonts w:hint="eastAsia"/>
          <w:szCs w:val="21"/>
        </w:rPr>
        <w:t>《跨界污染公约》第</w:t>
      </w:r>
      <w:r w:rsidRPr="00BB6462">
        <w:rPr>
          <w:rFonts w:hint="eastAsia"/>
          <w:szCs w:val="21"/>
        </w:rPr>
        <w:t>1</w:t>
      </w:r>
      <w:r w:rsidRPr="00BB6462">
        <w:rPr>
          <w:rFonts w:hint="eastAsia"/>
          <w:szCs w:val="21"/>
        </w:rPr>
        <w:t>条</w:t>
      </w:r>
      <w:r w:rsidRPr="00BB6462">
        <w:rPr>
          <w:rFonts w:hint="eastAsia"/>
          <w:szCs w:val="21"/>
        </w:rPr>
        <w:t>(a)</w:t>
      </w:r>
      <w:r w:rsidRPr="00BB6462">
        <w:rPr>
          <w:rFonts w:hint="eastAsia"/>
          <w:szCs w:val="21"/>
        </w:rPr>
        <w:t>项和《海洋法公约》第一条第</w:t>
      </w:r>
      <w:r w:rsidRPr="00BB6462">
        <w:rPr>
          <w:rFonts w:hint="eastAsia"/>
          <w:szCs w:val="21"/>
        </w:rPr>
        <w:t>1(4)</w:t>
      </w:r>
      <w:r w:rsidRPr="00BB6462">
        <w:rPr>
          <w:rFonts w:hint="eastAsia"/>
          <w:szCs w:val="21"/>
        </w:rPr>
        <w:t>款规定把</w:t>
      </w:r>
      <w:r w:rsidRPr="00BB6462">
        <w:rPr>
          <w:rFonts w:hint="eastAsia"/>
          <w:szCs w:val="21"/>
        </w:rPr>
        <w:t>(</w:t>
      </w:r>
      <w:r w:rsidRPr="00BB6462">
        <w:rPr>
          <w:rFonts w:hint="eastAsia"/>
          <w:szCs w:val="21"/>
        </w:rPr>
        <w:t>物质和</w:t>
      </w:r>
      <w:r w:rsidRPr="00BB6462">
        <w:rPr>
          <w:rFonts w:hint="eastAsia"/>
          <w:szCs w:val="21"/>
        </w:rPr>
        <w:t>)</w:t>
      </w:r>
      <w:r w:rsidRPr="00BB6462">
        <w:rPr>
          <w:rFonts w:hint="eastAsia"/>
          <w:szCs w:val="21"/>
        </w:rPr>
        <w:t>“能量引入”大气层是“污染”的一部分，但委员会决定在本条指南草案的</w:t>
      </w:r>
      <w:r w:rsidRPr="00BB6462">
        <w:rPr>
          <w:rFonts w:hint="eastAsia"/>
          <w:szCs w:val="21"/>
        </w:rPr>
        <w:t>(b)</w:t>
      </w:r>
      <w:r w:rsidRPr="00BB6462">
        <w:rPr>
          <w:rFonts w:hint="eastAsia"/>
          <w:szCs w:val="21"/>
        </w:rPr>
        <w:t>项中不采用“能量”这个词语。委员会的理解是，为了本指南草案的目的，“物质”一词包含“能量”。“能量”理解为包括通过人类活动引入和释放到大气层中的热、光、噪音和放射性。</w:t>
      </w:r>
      <w:r w:rsidRPr="003F1277">
        <w:rPr>
          <w:rStyle w:val="a3"/>
          <w:color w:val="0000CC"/>
          <w:szCs w:val="21"/>
        </w:rPr>
        <w:footnoteReference w:id="43"/>
      </w:r>
    </w:p>
    <w:p w:rsidR="00C13183" w:rsidRPr="00BB6462" w:rsidRDefault="00C13183" w:rsidP="00C13183">
      <w:pPr>
        <w:pStyle w:val="SingleTxt"/>
        <w:rPr>
          <w:szCs w:val="21"/>
        </w:rPr>
      </w:pPr>
      <w:r w:rsidRPr="00BB6462">
        <w:rPr>
          <w:rFonts w:hint="eastAsia"/>
          <w:szCs w:val="21"/>
        </w:rPr>
        <w:t>(10)  (b)</w:t>
      </w:r>
      <w:r w:rsidRPr="00BB6462">
        <w:rPr>
          <w:rFonts w:hint="eastAsia"/>
          <w:szCs w:val="21"/>
        </w:rPr>
        <w:t>项中“影响超出来源国”一语澄清指南草案要处理的是</w:t>
      </w:r>
      <w:r w:rsidRPr="00BB6462">
        <w:rPr>
          <w:rFonts w:hint="eastAsia"/>
          <w:szCs w:val="21"/>
        </w:rPr>
        <w:t>1979</w:t>
      </w:r>
      <w:r w:rsidRPr="00BB6462">
        <w:rPr>
          <w:rFonts w:hint="eastAsia"/>
          <w:szCs w:val="21"/>
        </w:rPr>
        <w:t>年《跨界污染公约》第</w:t>
      </w:r>
      <w:r w:rsidRPr="00BB6462">
        <w:rPr>
          <w:rFonts w:hint="eastAsia"/>
          <w:szCs w:val="21"/>
        </w:rPr>
        <w:t>1</w:t>
      </w:r>
      <w:r w:rsidRPr="00BB6462">
        <w:rPr>
          <w:rFonts w:hint="eastAsia"/>
          <w:szCs w:val="21"/>
        </w:rPr>
        <w:t>条</w:t>
      </w:r>
      <w:r w:rsidRPr="00BB6462">
        <w:rPr>
          <w:rFonts w:hint="eastAsia"/>
          <w:szCs w:val="21"/>
        </w:rPr>
        <w:t>(b)</w:t>
      </w:r>
      <w:r w:rsidRPr="00BB6462">
        <w:rPr>
          <w:rFonts w:hint="eastAsia"/>
          <w:szCs w:val="21"/>
        </w:rPr>
        <w:t>项规定意义上的跨界影响，即：“远距离跨界空气污染”指“其物理来源完全或部分位于属于一国国家管辖范围之内的空气污染，对另一国所管辖范围内的地区产生不利影响，之间相差的距离通常使人无法区分单独排放源或集体排放源的作用”。</w:t>
      </w:r>
    </w:p>
    <w:p w:rsidR="00C13183" w:rsidRPr="00BB6462" w:rsidRDefault="00C13183" w:rsidP="00C13183">
      <w:pPr>
        <w:pStyle w:val="SingleTxt"/>
        <w:rPr>
          <w:szCs w:val="21"/>
        </w:rPr>
      </w:pPr>
      <w:r w:rsidRPr="00BB6462">
        <w:rPr>
          <w:rFonts w:hint="eastAsia"/>
          <w:szCs w:val="21"/>
        </w:rPr>
        <w:t xml:space="preserve">(11) </w:t>
      </w:r>
      <w:r w:rsidRPr="00BB6462">
        <w:rPr>
          <w:szCs w:val="21"/>
        </w:rPr>
        <w:t xml:space="preserve"> </w:t>
      </w:r>
      <w:r w:rsidRPr="00BB6462">
        <w:rPr>
          <w:rFonts w:hint="eastAsia"/>
          <w:szCs w:val="21"/>
        </w:rPr>
        <w:t>由于</w:t>
      </w:r>
      <w:r w:rsidRPr="00BB6462">
        <w:rPr>
          <w:rFonts w:hint="eastAsia"/>
          <w:szCs w:val="21"/>
        </w:rPr>
        <w:t>(b)</w:t>
      </w:r>
      <w:r w:rsidRPr="00BB6462">
        <w:rPr>
          <w:rFonts w:hint="eastAsia"/>
          <w:szCs w:val="21"/>
        </w:rPr>
        <w:t>项的“大气污染”是狭义界定，因此，为</w:t>
      </w:r>
      <w:r>
        <w:rPr>
          <w:rFonts w:hint="eastAsia"/>
          <w:szCs w:val="21"/>
        </w:rPr>
        <w:t>了</w:t>
      </w:r>
      <w:r w:rsidRPr="00BB6462">
        <w:rPr>
          <w:rFonts w:hint="eastAsia"/>
          <w:szCs w:val="21"/>
        </w:rPr>
        <w:t>本指南草案的目的，有必要借助于另一个不同的定义处理非大气污染问题。为此，</w:t>
      </w:r>
      <w:r w:rsidRPr="00BB6462">
        <w:rPr>
          <w:rFonts w:hint="eastAsia"/>
          <w:szCs w:val="21"/>
        </w:rPr>
        <w:t>(c)</w:t>
      </w:r>
      <w:r w:rsidRPr="00BB6462">
        <w:rPr>
          <w:rFonts w:hint="eastAsia"/>
          <w:szCs w:val="21"/>
        </w:rPr>
        <w:t>项提供了“大气层退化”的定义。这个定义意在包含臭氧层消耗和气候变化问题。定义涵盖人类直接或间接改变全球大气状况。这些改变既可以是自然环境或生物区系的改变，也可以是全球大气层组成状况的改变。</w:t>
      </w:r>
      <w:r w:rsidRPr="00BB6462">
        <w:rPr>
          <w:rFonts w:hint="eastAsia"/>
          <w:szCs w:val="21"/>
        </w:rPr>
        <w:t>1985</w:t>
      </w:r>
      <w:r w:rsidRPr="00BB6462">
        <w:rPr>
          <w:rFonts w:hint="eastAsia"/>
          <w:szCs w:val="21"/>
        </w:rPr>
        <w:t>年《保护臭氧层维也纳公约》</w:t>
      </w:r>
      <w:r w:rsidRPr="003F1277">
        <w:rPr>
          <w:rStyle w:val="a3"/>
          <w:color w:val="0000CC"/>
          <w:szCs w:val="21"/>
        </w:rPr>
        <w:footnoteReference w:id="44"/>
      </w:r>
      <w:r w:rsidRPr="00BB6462">
        <w:rPr>
          <w:rFonts w:hint="eastAsia"/>
          <w:szCs w:val="21"/>
        </w:rPr>
        <w:t xml:space="preserve"> </w:t>
      </w:r>
      <w:r w:rsidRPr="00BB6462">
        <w:rPr>
          <w:rFonts w:hint="eastAsia"/>
          <w:szCs w:val="21"/>
        </w:rPr>
        <w:t>在第</w:t>
      </w:r>
      <w:r w:rsidRPr="00BB6462">
        <w:rPr>
          <w:rFonts w:hint="eastAsia"/>
          <w:szCs w:val="21"/>
        </w:rPr>
        <w:t>1</w:t>
      </w:r>
      <w:r>
        <w:rPr>
          <w:rFonts w:hint="eastAsia"/>
          <w:szCs w:val="21"/>
        </w:rPr>
        <w:t>条第</w:t>
      </w:r>
      <w:r>
        <w:rPr>
          <w:rFonts w:hint="eastAsia"/>
          <w:szCs w:val="21"/>
        </w:rPr>
        <w:t>(</w:t>
      </w:r>
      <w:r w:rsidRPr="00BB6462">
        <w:rPr>
          <w:rFonts w:hint="eastAsia"/>
          <w:szCs w:val="21"/>
        </w:rPr>
        <w:t>2</w:t>
      </w:r>
      <w:r>
        <w:rPr>
          <w:rFonts w:hint="eastAsia"/>
          <w:szCs w:val="21"/>
        </w:rPr>
        <w:t>)</w:t>
      </w:r>
      <w:r w:rsidRPr="00BB6462">
        <w:rPr>
          <w:rFonts w:hint="eastAsia"/>
          <w:szCs w:val="21"/>
        </w:rPr>
        <w:t>款中规定“不利影响”是指“自然环境或生物区系内发生的，对人类健康或自然的和受管理的生态系统的组成、恢复力和生产力或对人类有益的物质造成较大有害</w:t>
      </w:r>
      <w:r>
        <w:rPr>
          <w:rFonts w:hint="eastAsia"/>
          <w:szCs w:val="21"/>
        </w:rPr>
        <w:t>影响的变化，包括气候变化。”《联合国气候变化框架公约》第一条第</w:t>
      </w:r>
      <w:r>
        <w:rPr>
          <w:rFonts w:hint="eastAsia"/>
          <w:szCs w:val="21"/>
        </w:rPr>
        <w:t>(</w:t>
      </w:r>
      <w:r w:rsidRPr="00BB6462">
        <w:rPr>
          <w:rFonts w:hint="eastAsia"/>
          <w:szCs w:val="21"/>
        </w:rPr>
        <w:t>2</w:t>
      </w:r>
      <w:r>
        <w:rPr>
          <w:rFonts w:hint="eastAsia"/>
          <w:szCs w:val="21"/>
        </w:rPr>
        <w:t>)</w:t>
      </w:r>
      <w:r w:rsidRPr="00BB6462">
        <w:rPr>
          <w:rFonts w:hint="eastAsia"/>
          <w:szCs w:val="21"/>
        </w:rPr>
        <w:t>款把“气候变化”</w:t>
      </w:r>
      <w:r w:rsidRPr="00BB6462">
        <w:rPr>
          <w:rFonts w:hint="eastAsia"/>
          <w:szCs w:val="21"/>
        </w:rPr>
        <w:lastRenderedPageBreak/>
        <w:t>界定为“除在类似时期内所观测的气候的自然变异之外，由于直接或间接的人类活动改变了地球大气的组成而造成的气候变化。”</w:t>
      </w:r>
    </w:p>
    <w:p w:rsidR="00C13183" w:rsidRDefault="00C13183" w:rsidP="00C13183">
      <w:pPr>
        <w:pStyle w:val="SingleTxt"/>
        <w:rPr>
          <w:szCs w:val="21"/>
        </w:rPr>
      </w:pPr>
      <w:r w:rsidRPr="00BB6462">
        <w:rPr>
          <w:rFonts w:hint="eastAsia"/>
          <w:szCs w:val="21"/>
        </w:rPr>
        <w:t xml:space="preserve">(12) </w:t>
      </w:r>
      <w:r w:rsidRPr="00BB6462">
        <w:rPr>
          <w:szCs w:val="21"/>
        </w:rPr>
        <w:t xml:space="preserve"> </w:t>
      </w:r>
      <w:r w:rsidRPr="00BB6462">
        <w:rPr>
          <w:rFonts w:hint="eastAsia"/>
          <w:szCs w:val="21"/>
        </w:rPr>
        <w:t>“较大有害影响”一语意在限定指南草案要涵盖的人类活动的种类。委员会在以前的工作中经常使用“较大</w:t>
      </w:r>
      <w:r w:rsidRPr="00BB6462">
        <w:rPr>
          <w:rFonts w:hint="eastAsia"/>
          <w:szCs w:val="21"/>
        </w:rPr>
        <w:t>(significant)</w:t>
      </w:r>
      <w:r w:rsidRPr="00BB6462">
        <w:rPr>
          <w:rFonts w:hint="eastAsia"/>
          <w:szCs w:val="21"/>
        </w:rPr>
        <w:t>”一词。</w:t>
      </w:r>
      <w:r w:rsidRPr="003F1277">
        <w:rPr>
          <w:rStyle w:val="a3"/>
          <w:color w:val="0000CC"/>
          <w:szCs w:val="21"/>
        </w:rPr>
        <w:footnoteReference w:id="45"/>
      </w:r>
      <w:r w:rsidRPr="00BB6462">
        <w:rPr>
          <w:rFonts w:hint="eastAsia"/>
          <w:szCs w:val="21"/>
        </w:rPr>
        <w:t xml:space="preserve"> </w:t>
      </w:r>
      <w:r w:rsidRPr="00BB6462">
        <w:rPr>
          <w:rFonts w:hint="eastAsia"/>
          <w:szCs w:val="21"/>
        </w:rPr>
        <w:t>委员会曾指出</w:t>
      </w:r>
      <w:r w:rsidRPr="00591DCA">
        <w:rPr>
          <w:rFonts w:hint="eastAsia"/>
        </w:rPr>
        <w:t>“</w:t>
      </w:r>
      <w:r w:rsidRPr="00BB6462">
        <w:rPr>
          <w:rFonts w:hint="eastAsia"/>
          <w:szCs w:val="21"/>
        </w:rPr>
        <w:t>……</w:t>
      </w:r>
      <w:r w:rsidRPr="00591DCA">
        <w:rPr>
          <w:rFonts w:hint="eastAsia"/>
        </w:rPr>
        <w:t>‘</w:t>
      </w:r>
      <w:r w:rsidRPr="00BB6462">
        <w:rPr>
          <w:rFonts w:ascii="华文楷体" w:eastAsia="华文楷体" w:hAnsi="华文楷体" w:hint="eastAsia"/>
          <w:szCs w:val="21"/>
        </w:rPr>
        <w:t>较大</w:t>
      </w:r>
      <w:r w:rsidRPr="00591DCA">
        <w:rPr>
          <w:rFonts w:hint="eastAsia"/>
        </w:rPr>
        <w:t>’</w:t>
      </w:r>
      <w:r w:rsidRPr="00BB6462">
        <w:rPr>
          <w:rFonts w:ascii="华文楷体" w:eastAsia="华文楷体" w:hAnsi="华文楷体" w:hint="eastAsia"/>
          <w:szCs w:val="21"/>
        </w:rPr>
        <w:t>意指某事物的程度不止</w:t>
      </w:r>
      <w:r w:rsidRPr="00591DCA">
        <w:rPr>
          <w:rFonts w:hint="eastAsia"/>
        </w:rPr>
        <w:t>‘</w:t>
      </w:r>
      <w:r w:rsidRPr="00BB6462">
        <w:rPr>
          <w:rFonts w:ascii="华文楷体" w:eastAsia="华文楷体" w:hAnsi="华文楷体" w:hint="eastAsia"/>
          <w:szCs w:val="21"/>
        </w:rPr>
        <w:t>可察觉</w:t>
      </w:r>
      <w:r w:rsidRPr="00591DCA">
        <w:rPr>
          <w:rFonts w:hint="eastAsia"/>
        </w:rPr>
        <w:t>’，</w:t>
      </w:r>
      <w:r w:rsidRPr="00BB6462">
        <w:rPr>
          <w:rFonts w:ascii="华文楷体" w:eastAsia="华文楷体" w:hAnsi="华文楷体" w:hint="eastAsia"/>
          <w:szCs w:val="21"/>
        </w:rPr>
        <w:t>但又未必达到‘严重(serious)’或</w:t>
      </w:r>
      <w:r w:rsidRPr="00591DCA">
        <w:rPr>
          <w:rFonts w:hint="eastAsia"/>
        </w:rPr>
        <w:t>‘</w:t>
      </w:r>
      <w:r w:rsidRPr="00BB6462">
        <w:rPr>
          <w:rFonts w:ascii="华文楷体" w:eastAsia="华文楷体" w:hAnsi="华文楷体" w:hint="eastAsia"/>
          <w:szCs w:val="21"/>
        </w:rPr>
        <w:t>重大(substantial)</w:t>
      </w:r>
      <w:r w:rsidRPr="00591DCA">
        <w:rPr>
          <w:rFonts w:hint="eastAsia"/>
        </w:rPr>
        <w:t>’</w:t>
      </w:r>
      <w:r w:rsidRPr="00BB6462">
        <w:rPr>
          <w:rFonts w:ascii="华文楷体" w:eastAsia="华文楷体" w:hAnsi="华文楷体" w:hint="eastAsia"/>
          <w:szCs w:val="21"/>
        </w:rPr>
        <w:t>的程度</w:t>
      </w:r>
      <w:r w:rsidRPr="00BB6462">
        <w:rPr>
          <w:rFonts w:hint="eastAsia"/>
          <w:szCs w:val="21"/>
        </w:rPr>
        <w:t>”。损害必须是会导致真实的有害影响的</w:t>
      </w:r>
      <w:r w:rsidRPr="00BB6462">
        <w:rPr>
          <w:rFonts w:hint="eastAsia"/>
          <w:szCs w:val="21"/>
        </w:rPr>
        <w:t>[</w:t>
      </w:r>
      <w:r w:rsidRPr="00BB6462">
        <w:rPr>
          <w:rFonts w:hint="eastAsia"/>
          <w:szCs w:val="21"/>
        </w:rPr>
        <w:t>而且</w:t>
      </w:r>
      <w:r w:rsidRPr="00BB6462">
        <w:rPr>
          <w:rFonts w:hint="eastAsia"/>
          <w:szCs w:val="21"/>
        </w:rPr>
        <w:t>]</w:t>
      </w:r>
      <w:r w:rsidRPr="00BB6462">
        <w:rPr>
          <w:rFonts w:hint="eastAsia"/>
          <w:szCs w:val="21"/>
        </w:rPr>
        <w:t>……这些有害影响必须是可以用事实或客观标准加以衡量的。</w:t>
      </w:r>
      <w:r w:rsidRPr="003F1277">
        <w:rPr>
          <w:rStyle w:val="a3"/>
          <w:color w:val="0000CC"/>
          <w:szCs w:val="21"/>
        </w:rPr>
        <w:footnoteReference w:id="46"/>
      </w:r>
      <w:r>
        <w:rPr>
          <w:rFonts w:hint="eastAsia"/>
          <w:szCs w:val="21"/>
        </w:rPr>
        <w:t xml:space="preserve"> </w:t>
      </w:r>
      <w:r w:rsidRPr="00BB6462">
        <w:rPr>
          <w:rFonts w:hint="eastAsia"/>
          <w:szCs w:val="21"/>
        </w:rPr>
        <w:t>此外</w:t>
      </w:r>
      <w:r w:rsidRPr="00591DCA">
        <w:rPr>
          <w:rFonts w:hint="eastAsia"/>
        </w:rPr>
        <w:t>，“</w:t>
      </w:r>
      <w:r w:rsidRPr="00BB6462">
        <w:rPr>
          <w:rFonts w:hint="eastAsia"/>
          <w:szCs w:val="21"/>
        </w:rPr>
        <w:t>较大”一语要根据事实和客观标准确定，但也涉及一种价值判断，取决于具体情况和作出判断的时间段。例如，一段特定时间内</w:t>
      </w:r>
      <w:r w:rsidRPr="00BB6462">
        <w:rPr>
          <w:rFonts w:hint="eastAsia"/>
          <w:szCs w:val="21"/>
        </w:rPr>
        <w:t>(</w:t>
      </w:r>
      <w:r w:rsidRPr="00BB6462">
        <w:rPr>
          <w:rFonts w:hint="eastAsia"/>
          <w:szCs w:val="21"/>
        </w:rPr>
        <w:t>某种资源</w:t>
      </w:r>
      <w:r w:rsidRPr="00BB6462">
        <w:rPr>
          <w:rFonts w:hint="eastAsia"/>
          <w:szCs w:val="21"/>
        </w:rPr>
        <w:t>)</w:t>
      </w:r>
      <w:r w:rsidRPr="00BB6462">
        <w:rPr>
          <w:rFonts w:hint="eastAsia"/>
          <w:szCs w:val="21"/>
        </w:rPr>
        <w:t>的一个特定损失或许不被视为“较大”，因为当时的科学知识或人类认知水平尚未对该资源赋予很大价值。究竟什么是“较大”，这主要是应根据事实确定的问题。</w:t>
      </w:r>
      <w:r w:rsidRPr="003F1277">
        <w:rPr>
          <w:rStyle w:val="a3"/>
          <w:color w:val="0000CC"/>
          <w:szCs w:val="21"/>
        </w:rPr>
        <w:footnoteReference w:id="47"/>
      </w:r>
    </w:p>
    <w:p w:rsidR="00C13183" w:rsidRPr="00BB6462" w:rsidRDefault="00C13183" w:rsidP="00C13183">
      <w:pPr>
        <w:pStyle w:val="SingleTxt"/>
        <w:rPr>
          <w:szCs w:val="21"/>
        </w:rPr>
      </w:pPr>
      <w:r w:rsidRPr="00BB6462">
        <w:rPr>
          <w:rFonts w:hint="eastAsia"/>
          <w:szCs w:val="21"/>
        </w:rPr>
        <w:t xml:space="preserve">(13) </w:t>
      </w:r>
      <w:r w:rsidRPr="00BB6462">
        <w:rPr>
          <w:szCs w:val="21"/>
        </w:rPr>
        <w:t xml:space="preserve"> </w:t>
      </w:r>
      <w:r w:rsidRPr="00BB6462">
        <w:rPr>
          <w:rFonts w:hint="eastAsia"/>
          <w:szCs w:val="21"/>
        </w:rPr>
        <w:t>就“大气污染”而言，物质的引入或释放只须有助于造成“有害”影响，而就“大气层退化”而言，</w:t>
      </w:r>
      <w:r w:rsidRPr="0037141E">
        <w:rPr>
          <w:rFonts w:hint="eastAsia"/>
          <w:spacing w:val="4"/>
          <w:szCs w:val="21"/>
        </w:rPr>
        <w:t>改变大气层状况必须具有“较大有害影响”。关于本指南适用范围的指南</w:t>
      </w:r>
      <w:r w:rsidRPr="0037141E">
        <w:rPr>
          <w:rFonts w:hint="eastAsia"/>
          <w:spacing w:val="4"/>
          <w:szCs w:val="21"/>
        </w:rPr>
        <w:t>2</w:t>
      </w:r>
      <w:r w:rsidRPr="0037141E">
        <w:rPr>
          <w:rFonts w:hint="eastAsia"/>
          <w:spacing w:val="4"/>
          <w:szCs w:val="21"/>
        </w:rPr>
        <w:t>草案表明，本指南涉及保护大气层免遭大气污染和大气层退化。如以上第</w:t>
      </w:r>
      <w:r w:rsidRPr="0037141E">
        <w:rPr>
          <w:rFonts w:hint="eastAsia"/>
          <w:spacing w:val="4"/>
          <w:szCs w:val="21"/>
        </w:rPr>
        <w:t>(11)</w:t>
      </w:r>
      <w:r w:rsidRPr="0037141E">
        <w:rPr>
          <w:rFonts w:hint="eastAsia"/>
          <w:spacing w:val="4"/>
          <w:szCs w:val="21"/>
        </w:rPr>
        <w:t>段所述，《保护臭氧层维也</w:t>
      </w:r>
      <w:r w:rsidRPr="00BB6462">
        <w:rPr>
          <w:rFonts w:hint="eastAsia"/>
          <w:szCs w:val="21"/>
        </w:rPr>
        <w:t>纳公约》</w:t>
      </w:r>
      <w:r w:rsidRPr="003F1277">
        <w:rPr>
          <w:rStyle w:val="a3"/>
          <w:color w:val="0000CC"/>
          <w:szCs w:val="21"/>
        </w:rPr>
        <w:footnoteReference w:id="48"/>
      </w:r>
      <w:r w:rsidRPr="00BB6462">
        <w:rPr>
          <w:rFonts w:hint="eastAsia"/>
          <w:szCs w:val="21"/>
        </w:rPr>
        <w:t xml:space="preserve"> </w:t>
      </w:r>
      <w:r w:rsidRPr="00BB6462">
        <w:rPr>
          <w:rFonts w:hint="eastAsia"/>
          <w:szCs w:val="21"/>
        </w:rPr>
        <w:t>中“不利影响”一语指具有较大有害影响的变化。“有害”一词指某事物往往存在不甚明确或意料之外的害处。</w:t>
      </w:r>
    </w:p>
    <w:p w:rsidR="00C13183" w:rsidRPr="00BB6462" w:rsidRDefault="00C13183" w:rsidP="00C13183">
      <w:pPr>
        <w:pStyle w:val="Sponsors"/>
        <w:keepNext/>
        <w:keepLines/>
        <w:tabs>
          <w:tab w:val="clear" w:pos="1021"/>
          <w:tab w:val="clear" w:pos="1264"/>
          <w:tab w:val="clear" w:pos="1695"/>
          <w:tab w:val="clear" w:pos="2126"/>
          <w:tab w:val="clear" w:pos="2557"/>
        </w:tabs>
        <w:spacing w:after="140" w:line="320" w:lineRule="exact"/>
        <w:ind w:left="1701"/>
      </w:pPr>
      <w:r w:rsidRPr="00BB6462">
        <w:rPr>
          <w:rFonts w:hint="eastAsia"/>
        </w:rPr>
        <w:tab/>
        <w:t>指南2</w:t>
      </w:r>
      <w:r>
        <w:br/>
      </w:r>
      <w:r w:rsidRPr="00BB6462">
        <w:rPr>
          <w:rFonts w:hint="eastAsia"/>
        </w:rPr>
        <w:t>指南的范围</w:t>
      </w:r>
    </w:p>
    <w:p w:rsidR="00C13183" w:rsidRPr="00BB6462" w:rsidRDefault="00C13183" w:rsidP="00C13183">
      <w:pPr>
        <w:pStyle w:val="SingleTxt"/>
        <w:keepNext/>
        <w:keepLines/>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1.  </w:t>
      </w:r>
      <w:r w:rsidRPr="00BB6462">
        <w:rPr>
          <w:rFonts w:hint="eastAsia"/>
          <w:szCs w:val="21"/>
        </w:rPr>
        <w:t>本指南草案</w:t>
      </w:r>
      <w:r w:rsidRPr="00BB6462">
        <w:rPr>
          <w:rFonts w:hint="eastAsia"/>
          <w:szCs w:val="21"/>
        </w:rPr>
        <w:t>[</w:t>
      </w:r>
      <w:r w:rsidRPr="00BB6462">
        <w:rPr>
          <w:rFonts w:hint="eastAsia"/>
          <w:szCs w:val="21"/>
        </w:rPr>
        <w:t>所载指导原则涉及</w:t>
      </w:r>
      <w:r w:rsidRPr="00BB6462">
        <w:rPr>
          <w:rFonts w:hint="eastAsia"/>
          <w:szCs w:val="21"/>
        </w:rPr>
        <w:t>][</w:t>
      </w:r>
      <w:r w:rsidRPr="00BB6462">
        <w:rPr>
          <w:rFonts w:hint="eastAsia"/>
          <w:szCs w:val="21"/>
        </w:rPr>
        <w:t>涉及</w:t>
      </w:r>
      <w:r w:rsidRPr="00BB6462">
        <w:rPr>
          <w:rFonts w:hint="eastAsia"/>
          <w:szCs w:val="21"/>
        </w:rPr>
        <w:t>]</w:t>
      </w:r>
      <w:r w:rsidRPr="00BB6462">
        <w:rPr>
          <w:rFonts w:hint="eastAsia"/>
          <w:szCs w:val="21"/>
        </w:rPr>
        <w:t>保护大气层免遭大气污染和大气层退化。</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2.  </w:t>
      </w:r>
      <w:r w:rsidRPr="00BB6462">
        <w:rPr>
          <w:rFonts w:hint="eastAsia"/>
          <w:szCs w:val="21"/>
        </w:rPr>
        <w:t>本指南草案不处理、但也不妨碍以下问题：污染者付费原则、谨慎原则、共同但有区别的责任、国家及其国民的赔偿责任，以及向发展中国家转让资金，包括知识产权。</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3.  </w:t>
      </w:r>
      <w:r w:rsidRPr="00BB6462">
        <w:rPr>
          <w:rFonts w:hint="eastAsia"/>
          <w:szCs w:val="21"/>
        </w:rPr>
        <w:t>本指南草案不涉及具体物质，例如国家之间正在谈判的黑碳、对流层臭氧以及其他双重影响物质。</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4.  </w:t>
      </w:r>
      <w:r w:rsidRPr="00BB6462">
        <w:rPr>
          <w:rFonts w:hint="eastAsia"/>
          <w:szCs w:val="21"/>
        </w:rPr>
        <w:t>本指南草案中的任何内容都不影响国际法规定的空气空间的地位，也不影响与外层空间，包括外层空间划界有关的问题。</w:t>
      </w:r>
    </w:p>
    <w:p w:rsidR="00C13183" w:rsidRPr="00AC08C6" w:rsidRDefault="00C13183" w:rsidP="00C13183">
      <w:pPr>
        <w:pStyle w:val="Sponsors"/>
        <w:keepNext/>
        <w:keepLines/>
        <w:spacing w:line="120" w:lineRule="exact"/>
        <w:rPr>
          <w:sz w:val="10"/>
        </w:rPr>
      </w:pPr>
    </w:p>
    <w:p w:rsidR="00C13183" w:rsidRPr="00BB6462" w:rsidRDefault="00C13183" w:rsidP="00C13183">
      <w:pPr>
        <w:pStyle w:val="Sponsors"/>
        <w:keepNext/>
        <w:keepLines/>
      </w:pPr>
      <w:r w:rsidRPr="00BB6462">
        <w:tab/>
      </w:r>
      <w:r w:rsidRPr="00BB6462">
        <w:tab/>
      </w:r>
      <w:r w:rsidRPr="00BB6462">
        <w:rPr>
          <w:rFonts w:hint="eastAsia"/>
        </w:rPr>
        <w:t>评注</w:t>
      </w:r>
    </w:p>
    <w:p w:rsidR="00C13183" w:rsidRPr="00AC08C6" w:rsidRDefault="00C13183" w:rsidP="00C13183">
      <w:pPr>
        <w:pStyle w:val="SingleTxt"/>
        <w:keepNext/>
        <w:keepLines/>
        <w:spacing w:after="0" w:line="120" w:lineRule="exact"/>
        <w:rPr>
          <w:sz w:val="10"/>
          <w:szCs w:val="21"/>
        </w:rPr>
      </w:pPr>
    </w:p>
    <w:p w:rsidR="00C13183" w:rsidRPr="00BB6462" w:rsidRDefault="00C13183" w:rsidP="00C13183">
      <w:pPr>
        <w:pStyle w:val="SingleTxt"/>
        <w:rPr>
          <w:szCs w:val="21"/>
        </w:rPr>
      </w:pPr>
      <w:r w:rsidRPr="00BB6462">
        <w:rPr>
          <w:rFonts w:hint="eastAsia"/>
          <w:szCs w:val="21"/>
        </w:rPr>
        <w:t>(1)</w:t>
      </w:r>
      <w:r w:rsidRPr="00BB6462">
        <w:rPr>
          <w:szCs w:val="21"/>
        </w:rPr>
        <w:t xml:space="preserve"> </w:t>
      </w:r>
      <w:r w:rsidRPr="00BB6462">
        <w:rPr>
          <w:rFonts w:hint="eastAsia"/>
          <w:szCs w:val="21"/>
        </w:rPr>
        <w:t xml:space="preserve"> </w:t>
      </w:r>
      <w:r w:rsidRPr="00BB6462">
        <w:rPr>
          <w:rFonts w:hint="eastAsia"/>
          <w:szCs w:val="21"/>
        </w:rPr>
        <w:t>指南草案</w:t>
      </w:r>
      <w:r>
        <w:rPr>
          <w:rFonts w:hint="eastAsia"/>
          <w:szCs w:val="21"/>
        </w:rPr>
        <w:t>2</w:t>
      </w:r>
      <w:r w:rsidRPr="00BB6462">
        <w:rPr>
          <w:rFonts w:hint="eastAsia"/>
          <w:szCs w:val="21"/>
        </w:rPr>
        <w:t>规定指南草案在保护大气层方面的范围。第</w:t>
      </w:r>
      <w:r w:rsidRPr="00BB6462">
        <w:rPr>
          <w:rFonts w:hint="eastAsia"/>
          <w:szCs w:val="21"/>
        </w:rPr>
        <w:t>1</w:t>
      </w:r>
      <w:r w:rsidRPr="00BB6462">
        <w:rPr>
          <w:rFonts w:hint="eastAsia"/>
          <w:szCs w:val="21"/>
        </w:rPr>
        <w:t>段正面描述了范围，写明指南处理什么，第</w:t>
      </w:r>
      <w:r w:rsidRPr="00BB6462">
        <w:rPr>
          <w:rFonts w:hint="eastAsia"/>
          <w:szCs w:val="21"/>
        </w:rPr>
        <w:t>2</w:t>
      </w:r>
      <w:r w:rsidRPr="00BB6462">
        <w:rPr>
          <w:rFonts w:hint="eastAsia"/>
          <w:szCs w:val="21"/>
        </w:rPr>
        <w:t>和第</w:t>
      </w:r>
      <w:r w:rsidRPr="00BB6462">
        <w:rPr>
          <w:rFonts w:hint="eastAsia"/>
          <w:szCs w:val="21"/>
        </w:rPr>
        <w:t>3</w:t>
      </w:r>
      <w:r w:rsidRPr="00BB6462">
        <w:rPr>
          <w:rFonts w:hint="eastAsia"/>
          <w:szCs w:val="21"/>
        </w:rPr>
        <w:t>段采用否定措词，具体写明本指南草案不涵盖什么。第</w:t>
      </w:r>
      <w:r w:rsidRPr="00BB6462">
        <w:rPr>
          <w:rFonts w:hint="eastAsia"/>
          <w:szCs w:val="21"/>
        </w:rPr>
        <w:t>4</w:t>
      </w:r>
      <w:r w:rsidRPr="00BB6462">
        <w:rPr>
          <w:rFonts w:hint="eastAsia"/>
          <w:szCs w:val="21"/>
        </w:rPr>
        <w:t>段是关于空气空间和外层空间的保留条款。</w:t>
      </w:r>
    </w:p>
    <w:p w:rsidR="00C13183" w:rsidRPr="00BB6462" w:rsidRDefault="00C13183" w:rsidP="00C13183">
      <w:pPr>
        <w:pStyle w:val="SingleTxt"/>
        <w:rPr>
          <w:szCs w:val="21"/>
        </w:rPr>
      </w:pPr>
      <w:r w:rsidRPr="00BB6462">
        <w:rPr>
          <w:rFonts w:hint="eastAsia"/>
          <w:szCs w:val="21"/>
        </w:rPr>
        <w:t xml:space="preserve">(2) </w:t>
      </w:r>
      <w:r w:rsidRPr="00BB6462">
        <w:rPr>
          <w:szCs w:val="21"/>
        </w:rPr>
        <w:t xml:space="preserve"> </w:t>
      </w:r>
      <w:r w:rsidRPr="00BB6462">
        <w:rPr>
          <w:rFonts w:hint="eastAsia"/>
          <w:szCs w:val="21"/>
        </w:rPr>
        <w:t>第</w:t>
      </w:r>
      <w:r w:rsidRPr="00BB6462">
        <w:rPr>
          <w:rFonts w:hint="eastAsia"/>
          <w:szCs w:val="21"/>
        </w:rPr>
        <w:t>1</w:t>
      </w:r>
      <w:r w:rsidRPr="00BB6462">
        <w:rPr>
          <w:rFonts w:hint="eastAsia"/>
          <w:szCs w:val="21"/>
        </w:rPr>
        <w:t>段是在指南</w:t>
      </w:r>
      <w:r w:rsidRPr="00BB6462">
        <w:rPr>
          <w:rFonts w:hint="eastAsia"/>
          <w:szCs w:val="21"/>
        </w:rPr>
        <w:t>1</w:t>
      </w:r>
      <w:r w:rsidRPr="00BB6462">
        <w:rPr>
          <w:rFonts w:hint="eastAsia"/>
          <w:szCs w:val="21"/>
        </w:rPr>
        <w:t>草案的</w:t>
      </w:r>
      <w:r w:rsidRPr="00BB6462">
        <w:rPr>
          <w:rFonts w:hint="eastAsia"/>
          <w:szCs w:val="21"/>
        </w:rPr>
        <w:t>(b)</w:t>
      </w:r>
      <w:r w:rsidRPr="00BB6462">
        <w:rPr>
          <w:rFonts w:hint="eastAsia"/>
          <w:szCs w:val="21"/>
        </w:rPr>
        <w:t>和</w:t>
      </w:r>
      <w:r w:rsidRPr="00BB6462">
        <w:rPr>
          <w:rFonts w:hint="eastAsia"/>
          <w:szCs w:val="21"/>
        </w:rPr>
        <w:t>(c)</w:t>
      </w:r>
      <w:r w:rsidRPr="00BB6462">
        <w:rPr>
          <w:rFonts w:hint="eastAsia"/>
          <w:szCs w:val="21"/>
        </w:rPr>
        <w:t>定义的基础上界定指南草案的范围。第</w:t>
      </w:r>
      <w:r w:rsidRPr="00BB6462">
        <w:rPr>
          <w:rFonts w:hint="eastAsia"/>
          <w:szCs w:val="21"/>
        </w:rPr>
        <w:t>1</w:t>
      </w:r>
      <w:r w:rsidRPr="00BB6462">
        <w:rPr>
          <w:rFonts w:hint="eastAsia"/>
          <w:szCs w:val="21"/>
        </w:rPr>
        <w:t>段从两方面处理保护大气层的问题，即：大气污染和全球大气层退化。指南草案仅涉及人为肇因，不涉及自然因素，诸如火山爆发和陨石撞击。</w:t>
      </w:r>
      <w:r w:rsidRPr="00BB6462">
        <w:rPr>
          <w:rFonts w:hint="eastAsia"/>
          <w:spacing w:val="1"/>
          <w:szCs w:val="21"/>
        </w:rPr>
        <w:t>着重于人类活动造成的跨界大气污染和全球大气层退化是反映当前现实，这已得到科学的支持。</w:t>
      </w:r>
      <w:r w:rsidRPr="003F1277">
        <w:rPr>
          <w:rStyle w:val="a3"/>
          <w:color w:val="0000CC"/>
          <w:szCs w:val="21"/>
        </w:rPr>
        <w:footnoteReference w:id="49"/>
      </w:r>
      <w:r w:rsidRPr="00BB6462">
        <w:rPr>
          <w:szCs w:val="21"/>
        </w:rPr>
        <w:t xml:space="preserve"> </w:t>
      </w:r>
      <w:r w:rsidRPr="00BB6462">
        <w:rPr>
          <w:rFonts w:hint="eastAsia"/>
          <w:szCs w:val="21"/>
        </w:rPr>
        <w:t>根据气专委，科学以</w:t>
      </w:r>
      <w:r w:rsidRPr="00BB6462">
        <w:rPr>
          <w:rFonts w:hint="eastAsia"/>
          <w:szCs w:val="21"/>
        </w:rPr>
        <w:t>95%</w:t>
      </w:r>
      <w:r w:rsidRPr="00BB6462">
        <w:rPr>
          <w:rFonts w:hint="eastAsia"/>
          <w:szCs w:val="21"/>
        </w:rPr>
        <w:t>的把握表明人类活动是</w:t>
      </w:r>
      <w:r w:rsidRPr="00BB6462">
        <w:rPr>
          <w:rFonts w:hint="eastAsia"/>
          <w:szCs w:val="21"/>
        </w:rPr>
        <w:t>20</w:t>
      </w:r>
      <w:r w:rsidRPr="00BB6462">
        <w:rPr>
          <w:rFonts w:hint="eastAsia"/>
          <w:szCs w:val="21"/>
        </w:rPr>
        <w:t>世纪中叶以来所观察到的暖化的主导原因。气专委指出，人类对气候系统的影响是很清楚的。从大气层和海洋变暖、全球水循环变化、冰雪减少、全球平均海平面上升和某些气候极端情况的变化中都测到了这种影响。</w:t>
      </w:r>
      <w:r w:rsidRPr="003F1277">
        <w:rPr>
          <w:rStyle w:val="a3"/>
          <w:color w:val="0000CC"/>
          <w:szCs w:val="21"/>
        </w:rPr>
        <w:footnoteReference w:id="50"/>
      </w:r>
      <w:r w:rsidRPr="00BB6462">
        <w:rPr>
          <w:rFonts w:hint="eastAsia"/>
          <w:szCs w:val="21"/>
        </w:rPr>
        <w:t xml:space="preserve"> </w:t>
      </w:r>
      <w:r w:rsidRPr="00BB6462">
        <w:rPr>
          <w:rFonts w:hint="eastAsia"/>
          <w:szCs w:val="21"/>
        </w:rPr>
        <w:t>气专委还指出，观察到的</w:t>
      </w:r>
      <w:r w:rsidRPr="00BB6462">
        <w:rPr>
          <w:rFonts w:hint="eastAsia"/>
          <w:szCs w:val="21"/>
        </w:rPr>
        <w:t>1951</w:t>
      </w:r>
      <w:r w:rsidRPr="00BB6462">
        <w:rPr>
          <w:rFonts w:hint="eastAsia"/>
          <w:szCs w:val="21"/>
        </w:rPr>
        <w:t>年到</w:t>
      </w:r>
      <w:r w:rsidRPr="00BB6462">
        <w:rPr>
          <w:rFonts w:hint="eastAsia"/>
          <w:szCs w:val="21"/>
        </w:rPr>
        <w:t>2010</w:t>
      </w:r>
      <w:r w:rsidRPr="00BB6462">
        <w:rPr>
          <w:rFonts w:hint="eastAsia"/>
          <w:szCs w:val="21"/>
        </w:rPr>
        <w:t>年全球表面平均温度上升值的一半以上极有可能是温室气体浓度的人为上升和其他人为辐射“强制作用”共同造成的。</w:t>
      </w:r>
      <w:r w:rsidRPr="003F1277">
        <w:rPr>
          <w:rStyle w:val="a3"/>
          <w:color w:val="0000CC"/>
          <w:szCs w:val="21"/>
        </w:rPr>
        <w:footnoteReference w:id="51"/>
      </w:r>
    </w:p>
    <w:p w:rsidR="00C13183" w:rsidRPr="00BB6462" w:rsidRDefault="00C13183" w:rsidP="00C13183">
      <w:pPr>
        <w:pStyle w:val="SingleTxt"/>
        <w:rPr>
          <w:szCs w:val="21"/>
        </w:rPr>
      </w:pPr>
      <w:r>
        <w:rPr>
          <w:rFonts w:hint="eastAsia"/>
          <w:szCs w:val="21"/>
        </w:rPr>
        <w:t>(</w:t>
      </w:r>
      <w:r w:rsidRPr="00BB6462">
        <w:rPr>
          <w:rFonts w:hint="eastAsia"/>
          <w:szCs w:val="21"/>
        </w:rPr>
        <w:t>3</w:t>
      </w:r>
      <w:r>
        <w:rPr>
          <w:rFonts w:hint="eastAsia"/>
          <w:szCs w:val="21"/>
        </w:rPr>
        <w:t xml:space="preserve">)  </w:t>
      </w:r>
      <w:r w:rsidRPr="00BB6462">
        <w:rPr>
          <w:rFonts w:hint="eastAsia"/>
          <w:szCs w:val="21"/>
        </w:rPr>
        <w:t>本指南也不涉及一国内部或局部的污染。然而，或许可以指出，局部发生的一切，就大气层保护而言，有时可能具有跨界和全球影响。追求改善的人类行动，不论是个别采取还是集体采取，都可能需要考虑到大气层、水圈、生物圈和地圈的整体及其相互作用。</w:t>
      </w:r>
    </w:p>
    <w:p w:rsidR="00C13183" w:rsidRPr="006B3557" w:rsidRDefault="00C13183" w:rsidP="00C13183">
      <w:pPr>
        <w:pStyle w:val="SingleTxt"/>
        <w:keepNext/>
        <w:keepLines/>
        <w:rPr>
          <w:spacing w:val="4"/>
          <w:szCs w:val="21"/>
        </w:rPr>
      </w:pPr>
      <w:r w:rsidRPr="00BB6462">
        <w:rPr>
          <w:rFonts w:hint="eastAsia"/>
          <w:szCs w:val="21"/>
        </w:rPr>
        <w:t xml:space="preserve">(4) </w:t>
      </w:r>
      <w:r w:rsidRPr="00BB6462">
        <w:rPr>
          <w:szCs w:val="21"/>
        </w:rPr>
        <w:t xml:space="preserve"> </w:t>
      </w:r>
      <w:r w:rsidRPr="00BB6462">
        <w:rPr>
          <w:rFonts w:hint="eastAsia"/>
          <w:szCs w:val="21"/>
        </w:rPr>
        <w:t>二</w:t>
      </w:r>
      <w:r w:rsidRPr="006B3557">
        <w:rPr>
          <w:rFonts w:hint="eastAsia"/>
          <w:spacing w:val="4"/>
          <w:szCs w:val="21"/>
        </w:rPr>
        <w:t>氧化硫和氧化氮是跨界大气污染的主要来源，</w:t>
      </w:r>
      <w:r w:rsidRPr="003F1277">
        <w:rPr>
          <w:rStyle w:val="a3"/>
          <w:color w:val="0000CC"/>
          <w:spacing w:val="4"/>
          <w:szCs w:val="21"/>
        </w:rPr>
        <w:footnoteReference w:id="52"/>
      </w:r>
      <w:r w:rsidRPr="006B3557">
        <w:rPr>
          <w:rFonts w:hint="eastAsia"/>
          <w:spacing w:val="4"/>
          <w:szCs w:val="21"/>
        </w:rPr>
        <w:t xml:space="preserve"> </w:t>
      </w:r>
      <w:r w:rsidRPr="006B3557">
        <w:rPr>
          <w:rFonts w:hint="eastAsia"/>
          <w:spacing w:val="4"/>
          <w:szCs w:val="21"/>
        </w:rPr>
        <w:t>而气候变化和臭氧层消耗是导致大气层退化的两大因素。</w:t>
      </w:r>
      <w:r w:rsidRPr="003F1277">
        <w:rPr>
          <w:rStyle w:val="a3"/>
          <w:color w:val="0000CC"/>
          <w:spacing w:val="4"/>
          <w:szCs w:val="21"/>
        </w:rPr>
        <w:footnoteReference w:id="53"/>
      </w:r>
      <w:r w:rsidRPr="006B3557">
        <w:rPr>
          <w:rFonts w:hint="eastAsia"/>
          <w:spacing w:val="4"/>
          <w:szCs w:val="21"/>
        </w:rPr>
        <w:t xml:space="preserve"> </w:t>
      </w:r>
      <w:r w:rsidRPr="006B3557">
        <w:rPr>
          <w:rFonts w:hint="eastAsia"/>
          <w:spacing w:val="4"/>
          <w:szCs w:val="21"/>
        </w:rPr>
        <w:t>某些臭氧消耗物质也是造成全球变暖的因素。</w:t>
      </w:r>
      <w:r w:rsidRPr="003F1277">
        <w:rPr>
          <w:rStyle w:val="a3"/>
          <w:color w:val="0000CC"/>
          <w:spacing w:val="4"/>
          <w:szCs w:val="21"/>
        </w:rPr>
        <w:footnoteReference w:id="54"/>
      </w:r>
    </w:p>
    <w:p w:rsidR="00C13183" w:rsidRPr="00BB6462" w:rsidRDefault="00C13183" w:rsidP="00C13183">
      <w:pPr>
        <w:pStyle w:val="SingleTxt"/>
        <w:rPr>
          <w:szCs w:val="21"/>
        </w:rPr>
      </w:pPr>
      <w:r w:rsidRPr="00BB6462">
        <w:rPr>
          <w:rFonts w:hint="eastAsia"/>
          <w:szCs w:val="21"/>
        </w:rPr>
        <w:t>(5)</w:t>
      </w:r>
      <w:r w:rsidRPr="00BB6462">
        <w:rPr>
          <w:szCs w:val="21"/>
        </w:rPr>
        <w:t xml:space="preserve"> </w:t>
      </w:r>
      <w:r w:rsidRPr="00BB6462">
        <w:rPr>
          <w:rFonts w:hint="eastAsia"/>
          <w:szCs w:val="21"/>
        </w:rPr>
        <w:t xml:space="preserve"> </w:t>
      </w:r>
      <w:r w:rsidRPr="00BB6462">
        <w:rPr>
          <w:rFonts w:hint="eastAsia"/>
          <w:szCs w:val="21"/>
        </w:rPr>
        <w:t>指南草案是“</w:t>
      </w:r>
      <w:r w:rsidRPr="00BB6462">
        <w:rPr>
          <w:rFonts w:hint="eastAsia"/>
          <w:szCs w:val="21"/>
        </w:rPr>
        <w:t>(</w:t>
      </w:r>
      <w:r w:rsidRPr="00BB6462">
        <w:rPr>
          <w:rFonts w:hint="eastAsia"/>
          <w:szCs w:val="21"/>
        </w:rPr>
        <w:t>所</w:t>
      </w:r>
      <w:r w:rsidRPr="00BB6462">
        <w:rPr>
          <w:rFonts w:hint="eastAsia"/>
          <w:szCs w:val="21"/>
        </w:rPr>
        <w:t>)</w:t>
      </w:r>
      <w:r w:rsidRPr="00BB6462">
        <w:rPr>
          <w:rFonts w:hint="eastAsia"/>
          <w:szCs w:val="21"/>
        </w:rPr>
        <w:t>载</w:t>
      </w:r>
      <w:r w:rsidRPr="00BB6462">
        <w:rPr>
          <w:rFonts w:hint="eastAsia"/>
          <w:szCs w:val="21"/>
        </w:rPr>
        <w:t>(</w:t>
      </w:r>
      <w:r w:rsidRPr="00BB6462">
        <w:rPr>
          <w:rFonts w:hint="eastAsia"/>
          <w:szCs w:val="21"/>
        </w:rPr>
        <w:t>有</w:t>
      </w:r>
      <w:r w:rsidRPr="00BB6462">
        <w:rPr>
          <w:rFonts w:hint="eastAsia"/>
          <w:szCs w:val="21"/>
        </w:rPr>
        <w:t>)</w:t>
      </w:r>
      <w:r w:rsidRPr="00BB6462">
        <w:rPr>
          <w:rFonts w:hint="eastAsia"/>
          <w:szCs w:val="21"/>
        </w:rPr>
        <w:t>指导原则涉及”还是“涉及”保护大气层免遭大气污染和大气层退化，这个问题有待随着工作进展做进一步审议。</w:t>
      </w:r>
    </w:p>
    <w:p w:rsidR="00C13183" w:rsidRPr="00BB6462" w:rsidRDefault="00C13183" w:rsidP="00C13183">
      <w:pPr>
        <w:pStyle w:val="SingleTxt"/>
        <w:rPr>
          <w:szCs w:val="21"/>
        </w:rPr>
      </w:pPr>
      <w:r w:rsidRPr="00BB6462">
        <w:rPr>
          <w:rFonts w:hint="eastAsia"/>
          <w:szCs w:val="21"/>
        </w:rPr>
        <w:t xml:space="preserve">(6)  </w:t>
      </w:r>
      <w:r w:rsidRPr="00BB6462">
        <w:rPr>
          <w:rFonts w:hint="eastAsia"/>
          <w:szCs w:val="21"/>
        </w:rPr>
        <w:t>第</w:t>
      </w:r>
      <w:r w:rsidRPr="00BB6462">
        <w:rPr>
          <w:rFonts w:hint="eastAsia"/>
          <w:szCs w:val="21"/>
        </w:rPr>
        <w:t>2</w:t>
      </w:r>
      <w:r w:rsidRPr="00BB6462">
        <w:rPr>
          <w:rFonts w:hint="eastAsia"/>
          <w:szCs w:val="21"/>
        </w:rPr>
        <w:t>和第</w:t>
      </w:r>
      <w:r w:rsidRPr="00BB6462">
        <w:rPr>
          <w:rFonts w:hint="eastAsia"/>
          <w:szCs w:val="21"/>
        </w:rPr>
        <w:t>3</w:t>
      </w:r>
      <w:r w:rsidRPr="00BB6462">
        <w:rPr>
          <w:rFonts w:hint="eastAsia"/>
          <w:szCs w:val="21"/>
        </w:rPr>
        <w:t>段以及序言部分第四段反映委员会在</w:t>
      </w:r>
      <w:r w:rsidRPr="00BB6462">
        <w:rPr>
          <w:rFonts w:hint="eastAsia"/>
          <w:szCs w:val="21"/>
        </w:rPr>
        <w:t>2013</w:t>
      </w:r>
      <w:r w:rsidRPr="00BB6462">
        <w:rPr>
          <w:rFonts w:hint="eastAsia"/>
          <w:szCs w:val="21"/>
        </w:rPr>
        <w:t>年就本专题纳入第六十五届会议</w:t>
      </w:r>
      <w:r w:rsidRPr="00BB6462">
        <w:rPr>
          <w:szCs w:val="21"/>
        </w:rPr>
        <w:t>工作方案</w:t>
      </w:r>
      <w:r w:rsidRPr="00BB6462">
        <w:rPr>
          <w:rFonts w:hint="eastAsia"/>
          <w:szCs w:val="21"/>
        </w:rPr>
        <w:t>达成的谅解。</w:t>
      </w:r>
      <w:r w:rsidRPr="003F1277">
        <w:rPr>
          <w:rStyle w:val="a3"/>
          <w:color w:val="0000CC"/>
          <w:szCs w:val="21"/>
        </w:rPr>
        <w:footnoteReference w:id="55"/>
      </w:r>
    </w:p>
    <w:p w:rsidR="00C13183" w:rsidRPr="00BB6462" w:rsidRDefault="00C13183" w:rsidP="00C13183">
      <w:pPr>
        <w:pStyle w:val="SingleTxt"/>
        <w:keepNext/>
        <w:keepLines/>
        <w:rPr>
          <w:szCs w:val="21"/>
        </w:rPr>
      </w:pPr>
      <w:r w:rsidRPr="00BB6462">
        <w:rPr>
          <w:rFonts w:hint="eastAsia"/>
          <w:szCs w:val="21"/>
        </w:rPr>
        <w:lastRenderedPageBreak/>
        <w:t xml:space="preserve">(7) </w:t>
      </w:r>
      <w:r w:rsidRPr="00BB6462">
        <w:rPr>
          <w:szCs w:val="21"/>
        </w:rPr>
        <w:t xml:space="preserve"> </w:t>
      </w:r>
      <w:r w:rsidRPr="00BB6462">
        <w:rPr>
          <w:rFonts w:hint="eastAsia"/>
          <w:szCs w:val="21"/>
        </w:rPr>
        <w:t>第</w:t>
      </w:r>
      <w:r w:rsidRPr="00BB6462">
        <w:rPr>
          <w:rFonts w:hint="eastAsia"/>
          <w:szCs w:val="21"/>
        </w:rPr>
        <w:t>4</w:t>
      </w:r>
      <w:r w:rsidRPr="00BB6462">
        <w:rPr>
          <w:rFonts w:hint="eastAsia"/>
          <w:szCs w:val="21"/>
        </w:rPr>
        <w:t>段是一个保留条款，意在说明指南草案不影响适用的国际法所规定的空气空间的地位。大气层和空气空间是两个截然不同的概念，应予区分。空气空间是静态的、基于空间的规范概念，国家在其领土范围内对空气空间“具有完全的和排他的主权”。例如，《国际民用航空公约》</w:t>
      </w:r>
      <w:r w:rsidRPr="003F1277">
        <w:rPr>
          <w:rStyle w:val="a3"/>
          <w:color w:val="0000CC"/>
          <w:szCs w:val="21"/>
        </w:rPr>
        <w:footnoteReference w:id="56"/>
      </w:r>
      <w:r w:rsidRPr="00BB6462">
        <w:rPr>
          <w:rFonts w:hint="eastAsia"/>
          <w:szCs w:val="21"/>
        </w:rPr>
        <w:t xml:space="preserve"> </w:t>
      </w:r>
      <w:r w:rsidRPr="00BB6462">
        <w:rPr>
          <w:rFonts w:hint="eastAsia"/>
          <w:szCs w:val="21"/>
        </w:rPr>
        <w:t>第</w:t>
      </w:r>
      <w:r w:rsidRPr="00BB6462">
        <w:rPr>
          <w:rFonts w:hint="eastAsia"/>
          <w:szCs w:val="21"/>
        </w:rPr>
        <w:t>1</w:t>
      </w:r>
      <w:r w:rsidRPr="00BB6462">
        <w:rPr>
          <w:rFonts w:hint="eastAsia"/>
          <w:szCs w:val="21"/>
        </w:rPr>
        <w:t>条规定：“……每一国家对其领土之上的‘空气空间’具有完全的和排他的主权”。</w:t>
      </w:r>
      <w:r w:rsidRPr="003F1277">
        <w:rPr>
          <w:rStyle w:val="a3"/>
          <w:color w:val="0000CC"/>
          <w:szCs w:val="21"/>
        </w:rPr>
        <w:footnoteReference w:id="57"/>
      </w:r>
      <w:r>
        <w:rPr>
          <w:rFonts w:hint="eastAsia"/>
          <w:szCs w:val="21"/>
        </w:rPr>
        <w:t xml:space="preserve"> </w:t>
      </w:r>
      <w:r w:rsidRPr="00BB6462">
        <w:rPr>
          <w:rFonts w:hint="eastAsia"/>
          <w:szCs w:val="21"/>
        </w:rPr>
        <w:t>相应地，该公约第</w:t>
      </w:r>
      <w:r w:rsidRPr="00BB6462">
        <w:rPr>
          <w:rFonts w:hint="eastAsia"/>
          <w:szCs w:val="21"/>
        </w:rPr>
        <w:t>2</w:t>
      </w:r>
      <w:r w:rsidRPr="00BB6462">
        <w:rPr>
          <w:rFonts w:hint="eastAsia"/>
          <w:szCs w:val="21"/>
        </w:rPr>
        <w:t>条认为一国的领土是在该国主权、宗主权、保护或主权、宗主权、保护或委任统治下的陆地区域及与其邻接的领水。领水边界以外的空气空间被视为处于任何国家的主权之外，像公海一样，开放供所有国家使用。另一方面，大气层作为环绕地球的气体圈层，是动态的和动态的、变幻不定的，气体不断流动，与领土边界无关。</w:t>
      </w:r>
      <w:r w:rsidRPr="003F1277">
        <w:rPr>
          <w:rStyle w:val="a3"/>
          <w:color w:val="0000CC"/>
          <w:szCs w:val="21"/>
        </w:rPr>
        <w:footnoteReference w:id="58"/>
      </w:r>
      <w:r w:rsidRPr="00BB6462">
        <w:rPr>
          <w:rFonts w:hint="eastAsia"/>
          <w:szCs w:val="21"/>
        </w:rPr>
        <w:t xml:space="preserve"> </w:t>
      </w:r>
      <w:r w:rsidRPr="00BB6462">
        <w:rPr>
          <w:rFonts w:hint="eastAsia"/>
          <w:szCs w:val="21"/>
        </w:rPr>
        <w:t>大气层是不可见的、无形的和不可分割的。</w:t>
      </w:r>
    </w:p>
    <w:p w:rsidR="00C13183" w:rsidRPr="00BB6462" w:rsidRDefault="00C13183" w:rsidP="00C13183">
      <w:pPr>
        <w:pStyle w:val="SingleTxt"/>
        <w:rPr>
          <w:szCs w:val="21"/>
        </w:rPr>
      </w:pPr>
      <w:r w:rsidRPr="00BB6462">
        <w:rPr>
          <w:rFonts w:hint="eastAsia"/>
          <w:szCs w:val="21"/>
        </w:rPr>
        <w:t xml:space="preserve">(8)  </w:t>
      </w:r>
      <w:r w:rsidRPr="00BB6462">
        <w:rPr>
          <w:rFonts w:hint="eastAsia"/>
          <w:szCs w:val="21"/>
        </w:rPr>
        <w:t>此外，尽管大气层根据温度特点被在空间上划成若干圈层，但大气层与外层空间之间没有科学上的明确界线。海拔</w:t>
      </w:r>
      <w:r w:rsidRPr="00BB6462">
        <w:rPr>
          <w:rFonts w:hint="eastAsia"/>
          <w:szCs w:val="21"/>
        </w:rPr>
        <w:t>100</w:t>
      </w:r>
      <w:r w:rsidRPr="00BB6462">
        <w:rPr>
          <w:rFonts w:hint="eastAsia"/>
          <w:szCs w:val="21"/>
        </w:rPr>
        <w:t>千米以上，稀薄的大气层逐渐与空旷的宇宙融为一体。</w:t>
      </w:r>
      <w:r w:rsidRPr="003F1277">
        <w:rPr>
          <w:rStyle w:val="a3"/>
          <w:color w:val="0000CC"/>
          <w:szCs w:val="21"/>
        </w:rPr>
        <w:footnoteReference w:id="59"/>
      </w:r>
      <w:r>
        <w:rPr>
          <w:rFonts w:hint="eastAsia"/>
          <w:szCs w:val="21"/>
        </w:rPr>
        <w:t xml:space="preserve"> </w:t>
      </w:r>
      <w:r w:rsidRPr="00BB6462">
        <w:rPr>
          <w:rFonts w:hint="eastAsia"/>
          <w:szCs w:val="21"/>
        </w:rPr>
        <w:t>《各国探索与利用包括月球和其他天体在内的外层空间活动的原则的条约》没有“外层空间”的定义。</w:t>
      </w:r>
      <w:r w:rsidRPr="003F1277">
        <w:rPr>
          <w:rStyle w:val="a3"/>
          <w:color w:val="0000CC"/>
          <w:szCs w:val="21"/>
        </w:rPr>
        <w:footnoteReference w:id="60"/>
      </w:r>
      <w:r w:rsidRPr="00BB6462">
        <w:rPr>
          <w:rFonts w:hint="eastAsia"/>
          <w:szCs w:val="21"/>
        </w:rPr>
        <w:t xml:space="preserve"> 1959</w:t>
      </w:r>
      <w:r w:rsidRPr="00BB6462">
        <w:rPr>
          <w:rFonts w:hint="eastAsia"/>
          <w:szCs w:val="21"/>
        </w:rPr>
        <w:t>年以来，这个问题一直在联合国和平利用外层空间委员会</w:t>
      </w:r>
      <w:r w:rsidRPr="00BB6462">
        <w:rPr>
          <w:rFonts w:hint="eastAsia"/>
          <w:szCs w:val="21"/>
        </w:rPr>
        <w:t>(</w:t>
      </w:r>
      <w:r w:rsidRPr="00BB6462">
        <w:rPr>
          <w:rFonts w:hint="eastAsia"/>
          <w:szCs w:val="21"/>
        </w:rPr>
        <w:t>外空委</w:t>
      </w:r>
      <w:r w:rsidRPr="00BB6462">
        <w:rPr>
          <w:rFonts w:hint="eastAsia"/>
          <w:szCs w:val="21"/>
        </w:rPr>
        <w:t>)</w:t>
      </w:r>
      <w:r w:rsidRPr="00BB6462">
        <w:rPr>
          <w:rFonts w:hint="eastAsia"/>
          <w:szCs w:val="21"/>
        </w:rPr>
        <w:t>法律小组委员会讨论范围内，对划界问题从空间办法和功能办法两个角度都进行了探讨。</w:t>
      </w:r>
      <w:r w:rsidRPr="003F1277">
        <w:rPr>
          <w:rStyle w:val="a3"/>
          <w:color w:val="0000CC"/>
          <w:szCs w:val="21"/>
        </w:rPr>
        <w:footnoteReference w:id="61"/>
      </w:r>
    </w:p>
    <w:p w:rsidR="00C13183" w:rsidRPr="00AC08C6" w:rsidRDefault="00C13183" w:rsidP="00C13183">
      <w:pPr>
        <w:pStyle w:val="SingleTxt"/>
        <w:rPr>
          <w:szCs w:val="21"/>
        </w:rPr>
      </w:pPr>
      <w:r w:rsidRPr="00BB6462">
        <w:rPr>
          <w:rFonts w:hint="eastAsia"/>
          <w:szCs w:val="21"/>
        </w:rPr>
        <w:t xml:space="preserve">(9)  </w:t>
      </w:r>
      <w:r w:rsidRPr="00BB6462">
        <w:rPr>
          <w:rFonts w:hint="eastAsia"/>
          <w:szCs w:val="21"/>
        </w:rPr>
        <w:t>因此，委员会选择在第</w:t>
      </w:r>
      <w:r w:rsidRPr="00BB6462">
        <w:rPr>
          <w:rFonts w:hint="eastAsia"/>
          <w:szCs w:val="21"/>
        </w:rPr>
        <w:t>4</w:t>
      </w:r>
      <w:r w:rsidRPr="00BB6462">
        <w:rPr>
          <w:rFonts w:hint="eastAsia"/>
          <w:szCs w:val="21"/>
        </w:rPr>
        <w:t>段里表明，指南草案既不影响空气空间的法律地位，也不处理与外层空间有关的问题。此外，关于外层空间的提法反映委员会</w:t>
      </w:r>
      <w:r w:rsidRPr="00BB6462">
        <w:rPr>
          <w:rFonts w:hint="eastAsia"/>
          <w:szCs w:val="21"/>
        </w:rPr>
        <w:t>2013</w:t>
      </w:r>
      <w:r w:rsidRPr="00BB6462">
        <w:rPr>
          <w:rFonts w:hint="eastAsia"/>
          <w:szCs w:val="21"/>
        </w:rPr>
        <w:t>年的谅解。</w:t>
      </w:r>
    </w:p>
    <w:p w:rsidR="00C13183" w:rsidRPr="00BB6462" w:rsidRDefault="00C13183" w:rsidP="00C13183">
      <w:pPr>
        <w:pStyle w:val="Sponsors"/>
        <w:tabs>
          <w:tab w:val="clear" w:pos="1021"/>
          <w:tab w:val="clear" w:pos="1264"/>
          <w:tab w:val="clear" w:pos="1695"/>
          <w:tab w:val="clear" w:pos="2126"/>
          <w:tab w:val="clear" w:pos="2557"/>
        </w:tabs>
        <w:spacing w:after="140" w:line="320" w:lineRule="exact"/>
        <w:ind w:left="1701" w:firstLine="0"/>
      </w:pPr>
      <w:r w:rsidRPr="00BB6462">
        <w:rPr>
          <w:rFonts w:hint="eastAsia"/>
        </w:rPr>
        <w:t>指南</w:t>
      </w:r>
      <w:r w:rsidRPr="00AC08C6">
        <w:rPr>
          <w:rFonts w:asciiTheme="majorBidi" w:hAnsiTheme="majorBidi" w:cstheme="majorBidi"/>
        </w:rPr>
        <w:t>5</w:t>
      </w:r>
      <w:r w:rsidRPr="00BB6462">
        <w:br/>
      </w:r>
      <w:r w:rsidRPr="00BB6462">
        <w:rPr>
          <w:rFonts w:hint="eastAsia"/>
        </w:rPr>
        <w:t>国际合作</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1.  </w:t>
      </w:r>
      <w:r w:rsidRPr="00BB6462">
        <w:rPr>
          <w:rFonts w:hint="eastAsia"/>
          <w:szCs w:val="21"/>
        </w:rPr>
        <w:t>国家有义务就保护大气层免遭大气污染和大气层退化，酌情与其他国家或有关国际组织合作。</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Pr>
          <w:rFonts w:hint="eastAsia"/>
          <w:szCs w:val="21"/>
        </w:rPr>
        <w:t xml:space="preserve">2.  </w:t>
      </w:r>
      <w:r w:rsidRPr="00BB6462">
        <w:rPr>
          <w:rFonts w:hint="eastAsia"/>
          <w:szCs w:val="21"/>
        </w:rPr>
        <w:t>国家应就进一步增进关于大气污染和大气层退化的原因与影响的科学知识开展合作。合作应包括信息交流和联合监测。</w:t>
      </w:r>
    </w:p>
    <w:p w:rsidR="00C13183" w:rsidRPr="00AC08C6" w:rsidRDefault="00C13183" w:rsidP="00C13183">
      <w:pPr>
        <w:pStyle w:val="Sponsors"/>
        <w:spacing w:line="120" w:lineRule="exact"/>
        <w:rPr>
          <w:sz w:val="10"/>
        </w:rPr>
      </w:pPr>
    </w:p>
    <w:p w:rsidR="00C13183" w:rsidRPr="00BB6462" w:rsidRDefault="00C13183" w:rsidP="00C13183">
      <w:pPr>
        <w:pStyle w:val="Sponsors"/>
        <w:keepNext/>
        <w:keepLines/>
      </w:pPr>
      <w:r w:rsidRPr="00BB6462">
        <w:lastRenderedPageBreak/>
        <w:tab/>
      </w:r>
      <w:r w:rsidRPr="00BB6462">
        <w:tab/>
      </w:r>
      <w:r w:rsidRPr="00BB6462">
        <w:rPr>
          <w:rFonts w:hint="eastAsia"/>
        </w:rPr>
        <w:t>评注</w:t>
      </w:r>
    </w:p>
    <w:p w:rsidR="00C13183" w:rsidRPr="00AC08C6" w:rsidRDefault="00C13183" w:rsidP="00C13183">
      <w:pPr>
        <w:pStyle w:val="SingleTxt"/>
        <w:keepNext/>
        <w:keepLines/>
        <w:spacing w:after="0" w:line="120" w:lineRule="exact"/>
        <w:rPr>
          <w:sz w:val="10"/>
          <w:szCs w:val="21"/>
        </w:rPr>
      </w:pPr>
    </w:p>
    <w:p w:rsidR="00C13183" w:rsidRPr="00BB6462" w:rsidRDefault="00C13183" w:rsidP="00C13183">
      <w:pPr>
        <w:pStyle w:val="SingleTxt"/>
        <w:rPr>
          <w:szCs w:val="21"/>
        </w:rPr>
      </w:pPr>
      <w:r w:rsidRPr="00BB6462">
        <w:rPr>
          <w:rFonts w:hint="eastAsia"/>
          <w:szCs w:val="21"/>
        </w:rPr>
        <w:t xml:space="preserve">(1) </w:t>
      </w:r>
      <w:r w:rsidRPr="00BB6462">
        <w:rPr>
          <w:szCs w:val="21"/>
        </w:rPr>
        <w:t xml:space="preserve"> </w:t>
      </w:r>
      <w:r w:rsidRPr="00BB6462">
        <w:rPr>
          <w:rFonts w:hint="eastAsia"/>
          <w:szCs w:val="21"/>
        </w:rPr>
        <w:t>国际合作位于关于保护大气层的整套指南草案的核心。国际合作概念在国际法中有很大的变化，</w:t>
      </w:r>
      <w:r w:rsidRPr="003F1277">
        <w:rPr>
          <w:rStyle w:val="a3"/>
          <w:color w:val="0000CC"/>
          <w:szCs w:val="21"/>
        </w:rPr>
        <w:footnoteReference w:id="62"/>
      </w:r>
      <w:r w:rsidRPr="004D75FE">
        <w:rPr>
          <w:color w:val="0000CC"/>
          <w:szCs w:val="21"/>
          <w:vertAlign w:val="superscript"/>
        </w:rPr>
        <w:t xml:space="preserve"> </w:t>
      </w:r>
      <w:r w:rsidRPr="00BB6462">
        <w:rPr>
          <w:rFonts w:hint="eastAsia"/>
          <w:spacing w:val="-1"/>
          <w:szCs w:val="21"/>
        </w:rPr>
        <w:t>今日在很大程度上依托“整个国际社会”的共同利益概念。</w:t>
      </w:r>
      <w:r w:rsidRPr="003F1277">
        <w:rPr>
          <w:rStyle w:val="a3"/>
          <w:color w:val="0000CC"/>
          <w:szCs w:val="21"/>
        </w:rPr>
        <w:footnoteReference w:id="63"/>
      </w:r>
      <w:r w:rsidRPr="00BB6462">
        <w:rPr>
          <w:rFonts w:hint="eastAsia"/>
          <w:szCs w:val="21"/>
        </w:rPr>
        <w:t>本指南草案序言部分第三段承认这一点，故言明保护大气层免遭大气污染和大气层退化是“整个国际社会面临的紧迫关切问题”。</w:t>
      </w:r>
    </w:p>
    <w:p w:rsidR="00C13183" w:rsidRPr="00BB6462" w:rsidRDefault="00C13183" w:rsidP="00C13183">
      <w:pPr>
        <w:pStyle w:val="SingleTxt"/>
        <w:rPr>
          <w:szCs w:val="21"/>
        </w:rPr>
      </w:pPr>
      <w:r>
        <w:rPr>
          <w:rFonts w:asciiTheme="majorBidi" w:hAnsiTheme="majorBidi" w:cstheme="majorBidi" w:hint="eastAsia"/>
        </w:rPr>
        <w:t>(</w:t>
      </w:r>
      <w:r w:rsidRPr="00AC08C6">
        <w:rPr>
          <w:rFonts w:asciiTheme="majorBidi" w:hAnsiTheme="majorBidi" w:cstheme="majorBidi"/>
        </w:rPr>
        <w:t>2</w:t>
      </w:r>
      <w:r>
        <w:rPr>
          <w:rFonts w:asciiTheme="majorBidi" w:hAnsiTheme="majorBidi" w:cstheme="majorBidi" w:hint="eastAsia"/>
        </w:rPr>
        <w:t xml:space="preserve">)  </w:t>
      </w:r>
      <w:r w:rsidRPr="00BB6462">
        <w:rPr>
          <w:rFonts w:hint="eastAsia"/>
          <w:szCs w:val="21"/>
        </w:rPr>
        <w:t>以此为背景，指南草案</w:t>
      </w:r>
      <w:r>
        <w:rPr>
          <w:rFonts w:hint="eastAsia"/>
          <w:szCs w:val="21"/>
        </w:rPr>
        <w:t>5</w:t>
      </w:r>
      <w:r w:rsidRPr="00BB6462">
        <w:rPr>
          <w:rFonts w:hint="eastAsia"/>
          <w:szCs w:val="21"/>
        </w:rPr>
        <w:t>第</w:t>
      </w:r>
      <w:r w:rsidRPr="00BB6462">
        <w:rPr>
          <w:rFonts w:hint="eastAsia"/>
          <w:szCs w:val="21"/>
        </w:rPr>
        <w:t>1</w:t>
      </w:r>
      <w:r w:rsidRPr="00BB6462">
        <w:rPr>
          <w:rFonts w:hint="eastAsia"/>
          <w:szCs w:val="21"/>
        </w:rPr>
        <w:t>段规定了各国酌情合作的义务。具体而言，要与其他国家和有关国际组织进行这种合作。“酌情”一词为国家履行合作义务留出灵活性和回旋余地，取决于所要求的合作性质和主题事项。合作的形式也可有所不同，取决于情况和各国如何运用一定的判断余地。可以是双边的、区域的或多边的。各国也可自行采取适当行动。</w:t>
      </w:r>
    </w:p>
    <w:p w:rsidR="00C13183" w:rsidRPr="00BB6462" w:rsidRDefault="00C13183" w:rsidP="00C13183">
      <w:pPr>
        <w:pStyle w:val="SingleTxt"/>
      </w:pPr>
      <w:r w:rsidRPr="00BB6462">
        <w:rPr>
          <w:rFonts w:hint="eastAsia"/>
        </w:rPr>
        <w:t xml:space="preserve">(3) </w:t>
      </w:r>
      <w:r w:rsidRPr="00BB6462">
        <w:t xml:space="preserve"> </w:t>
      </w:r>
      <w:r w:rsidRPr="00BB6462">
        <w:rPr>
          <w:rFonts w:hint="eastAsia"/>
        </w:rPr>
        <w:t>在若干有关环境保护的多边文书中已规定了国际合作。《斯德哥尔摩人类环境宣言》和《关于环境与发展的里约宣言》分别在原则</w:t>
      </w:r>
      <w:r w:rsidRPr="00BB6462">
        <w:rPr>
          <w:rFonts w:hint="eastAsia"/>
        </w:rPr>
        <w:t>24</w:t>
      </w:r>
      <w:r w:rsidRPr="00BB6462">
        <w:rPr>
          <w:rFonts w:hint="eastAsia"/>
        </w:rPr>
        <w:t>和原则</w:t>
      </w:r>
      <w:r w:rsidRPr="00BB6462">
        <w:rPr>
          <w:rFonts w:hint="eastAsia"/>
        </w:rPr>
        <w:t>27</w:t>
      </w:r>
      <w:r w:rsidRPr="00BB6462">
        <w:rPr>
          <w:rFonts w:hint="eastAsia"/>
        </w:rPr>
        <w:t>内强调了合作的重要性。</w:t>
      </w:r>
      <w:r w:rsidRPr="003F1277">
        <w:rPr>
          <w:rStyle w:val="a3"/>
          <w:color w:val="0000CC"/>
          <w:szCs w:val="21"/>
        </w:rPr>
        <w:footnoteReference w:id="64"/>
      </w:r>
      <w:r w:rsidRPr="00BB6462">
        <w:rPr>
          <w:rFonts w:hint="eastAsia"/>
        </w:rPr>
        <w:t xml:space="preserve"> </w:t>
      </w:r>
      <w:r w:rsidRPr="00BB6462">
        <w:rPr>
          <w:rFonts w:hint="eastAsia"/>
        </w:rPr>
        <w:t>此外，在纸浆厂案中，国际法院强调了缔约国之间告知、合作义务与预防义务所伴随的联系。法院指出，“正是通过合作，有关国家才能联合管理给环境造成损害的风险……以便实际预防有关损害。”</w:t>
      </w:r>
      <w:r w:rsidRPr="003F1277">
        <w:rPr>
          <w:color w:val="0000CC"/>
          <w:vertAlign w:val="superscript"/>
        </w:rPr>
        <w:footnoteReference w:id="65"/>
      </w:r>
    </w:p>
    <w:p w:rsidR="00C13183" w:rsidRPr="00BB6462" w:rsidRDefault="00C13183" w:rsidP="00C13183">
      <w:pPr>
        <w:pStyle w:val="SingleTxt"/>
        <w:rPr>
          <w:szCs w:val="21"/>
        </w:rPr>
      </w:pPr>
      <w:r w:rsidRPr="00BB6462">
        <w:rPr>
          <w:rFonts w:hint="eastAsia"/>
          <w:szCs w:val="21"/>
        </w:rPr>
        <w:t xml:space="preserve">(4) </w:t>
      </w:r>
      <w:r w:rsidRPr="00BB6462">
        <w:rPr>
          <w:szCs w:val="21"/>
        </w:rPr>
        <w:t xml:space="preserve"> </w:t>
      </w:r>
      <w:r w:rsidRPr="00BB6462">
        <w:rPr>
          <w:rFonts w:hint="eastAsia"/>
          <w:szCs w:val="21"/>
        </w:rPr>
        <w:t>在一些现有条约中，《保护臭氧层维也纳公约》</w:t>
      </w:r>
      <w:r w:rsidRPr="00BB6462">
        <w:rPr>
          <w:rFonts w:hint="eastAsia"/>
          <w:szCs w:val="21"/>
        </w:rPr>
        <w:t>(1985)</w:t>
      </w:r>
      <w:r w:rsidRPr="00BB6462">
        <w:rPr>
          <w:rFonts w:hint="eastAsia"/>
          <w:szCs w:val="21"/>
        </w:rPr>
        <w:t>的序言部分写明，公约缔约方“意识到保护臭氧层使不会因人类活动而发生变化的措施需要国际间的合作和行动”。此外，《联合国气候变化框架公约》</w:t>
      </w:r>
      <w:r w:rsidRPr="00BB6462">
        <w:rPr>
          <w:rFonts w:hint="eastAsia"/>
          <w:szCs w:val="21"/>
        </w:rPr>
        <w:t>(1992)</w:t>
      </w:r>
      <w:r w:rsidRPr="00BB6462">
        <w:rPr>
          <w:rFonts w:hint="eastAsia"/>
          <w:szCs w:val="21"/>
        </w:rPr>
        <w:t>序言部分承认“气候变化的全</w:t>
      </w:r>
      <w:r w:rsidRPr="00BB6462">
        <w:rPr>
          <w:rFonts w:hint="eastAsia"/>
          <w:szCs w:val="21"/>
        </w:rPr>
        <w:lastRenderedPageBreak/>
        <w:t>球性要求所有国家……尽可能开展最广泛的合作，并参与有效和适当的国际应对行动”，同时重申“在应付气候变化的国际合作中的国家主权原则”。</w:t>
      </w:r>
      <w:r w:rsidRPr="003F1277">
        <w:rPr>
          <w:rStyle w:val="a3"/>
          <w:color w:val="0000CC"/>
          <w:szCs w:val="21"/>
        </w:rPr>
        <w:footnoteReference w:id="66"/>
      </w:r>
    </w:p>
    <w:p w:rsidR="00C13183" w:rsidRPr="00BB6462" w:rsidRDefault="00C13183" w:rsidP="00C13183">
      <w:pPr>
        <w:pStyle w:val="SingleTxt"/>
        <w:rPr>
          <w:szCs w:val="21"/>
        </w:rPr>
      </w:pPr>
      <w:r w:rsidRPr="00BB6462">
        <w:rPr>
          <w:rFonts w:hint="eastAsia"/>
          <w:szCs w:val="21"/>
        </w:rPr>
        <w:t xml:space="preserve">(5)  </w:t>
      </w:r>
      <w:r w:rsidRPr="00BB6462">
        <w:rPr>
          <w:rFonts w:hint="eastAsia"/>
          <w:szCs w:val="21"/>
        </w:rPr>
        <w:t>《国际水道非航行使用法公约》关于合作的一般义务的第</w:t>
      </w:r>
      <w:r w:rsidRPr="00BB6462">
        <w:rPr>
          <w:rFonts w:hint="eastAsia"/>
          <w:szCs w:val="21"/>
        </w:rPr>
        <w:t>8</w:t>
      </w:r>
      <w:r w:rsidRPr="00BB6462">
        <w:rPr>
          <w:rFonts w:hint="eastAsia"/>
          <w:szCs w:val="21"/>
        </w:rPr>
        <w:t>条规定：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t>“水道国应在主权平等领土完整互利和善意的基础上进行合作，使国际水道得到最佳利用和充分保护。”</w:t>
      </w:r>
    </w:p>
    <w:p w:rsidR="00C13183" w:rsidRPr="00BB6462" w:rsidRDefault="00C13183" w:rsidP="00C13183">
      <w:pPr>
        <w:pStyle w:val="SingleTxt"/>
        <w:rPr>
          <w:szCs w:val="21"/>
        </w:rPr>
      </w:pPr>
      <w:r w:rsidRPr="00BB6462">
        <w:rPr>
          <w:rFonts w:hint="eastAsia"/>
          <w:szCs w:val="21"/>
        </w:rPr>
        <w:t xml:space="preserve">(6) </w:t>
      </w:r>
      <w:r w:rsidRPr="00BB6462">
        <w:rPr>
          <w:szCs w:val="21"/>
        </w:rPr>
        <w:t xml:space="preserve"> </w:t>
      </w:r>
      <w:r w:rsidRPr="00BB6462">
        <w:rPr>
          <w:rFonts w:hint="eastAsia"/>
          <w:szCs w:val="21"/>
        </w:rPr>
        <w:t>委员会在工作中也认识到合作义务的重要性。《预防危险活动的越境损害的条款》</w:t>
      </w:r>
      <w:r w:rsidRPr="00BB6462">
        <w:rPr>
          <w:rFonts w:hint="eastAsia"/>
          <w:szCs w:val="21"/>
        </w:rPr>
        <w:t>(2001)</w:t>
      </w:r>
      <w:r w:rsidRPr="00BB6462">
        <w:rPr>
          <w:rFonts w:hint="eastAsia"/>
          <w:szCs w:val="21"/>
        </w:rPr>
        <w:t>在关于合作的条款草案</w:t>
      </w:r>
      <w:r w:rsidRPr="00BB6462">
        <w:rPr>
          <w:rFonts w:hint="eastAsia"/>
          <w:szCs w:val="21"/>
        </w:rPr>
        <w:t>4</w:t>
      </w:r>
      <w:r w:rsidRPr="00BB6462">
        <w:rPr>
          <w:rFonts w:hint="eastAsia"/>
          <w:szCs w:val="21"/>
        </w:rPr>
        <w:t>中规定：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t>“有关国家应本着诚意进行合作，并在必要时寻求一个或多个主管国际组织的协助，以预防重大跨界损害或无论如何尽量减小这方面的风险。”</w:t>
      </w:r>
    </w:p>
    <w:p w:rsidR="00C13183" w:rsidRPr="00BB6462" w:rsidRDefault="00C13183" w:rsidP="00C13183">
      <w:pPr>
        <w:pStyle w:val="SingleTxt"/>
        <w:keepNext/>
        <w:keepLines/>
        <w:rPr>
          <w:szCs w:val="21"/>
        </w:rPr>
      </w:pPr>
      <w:r w:rsidRPr="00BB6462">
        <w:rPr>
          <w:rFonts w:hint="eastAsia"/>
          <w:szCs w:val="21"/>
        </w:rPr>
        <w:t>此外，《跨界含水层法条款》在关于合作的一般义务的条款草案</w:t>
      </w:r>
      <w:r w:rsidRPr="00BB6462">
        <w:rPr>
          <w:rFonts w:hint="eastAsia"/>
          <w:szCs w:val="21"/>
        </w:rPr>
        <w:t>7</w:t>
      </w:r>
      <w:r w:rsidRPr="00BB6462">
        <w:rPr>
          <w:rFonts w:hint="eastAsia"/>
          <w:szCs w:val="21"/>
        </w:rPr>
        <w:t>中规定：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sidRPr="00BB6462">
        <w:rPr>
          <w:rFonts w:hint="eastAsia"/>
          <w:szCs w:val="21"/>
        </w:rPr>
        <w:t>“</w:t>
      </w:r>
      <w:r w:rsidRPr="00BB6462">
        <w:rPr>
          <w:rFonts w:hint="eastAsia"/>
          <w:szCs w:val="21"/>
        </w:rPr>
        <w:t xml:space="preserve">1. </w:t>
      </w:r>
      <w:r w:rsidRPr="00BB6462">
        <w:rPr>
          <w:szCs w:val="21"/>
        </w:rPr>
        <w:t xml:space="preserve"> </w:t>
      </w:r>
      <w:r w:rsidRPr="00BB6462">
        <w:rPr>
          <w:rFonts w:hint="eastAsia"/>
          <w:szCs w:val="21"/>
        </w:rPr>
        <w:t>含水层国应在主权平等、领土完整、可持续发展、互利和善意的基础上进行合作，使跨界含水层或含水层系统得到公平合理利用和适当保护。</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rPr>
          <w:szCs w:val="21"/>
        </w:rPr>
      </w:pPr>
      <w:r w:rsidRPr="00BB6462">
        <w:rPr>
          <w:rFonts w:hint="eastAsia"/>
          <w:szCs w:val="21"/>
        </w:rPr>
        <w:t xml:space="preserve">2. </w:t>
      </w:r>
      <w:r w:rsidRPr="00BB6462">
        <w:rPr>
          <w:szCs w:val="21"/>
        </w:rPr>
        <w:t xml:space="preserve"> </w:t>
      </w:r>
      <w:r w:rsidRPr="00BB6462">
        <w:rPr>
          <w:rFonts w:hint="eastAsia"/>
          <w:szCs w:val="21"/>
        </w:rPr>
        <w:t>为了第</w:t>
      </w:r>
      <w:r w:rsidRPr="00BB6462">
        <w:rPr>
          <w:rFonts w:hint="eastAsia"/>
          <w:szCs w:val="21"/>
        </w:rPr>
        <w:t>1</w:t>
      </w:r>
      <w:r w:rsidRPr="00BB6462">
        <w:rPr>
          <w:rFonts w:hint="eastAsia"/>
          <w:szCs w:val="21"/>
        </w:rPr>
        <w:t>款的目的，含水层国应设立联合合作机制。”</w:t>
      </w:r>
    </w:p>
    <w:p w:rsidR="00C13183" w:rsidRPr="00BB6462" w:rsidRDefault="00C13183" w:rsidP="00C13183">
      <w:pPr>
        <w:pStyle w:val="SingleTxt"/>
        <w:rPr>
          <w:szCs w:val="21"/>
        </w:rPr>
      </w:pPr>
      <w:r w:rsidRPr="00BB6462">
        <w:rPr>
          <w:rFonts w:hint="eastAsia"/>
          <w:szCs w:val="21"/>
        </w:rPr>
        <w:t xml:space="preserve">(7) </w:t>
      </w:r>
      <w:r w:rsidRPr="00BB6462">
        <w:rPr>
          <w:szCs w:val="21"/>
        </w:rPr>
        <w:t xml:space="preserve"> </w:t>
      </w:r>
      <w:r w:rsidRPr="00BB6462">
        <w:rPr>
          <w:rFonts w:hint="eastAsia"/>
          <w:szCs w:val="21"/>
        </w:rPr>
        <w:t>最后，</w:t>
      </w:r>
      <w:r w:rsidRPr="00BB6462">
        <w:rPr>
          <w:rFonts w:hint="eastAsia"/>
          <w:szCs w:val="21"/>
        </w:rPr>
        <w:t>2014</w:t>
      </w:r>
      <w:r w:rsidRPr="00BB6462">
        <w:rPr>
          <w:rFonts w:hint="eastAsia"/>
          <w:szCs w:val="21"/>
        </w:rPr>
        <w:t>年一读暂时通过的“发生灾害时的人员保护条款草案”在条款草案</w:t>
      </w:r>
      <w:r w:rsidRPr="00BB6462">
        <w:rPr>
          <w:rFonts w:hint="eastAsia"/>
          <w:szCs w:val="21"/>
        </w:rPr>
        <w:t>8</w:t>
      </w:r>
      <w:r w:rsidRPr="00BB6462">
        <w:rPr>
          <w:rFonts w:hint="eastAsia"/>
          <w:szCs w:val="21"/>
        </w:rPr>
        <w:t>中规定了合作的责任。</w:t>
      </w:r>
      <w:r w:rsidRPr="003F1277">
        <w:rPr>
          <w:rStyle w:val="a3"/>
          <w:color w:val="0000CC"/>
          <w:szCs w:val="21"/>
        </w:rPr>
        <w:footnoteReference w:id="67"/>
      </w:r>
    </w:p>
    <w:p w:rsidR="00C13183" w:rsidRPr="00BB6462" w:rsidRDefault="00C13183" w:rsidP="00C13183">
      <w:pPr>
        <w:pStyle w:val="SingleTxt"/>
        <w:rPr>
          <w:szCs w:val="21"/>
        </w:rPr>
      </w:pPr>
      <w:r w:rsidRPr="00BB6462">
        <w:rPr>
          <w:rFonts w:hint="eastAsia"/>
          <w:szCs w:val="21"/>
        </w:rPr>
        <w:t xml:space="preserve">(8) </w:t>
      </w:r>
      <w:r w:rsidRPr="00BB6462">
        <w:rPr>
          <w:szCs w:val="21"/>
        </w:rPr>
        <w:t xml:space="preserve"> </w:t>
      </w:r>
      <w:r w:rsidRPr="00BB6462">
        <w:rPr>
          <w:rFonts w:hint="eastAsia"/>
          <w:szCs w:val="21"/>
        </w:rPr>
        <w:t>合作应采取多种形式。本指南草案第</w:t>
      </w:r>
      <w:r w:rsidRPr="00BB6462">
        <w:rPr>
          <w:rFonts w:hint="eastAsia"/>
          <w:szCs w:val="21"/>
        </w:rPr>
        <w:t>2</w:t>
      </w:r>
      <w:r w:rsidRPr="00BB6462">
        <w:rPr>
          <w:rFonts w:hint="eastAsia"/>
          <w:szCs w:val="21"/>
        </w:rPr>
        <w:t>段尤其强调通过合作而增进关于大气污染和大气层退化的原因与影响的科学知识的重要性。第</w:t>
      </w:r>
      <w:r w:rsidRPr="00BB6462">
        <w:rPr>
          <w:rFonts w:hint="eastAsia"/>
          <w:szCs w:val="21"/>
        </w:rPr>
        <w:t>2</w:t>
      </w:r>
      <w:r w:rsidRPr="00BB6462">
        <w:rPr>
          <w:rFonts w:hint="eastAsia"/>
          <w:szCs w:val="21"/>
        </w:rPr>
        <w:t>段还强调了信息交流和联合监测。</w:t>
      </w:r>
      <w:r w:rsidRPr="00BB6462">
        <w:rPr>
          <w:szCs w:val="21"/>
        </w:rPr>
        <w:t xml:space="preserve"> </w:t>
      </w:r>
    </w:p>
    <w:p w:rsidR="00C13183" w:rsidRPr="00BB6462" w:rsidRDefault="00C13183" w:rsidP="00C13183">
      <w:pPr>
        <w:pStyle w:val="SingleTxt"/>
        <w:rPr>
          <w:szCs w:val="21"/>
        </w:rPr>
      </w:pPr>
      <w:r w:rsidRPr="00BB6462">
        <w:rPr>
          <w:rFonts w:hint="eastAsia"/>
          <w:szCs w:val="21"/>
        </w:rPr>
        <w:t xml:space="preserve">(9) </w:t>
      </w:r>
      <w:r w:rsidRPr="00BB6462">
        <w:rPr>
          <w:szCs w:val="21"/>
        </w:rPr>
        <w:t xml:space="preserve"> </w:t>
      </w:r>
      <w:r w:rsidRPr="00BB6462">
        <w:rPr>
          <w:rFonts w:hint="eastAsia"/>
          <w:szCs w:val="21"/>
        </w:rPr>
        <w:t>《保护臭氧层维也纳公约》序言部分写明，国际合作和行动应“依据有关的科学和技术考虑”，并在关于法律、科学和技术方面的合作的第</w:t>
      </w:r>
      <w:r w:rsidRPr="00BB6462">
        <w:rPr>
          <w:rFonts w:hint="eastAsia"/>
          <w:szCs w:val="21"/>
        </w:rPr>
        <w:t>4</w:t>
      </w:r>
      <w:r w:rsidRPr="00BB6462">
        <w:rPr>
          <w:rFonts w:hint="eastAsia"/>
          <w:szCs w:val="21"/>
        </w:rPr>
        <w:t>条第（</w:t>
      </w:r>
      <w:r w:rsidRPr="00BB6462">
        <w:rPr>
          <w:rFonts w:hint="eastAsia"/>
          <w:szCs w:val="21"/>
        </w:rPr>
        <w:t>1</w:t>
      </w:r>
      <w:r w:rsidRPr="00BB6462">
        <w:rPr>
          <w:rFonts w:hint="eastAsia"/>
          <w:szCs w:val="21"/>
        </w:rPr>
        <w:t>）款中规定：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t>“各缔约方应促进和鼓励附件二里详细说明的、与本公约有关的科学、技术、社经、商业和法律资料的交换。”</w:t>
      </w:r>
    </w:p>
    <w:p w:rsidR="00C13183" w:rsidRPr="00BB6462" w:rsidRDefault="00C13183" w:rsidP="00C13183">
      <w:pPr>
        <w:pStyle w:val="SingleTxt"/>
        <w:rPr>
          <w:szCs w:val="21"/>
        </w:rPr>
      </w:pPr>
      <w:r w:rsidRPr="00BB6462">
        <w:rPr>
          <w:rFonts w:hint="eastAsia"/>
          <w:szCs w:val="21"/>
        </w:rPr>
        <w:t>该公约附件二详细列出了信息交流的全套事项。第</w:t>
      </w:r>
      <w:r w:rsidRPr="00BB6462">
        <w:rPr>
          <w:rFonts w:hint="eastAsia"/>
          <w:szCs w:val="21"/>
        </w:rPr>
        <w:t>4</w:t>
      </w:r>
      <w:r w:rsidRPr="00BB6462">
        <w:rPr>
          <w:rFonts w:hint="eastAsia"/>
          <w:szCs w:val="21"/>
        </w:rPr>
        <w:t>条第（</w:t>
      </w:r>
      <w:r w:rsidRPr="00BB6462">
        <w:rPr>
          <w:rFonts w:hint="eastAsia"/>
          <w:szCs w:val="21"/>
        </w:rPr>
        <w:t>2</w:t>
      </w:r>
      <w:r w:rsidRPr="00BB6462">
        <w:rPr>
          <w:rFonts w:hint="eastAsia"/>
          <w:szCs w:val="21"/>
        </w:rPr>
        <w:t>）款规定在考虑到发展中国家需要的前提下进行技术领域的合作。</w:t>
      </w:r>
    </w:p>
    <w:p w:rsidR="00C13183" w:rsidRPr="00BB6462" w:rsidRDefault="00C13183" w:rsidP="00C13183">
      <w:pPr>
        <w:pStyle w:val="SingleTxt"/>
        <w:rPr>
          <w:szCs w:val="21"/>
        </w:rPr>
      </w:pPr>
      <w:r w:rsidRPr="00BB6462">
        <w:rPr>
          <w:rFonts w:hint="eastAsia"/>
          <w:szCs w:val="21"/>
        </w:rPr>
        <w:t xml:space="preserve">(10)  </w:t>
      </w:r>
      <w:r w:rsidRPr="00BB6462">
        <w:rPr>
          <w:rFonts w:hint="eastAsia"/>
          <w:szCs w:val="21"/>
        </w:rPr>
        <w:t>《联合国气候变化框架公约》关于承诺的第</w:t>
      </w:r>
      <w:r w:rsidRPr="00BB6462">
        <w:rPr>
          <w:rFonts w:hint="eastAsia"/>
          <w:szCs w:val="21"/>
        </w:rPr>
        <w:t>4</w:t>
      </w:r>
      <w:r w:rsidRPr="00BB6462">
        <w:rPr>
          <w:rFonts w:hint="eastAsia"/>
          <w:szCs w:val="21"/>
        </w:rPr>
        <w:t>条第（</w:t>
      </w:r>
      <w:r w:rsidRPr="00BB6462">
        <w:rPr>
          <w:rFonts w:hint="eastAsia"/>
          <w:szCs w:val="21"/>
        </w:rPr>
        <w:t>1</w:t>
      </w:r>
      <w:r w:rsidRPr="00BB6462">
        <w:rPr>
          <w:rFonts w:hint="eastAsia"/>
          <w:szCs w:val="21"/>
        </w:rPr>
        <w:t>）款规定：</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lastRenderedPageBreak/>
        <w:t>“所有缔约方，……应</w:t>
      </w:r>
      <w:r w:rsidRPr="00BB6462">
        <w:rPr>
          <w:rFonts w:hint="eastAsia"/>
          <w:szCs w:val="21"/>
        </w:rPr>
        <w:t>(e)</w:t>
      </w:r>
      <w:r w:rsidRPr="00BB6462">
        <w:rPr>
          <w:szCs w:val="21"/>
        </w:rPr>
        <w:t xml:space="preserve"> </w:t>
      </w:r>
      <w:r w:rsidRPr="00BB6462">
        <w:rPr>
          <w:rFonts w:hint="eastAsia"/>
          <w:szCs w:val="21"/>
        </w:rPr>
        <w:t>合作为适应气候变化的影响做好的准备；……</w:t>
      </w:r>
      <w:r w:rsidRPr="00BB6462">
        <w:rPr>
          <w:rFonts w:hint="eastAsia"/>
          <w:szCs w:val="21"/>
        </w:rPr>
        <w:t xml:space="preserve">(g) </w:t>
      </w:r>
      <w:r w:rsidRPr="00BB6462">
        <w:rPr>
          <w:rFonts w:hint="eastAsia"/>
          <w:szCs w:val="21"/>
        </w:rPr>
        <w:t>促进和合作进行关于气候系统的科学、技术、工艺、社会经济和其他研究、系统观测及开发数据档案，目的是增进对气候变化的起因、影响、规模和发生时间以及各种应对战略所带来的经济和社会后果的认识，和减少或消除在这些方面尚存的不确定性；</w:t>
      </w:r>
      <w:r w:rsidRPr="00BB6462">
        <w:rPr>
          <w:rFonts w:hint="eastAsia"/>
          <w:szCs w:val="21"/>
        </w:rPr>
        <w:t>(h</w:t>
      </w:r>
      <w:r w:rsidRPr="00BB6462">
        <w:rPr>
          <w:szCs w:val="21"/>
        </w:rPr>
        <w:t xml:space="preserve">) </w:t>
      </w:r>
      <w:r w:rsidRPr="00BB6462">
        <w:rPr>
          <w:rFonts w:hint="eastAsia"/>
          <w:szCs w:val="21"/>
        </w:rPr>
        <w:t>促进和合作进行关于气候系统和气候变化以及关于各种应对战略所带来的经济和社会后果的科学、技术、工艺、社会经济和法律方面的有关信息的充分、公开的迅速的交流；</w:t>
      </w:r>
      <w:r w:rsidRPr="00BB6462">
        <w:rPr>
          <w:rFonts w:hint="eastAsia"/>
          <w:szCs w:val="21"/>
        </w:rPr>
        <w:t xml:space="preserve">(i) </w:t>
      </w:r>
      <w:r w:rsidRPr="00BB6462">
        <w:rPr>
          <w:rFonts w:hint="eastAsia"/>
          <w:szCs w:val="21"/>
        </w:rPr>
        <w:t>促进和合作进行与气候变化有关的教育、培训和提高公众意识的工作，并鼓励人们对这个过程最广泛参与，包括鼓励各种非政府组织的参与；……”</w:t>
      </w:r>
    </w:p>
    <w:p w:rsidR="00C13183" w:rsidRPr="00BB6462" w:rsidRDefault="00C13183" w:rsidP="00C13183">
      <w:pPr>
        <w:pStyle w:val="SingleTxt"/>
        <w:rPr>
          <w:szCs w:val="21"/>
        </w:rPr>
      </w:pPr>
      <w:r w:rsidRPr="00BB6462">
        <w:rPr>
          <w:rFonts w:hint="eastAsia"/>
          <w:szCs w:val="21"/>
        </w:rPr>
        <w:t xml:space="preserve">(11)  </w:t>
      </w:r>
      <w:r w:rsidRPr="00BB6462">
        <w:rPr>
          <w:rFonts w:hint="eastAsia"/>
          <w:szCs w:val="21"/>
        </w:rPr>
        <w:t>合作义务除其他以外，包括了交换资料。在这方面，或许可以指出，《国际水道非航行使用法公约》第</w:t>
      </w:r>
      <w:r w:rsidRPr="00BB6462">
        <w:rPr>
          <w:rFonts w:hint="eastAsia"/>
          <w:szCs w:val="21"/>
        </w:rPr>
        <w:t>9</w:t>
      </w:r>
      <w:r w:rsidRPr="00BB6462">
        <w:rPr>
          <w:rFonts w:hint="eastAsia"/>
          <w:szCs w:val="21"/>
        </w:rPr>
        <w:t>条详细列出了整套关于交换数据和资料的规定。此外，《跨界空气污染公约》第</w:t>
      </w:r>
      <w:r w:rsidRPr="00BB6462">
        <w:rPr>
          <w:rFonts w:hint="eastAsia"/>
          <w:szCs w:val="21"/>
        </w:rPr>
        <w:t>4</w:t>
      </w:r>
      <w:r w:rsidRPr="00BB6462">
        <w:rPr>
          <w:rFonts w:hint="eastAsia"/>
          <w:szCs w:val="21"/>
        </w:rPr>
        <w:t>条规定，缔约方应“就旨在尽可能防治可能具有不利影响的空气污染的政策、科学活动和技术措施交换信息并进行审查，以利减少空气污染，包括远距离跨界空气污染。”该公约还载有研究与发展领域合作的详细规定</w:t>
      </w:r>
      <w:r w:rsidRPr="00BB6462">
        <w:rPr>
          <w:rFonts w:hint="eastAsia"/>
          <w:spacing w:val="-50"/>
          <w:szCs w:val="21"/>
        </w:rPr>
        <w:t>―</w:t>
      </w:r>
      <w:r w:rsidRPr="00BB6462">
        <w:rPr>
          <w:rFonts w:hint="eastAsia"/>
          <w:szCs w:val="21"/>
        </w:rPr>
        <w:t>―第</w:t>
      </w:r>
      <w:r w:rsidRPr="00BB6462">
        <w:rPr>
          <w:rFonts w:hint="eastAsia"/>
          <w:szCs w:val="21"/>
        </w:rPr>
        <w:t>7</w:t>
      </w:r>
      <w:r w:rsidRPr="00BB6462">
        <w:rPr>
          <w:rFonts w:hint="eastAsia"/>
          <w:szCs w:val="21"/>
        </w:rPr>
        <w:t>条；关于交换信息的第</w:t>
      </w:r>
      <w:r w:rsidRPr="00BB6462">
        <w:rPr>
          <w:rFonts w:hint="eastAsia"/>
          <w:szCs w:val="21"/>
        </w:rPr>
        <w:t>8</w:t>
      </w:r>
      <w:r w:rsidRPr="00BB6462">
        <w:rPr>
          <w:rFonts w:hint="eastAsia"/>
          <w:szCs w:val="21"/>
        </w:rPr>
        <w:t>条，并在第</w:t>
      </w:r>
      <w:r w:rsidRPr="00BB6462">
        <w:rPr>
          <w:rFonts w:hint="eastAsia"/>
          <w:szCs w:val="21"/>
        </w:rPr>
        <w:t>9</w:t>
      </w:r>
      <w:r w:rsidRPr="00BB6462">
        <w:rPr>
          <w:rFonts w:hint="eastAsia"/>
          <w:szCs w:val="21"/>
        </w:rPr>
        <w:t>条内规定了执行和进一步发展合作方案，以便在欧洲监测和评估空气污染物的远距离传输情况。同样，《东非空气污染区域框架协定》</w:t>
      </w:r>
      <w:r w:rsidRPr="00BB6462">
        <w:rPr>
          <w:rFonts w:hint="eastAsia"/>
          <w:szCs w:val="21"/>
        </w:rPr>
        <w:t>(</w:t>
      </w:r>
      <w:r w:rsidRPr="00BB6462">
        <w:rPr>
          <w:rFonts w:hint="eastAsia"/>
          <w:szCs w:val="21"/>
        </w:rPr>
        <w:t>《内罗毕协定》，</w:t>
      </w:r>
      <w:r w:rsidRPr="00BB6462">
        <w:rPr>
          <w:rFonts w:hint="eastAsia"/>
          <w:szCs w:val="21"/>
        </w:rPr>
        <w:t>2008)</w:t>
      </w:r>
      <w:r w:rsidRPr="003F1277">
        <w:rPr>
          <w:rStyle w:val="a3"/>
          <w:color w:val="0000CC"/>
          <w:szCs w:val="21"/>
        </w:rPr>
        <w:footnoteReference w:id="68"/>
      </w:r>
      <w:r w:rsidRPr="00BB6462">
        <w:rPr>
          <w:rFonts w:hint="eastAsia"/>
          <w:szCs w:val="21"/>
        </w:rPr>
        <w:t xml:space="preserve"> </w:t>
      </w:r>
      <w:r w:rsidRPr="00BB6462">
        <w:rPr>
          <w:rFonts w:hint="eastAsia"/>
          <w:szCs w:val="21"/>
        </w:rPr>
        <w:t>和《中西部非洲空气污染区域框架协定》</w:t>
      </w:r>
      <w:r w:rsidRPr="00BB6462">
        <w:rPr>
          <w:rFonts w:hint="eastAsia"/>
          <w:szCs w:val="21"/>
        </w:rPr>
        <w:t>(</w:t>
      </w:r>
      <w:r w:rsidRPr="00BB6462">
        <w:rPr>
          <w:rFonts w:hint="eastAsia"/>
          <w:szCs w:val="21"/>
        </w:rPr>
        <w:t>《阿比让协定》，</w:t>
      </w:r>
      <w:r w:rsidRPr="00BB6462">
        <w:rPr>
          <w:rFonts w:hint="eastAsia"/>
          <w:szCs w:val="21"/>
        </w:rPr>
        <w:t>2009)</w:t>
      </w:r>
      <w:r w:rsidRPr="004D75FE">
        <w:rPr>
          <w:color w:val="0000CC"/>
          <w:szCs w:val="21"/>
          <w:vertAlign w:val="superscript"/>
        </w:rPr>
        <w:t xml:space="preserve"> </w:t>
      </w:r>
      <w:r w:rsidRPr="003F1277">
        <w:rPr>
          <w:rStyle w:val="a3"/>
          <w:color w:val="0000CC"/>
          <w:szCs w:val="21"/>
        </w:rPr>
        <w:footnoteReference w:id="69"/>
      </w:r>
      <w:r w:rsidRPr="00BB6462">
        <w:rPr>
          <w:rFonts w:hint="eastAsia"/>
          <w:szCs w:val="21"/>
        </w:rPr>
        <w:t xml:space="preserve"> </w:t>
      </w:r>
      <w:r w:rsidRPr="00BB6462">
        <w:rPr>
          <w:rFonts w:hint="eastAsia"/>
          <w:szCs w:val="21"/>
        </w:rPr>
        <w:t>也有类似关于国际合作的规定。缔约方一致同意：</w:t>
      </w:r>
    </w:p>
    <w:p w:rsidR="00C13183" w:rsidRPr="00BB6462" w:rsidRDefault="00C13183" w:rsidP="00C13183">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701" w:firstLine="431"/>
        <w:rPr>
          <w:szCs w:val="21"/>
        </w:rPr>
      </w:pPr>
      <w:r w:rsidRPr="00BB6462">
        <w:rPr>
          <w:rFonts w:hint="eastAsia"/>
          <w:szCs w:val="21"/>
        </w:rPr>
        <w:t>“</w:t>
      </w:r>
      <w:r w:rsidRPr="00BB6462">
        <w:rPr>
          <w:rFonts w:hint="eastAsia"/>
          <w:szCs w:val="21"/>
        </w:rPr>
        <w:t>1.2</w:t>
      </w:r>
      <w:r w:rsidRPr="00BB6462">
        <w:rPr>
          <w:rFonts w:hint="eastAsia"/>
          <w:szCs w:val="21"/>
        </w:rPr>
        <w:t>考虑采取联合措施减少空气污染物和温室气体排放的协同作用和共同效益；</w:t>
      </w:r>
      <w:r w:rsidRPr="00BB6462">
        <w:rPr>
          <w:rFonts w:hint="eastAsia"/>
          <w:szCs w:val="21"/>
        </w:rPr>
        <w:t>1.4</w:t>
      </w:r>
      <w:r w:rsidRPr="00BB6462">
        <w:rPr>
          <w:rFonts w:hint="eastAsia"/>
          <w:szCs w:val="21"/>
        </w:rPr>
        <w:t>促进交换关于空气质量管理的教育和研究信息；</w:t>
      </w:r>
      <w:r w:rsidRPr="00BB6462">
        <w:rPr>
          <w:rFonts w:hint="eastAsia"/>
          <w:szCs w:val="21"/>
        </w:rPr>
        <w:t>1.5</w:t>
      </w:r>
      <w:r w:rsidRPr="00BB6462">
        <w:rPr>
          <w:rFonts w:hint="eastAsia"/>
          <w:szCs w:val="21"/>
        </w:rPr>
        <w:t>促进区域合作，以加强管制机构……”</w:t>
      </w:r>
    </w:p>
    <w:p w:rsidR="00C13183" w:rsidRPr="00BB6462" w:rsidRDefault="00C13183" w:rsidP="00C13183">
      <w:pPr>
        <w:pStyle w:val="SingleTxt"/>
        <w:rPr>
          <w:szCs w:val="21"/>
        </w:rPr>
      </w:pPr>
      <w:r w:rsidRPr="00BB6462">
        <w:rPr>
          <w:rFonts w:hint="eastAsia"/>
          <w:szCs w:val="21"/>
        </w:rPr>
        <w:t xml:space="preserve">(12)  </w:t>
      </w:r>
      <w:r w:rsidRPr="00BB6462">
        <w:rPr>
          <w:rFonts w:hint="eastAsia"/>
          <w:szCs w:val="21"/>
        </w:rPr>
        <w:t>跨界含水层法条款草案第</w:t>
      </w:r>
      <w:r w:rsidRPr="00BB6462">
        <w:rPr>
          <w:rFonts w:hint="eastAsia"/>
          <w:szCs w:val="21"/>
        </w:rPr>
        <w:t>17</w:t>
      </w:r>
      <w:r w:rsidRPr="00BB6462">
        <w:rPr>
          <w:rFonts w:hint="eastAsia"/>
          <w:szCs w:val="21"/>
        </w:rPr>
        <w:t>条第（</w:t>
      </w:r>
      <w:r w:rsidRPr="00BB6462">
        <w:rPr>
          <w:rFonts w:hint="eastAsia"/>
          <w:szCs w:val="21"/>
        </w:rPr>
        <w:t>4</w:t>
      </w:r>
      <w:r w:rsidRPr="00BB6462">
        <w:rPr>
          <w:rFonts w:hint="eastAsia"/>
          <w:szCs w:val="21"/>
        </w:rPr>
        <w:t>）款第二句规定：“合作可包括协调处理紧急情况的国际行动和通信，提供应急人员、应急设备和物资、科技专业知识和人道主义援助相应</w:t>
      </w:r>
      <w:r w:rsidRPr="0037141E">
        <w:rPr>
          <w:rFonts w:hint="eastAsia"/>
          <w:spacing w:val="4"/>
          <w:szCs w:val="21"/>
        </w:rPr>
        <w:t>地，《发生灾害时的人员保护条款草案》在条款草案第</w:t>
      </w:r>
      <w:r w:rsidRPr="0037141E">
        <w:rPr>
          <w:rFonts w:hint="eastAsia"/>
          <w:spacing w:val="4"/>
          <w:szCs w:val="21"/>
        </w:rPr>
        <w:t>9</w:t>
      </w:r>
      <w:r w:rsidRPr="0037141E">
        <w:rPr>
          <w:rFonts w:hint="eastAsia"/>
          <w:spacing w:val="4"/>
          <w:szCs w:val="21"/>
        </w:rPr>
        <w:t>条中规定：“为本条款草案的目的，合作包括提供</w:t>
      </w:r>
      <w:r w:rsidRPr="00BB6462">
        <w:rPr>
          <w:rFonts w:hint="eastAsia"/>
          <w:szCs w:val="21"/>
        </w:rPr>
        <w:t>人道主义援助，协调国际救灾行动和通信，提供救灾人员、救灾设备和物资以及科学、医学、技术资源。”而且，条款草案第</w:t>
      </w:r>
      <w:r w:rsidRPr="00BB6462">
        <w:rPr>
          <w:rFonts w:hint="eastAsia"/>
          <w:szCs w:val="21"/>
        </w:rPr>
        <w:t>10</w:t>
      </w:r>
      <w:r w:rsidRPr="00BB6462">
        <w:rPr>
          <w:rFonts w:hint="eastAsia"/>
          <w:szCs w:val="21"/>
        </w:rPr>
        <w:t>条</w:t>
      </w:r>
      <w:r w:rsidRPr="00BB6462">
        <w:rPr>
          <w:rFonts w:hint="eastAsia"/>
          <w:szCs w:val="21"/>
        </w:rPr>
        <w:t>(</w:t>
      </w:r>
      <w:r w:rsidRPr="00BB6462">
        <w:rPr>
          <w:rFonts w:hint="eastAsia"/>
          <w:szCs w:val="21"/>
        </w:rPr>
        <w:t>减少灾害风险的合作</w:t>
      </w:r>
      <w:r w:rsidRPr="00BB6462">
        <w:rPr>
          <w:rFonts w:hint="eastAsia"/>
          <w:szCs w:val="21"/>
        </w:rPr>
        <w:t>)</w:t>
      </w:r>
      <w:r w:rsidRPr="00BB6462">
        <w:rPr>
          <w:rFonts w:hint="eastAsia"/>
          <w:szCs w:val="21"/>
        </w:rPr>
        <w:t>规定：“合作应扩展至采取旨在减少灾害风险的措施。”</w:t>
      </w:r>
    </w:p>
    <w:p w:rsidR="003531A9" w:rsidRDefault="00C13183" w:rsidP="003B6807">
      <w:pPr>
        <w:pStyle w:val="SingleTxt"/>
        <w:rPr>
          <w:szCs w:val="21"/>
        </w:rPr>
      </w:pPr>
      <w:r w:rsidRPr="00BB6462">
        <w:rPr>
          <w:rFonts w:hint="eastAsia"/>
          <w:szCs w:val="21"/>
        </w:rPr>
        <w:t xml:space="preserve">(13)  </w:t>
      </w:r>
      <w:r w:rsidRPr="00BB6462">
        <w:rPr>
          <w:rFonts w:hint="eastAsia"/>
          <w:szCs w:val="21"/>
        </w:rPr>
        <w:t>就保护大气层而言，委员会认为关键是增进有关大气污染和大气层退化的原因和影响的科学知识。</w:t>
      </w:r>
    </w:p>
    <w:p w:rsidR="00B35788" w:rsidRPr="00B35788" w:rsidRDefault="00B35788" w:rsidP="00B3578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5" w:name="_Toc395098683"/>
    </w:p>
    <w:p w:rsidR="00B35788" w:rsidRPr="00BB6462" w:rsidRDefault="00B35788" w:rsidP="00B3578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rPr>
          <w:rFonts w:hint="eastAsia"/>
        </w:rPr>
        <w:tab/>
        <w:t>第六章</w:t>
      </w:r>
      <w:r w:rsidRPr="00BB6462">
        <w:br/>
      </w:r>
      <w:r w:rsidRPr="00BB6462">
        <w:rPr>
          <w:rFonts w:hint="eastAsia"/>
        </w:rPr>
        <w:t>习惯国际法的识别</w:t>
      </w:r>
      <w:bookmarkEnd w:id="5"/>
    </w:p>
    <w:p w:rsidR="00B35788" w:rsidRPr="001F36D8"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1F36D8"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3539DE"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BB6462">
        <w:rPr>
          <w:rFonts w:hint="eastAsia"/>
          <w:lang w:val="en-GB"/>
        </w:rPr>
        <w:tab/>
      </w:r>
      <w:r w:rsidRPr="00BB6462">
        <w:rPr>
          <w:lang w:val="en-GB"/>
        </w:rPr>
        <w:t>A.</w:t>
      </w:r>
      <w:r w:rsidRPr="00BB6462">
        <w:rPr>
          <w:rFonts w:hint="eastAsia"/>
          <w:lang w:val="en-GB"/>
        </w:rPr>
        <w:tab/>
      </w:r>
      <w:r w:rsidRPr="00BB6462">
        <w:rPr>
          <w:rFonts w:hint="eastAsia"/>
        </w:rPr>
        <w:t>导言</w:t>
      </w:r>
    </w:p>
    <w:p w:rsidR="00B35788" w:rsidRPr="003539DE" w:rsidRDefault="00B35788" w:rsidP="00B35788">
      <w:pPr>
        <w:pStyle w:val="SingleTxt"/>
        <w:spacing w:after="0" w:line="120" w:lineRule="exact"/>
        <w:rPr>
          <w:sz w:val="10"/>
          <w:lang w:val="en-GB"/>
        </w:rPr>
      </w:pPr>
    </w:p>
    <w:p w:rsidR="00B35788" w:rsidRPr="003539DE"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55</w:t>
      </w:r>
      <w:r w:rsidRPr="00BB6462">
        <w:rPr>
          <w:lang w:val="en-GB"/>
        </w:rPr>
        <w:t xml:space="preserve">. </w:t>
      </w:r>
      <w:r w:rsidRPr="00BB6462">
        <w:rPr>
          <w:rFonts w:hint="eastAsia"/>
          <w:lang w:val="en-GB"/>
        </w:rPr>
        <w:t xml:space="preserve"> </w:t>
      </w:r>
      <w:r w:rsidRPr="00BB6462">
        <w:rPr>
          <w:rFonts w:hint="eastAsia"/>
        </w:rPr>
        <w:t>委员会第六十四届会议</w:t>
      </w:r>
      <w:r w:rsidRPr="00BB6462">
        <w:rPr>
          <w:rFonts w:hint="eastAsia"/>
        </w:rPr>
        <w:t>(2012</w:t>
      </w:r>
      <w:r w:rsidRPr="00BB6462">
        <w:rPr>
          <w:rFonts w:hint="eastAsia"/>
        </w:rPr>
        <w:t>年</w:t>
      </w:r>
      <w:r w:rsidRPr="00BB6462">
        <w:rPr>
          <w:rFonts w:hint="eastAsia"/>
        </w:rPr>
        <w:t>)</w:t>
      </w:r>
      <w:r w:rsidRPr="00BB6462">
        <w:rPr>
          <w:rFonts w:hint="eastAsia"/>
        </w:rPr>
        <w:t>决定将“习惯国际法的形成与证据”专题列入</w:t>
      </w:r>
      <w:r w:rsidRPr="00BB6462">
        <w:t>工作方案</w:t>
      </w:r>
      <w:r w:rsidRPr="00BB6462">
        <w:rPr>
          <w:rFonts w:hint="eastAsia"/>
        </w:rPr>
        <w:t>，并任命迈克尔·伍德先生为特别报告员。</w:t>
      </w:r>
      <w:r w:rsidRPr="003F1277">
        <w:rPr>
          <w:rStyle w:val="a3"/>
          <w:szCs w:val="21"/>
          <w:lang w:val="en-GB"/>
        </w:rPr>
        <w:footnoteReference w:id="70"/>
      </w:r>
      <w:r w:rsidRPr="00BB6462">
        <w:rPr>
          <w:rFonts w:hint="eastAsia"/>
          <w:lang w:val="en-GB"/>
        </w:rPr>
        <w:t xml:space="preserve"> </w:t>
      </w:r>
      <w:r w:rsidRPr="00BB6462">
        <w:rPr>
          <w:rFonts w:hint="eastAsia"/>
        </w:rPr>
        <w:t>在该届会议上，委员会收到特别报告员的说明</w:t>
      </w:r>
      <w:r w:rsidRPr="00BB6462">
        <w:rPr>
          <w:rFonts w:hint="eastAsia"/>
        </w:rPr>
        <w:t>(A/CN.4/653)</w:t>
      </w:r>
      <w:r w:rsidRPr="00BB6462">
        <w:rPr>
          <w:rFonts w:hint="eastAsia"/>
        </w:rPr>
        <w:t>。</w:t>
      </w:r>
      <w:r w:rsidRPr="003F1277">
        <w:rPr>
          <w:rStyle w:val="a3"/>
          <w:szCs w:val="21"/>
          <w:lang w:val="en-GB"/>
        </w:rPr>
        <w:footnoteReference w:id="71"/>
      </w:r>
      <w:r w:rsidRPr="00BB6462">
        <w:rPr>
          <w:lang w:val="en-GB"/>
        </w:rPr>
        <w:t xml:space="preserve"> </w:t>
      </w:r>
      <w:r w:rsidRPr="00BB6462">
        <w:rPr>
          <w:rFonts w:hint="eastAsia"/>
        </w:rPr>
        <w:t>在同届会议上，委员会还请秘书</w:t>
      </w:r>
      <w:r w:rsidRPr="00BB6462">
        <w:rPr>
          <w:rFonts w:hint="eastAsia"/>
          <w:spacing w:val="-4"/>
        </w:rPr>
        <w:t>处编写一份备忘录，说明委员会此前的工作中可能与此专题尤为相关的要素。</w:t>
      </w:r>
      <w:r w:rsidRPr="003F1277">
        <w:rPr>
          <w:rStyle w:val="a3"/>
          <w:szCs w:val="21"/>
          <w:lang w:val="en-GB"/>
        </w:rPr>
        <w:footnoteReference w:id="72"/>
      </w:r>
    </w:p>
    <w:p w:rsidR="00B35788" w:rsidRPr="00BB6462" w:rsidRDefault="00B35788" w:rsidP="00B35788">
      <w:pPr>
        <w:pStyle w:val="SingleTxt"/>
        <w:rPr>
          <w:lang w:val="en-GB"/>
        </w:rPr>
      </w:pPr>
      <w:r w:rsidRPr="00BB6462">
        <w:rPr>
          <w:rFonts w:hint="eastAsia"/>
          <w:lang w:val="en-GB"/>
        </w:rPr>
        <w:t>56</w:t>
      </w:r>
      <w:r w:rsidRPr="00BB6462">
        <w:rPr>
          <w:lang w:val="en-GB"/>
        </w:rPr>
        <w:t xml:space="preserve">. </w:t>
      </w:r>
      <w:r w:rsidRPr="00BB6462">
        <w:rPr>
          <w:rFonts w:hint="eastAsia"/>
          <w:lang w:val="en-GB"/>
        </w:rPr>
        <w:t xml:space="preserve"> </w:t>
      </w:r>
      <w:r w:rsidRPr="00BB6462">
        <w:rPr>
          <w:rFonts w:hint="eastAsia"/>
        </w:rPr>
        <w:t>委员会第六十五届会议</w:t>
      </w:r>
      <w:r w:rsidRPr="00BB6462">
        <w:rPr>
          <w:rFonts w:hint="eastAsia"/>
        </w:rPr>
        <w:t>(2013</w:t>
      </w:r>
      <w:r w:rsidRPr="00BB6462">
        <w:rPr>
          <w:rFonts w:hint="eastAsia"/>
        </w:rPr>
        <w:t>年</w:t>
      </w:r>
      <w:r w:rsidRPr="00BB6462">
        <w:rPr>
          <w:rFonts w:hint="eastAsia"/>
        </w:rPr>
        <w:t>)</w:t>
      </w:r>
      <w:r w:rsidRPr="00BB6462">
        <w:rPr>
          <w:rFonts w:hint="eastAsia"/>
        </w:rPr>
        <w:t>审议了特别报告员的第一次报告</w:t>
      </w:r>
      <w:r w:rsidRPr="00BB6462">
        <w:rPr>
          <w:rFonts w:hint="eastAsia"/>
        </w:rPr>
        <w:t>(A/CN.4/ 663)</w:t>
      </w:r>
      <w:r w:rsidRPr="00BB6462">
        <w:rPr>
          <w:rFonts w:hint="eastAsia"/>
        </w:rPr>
        <w:t>以及秘书处关于该专题的一份备忘录</w:t>
      </w:r>
      <w:r w:rsidRPr="00BB6462">
        <w:rPr>
          <w:rFonts w:hint="eastAsia"/>
        </w:rPr>
        <w:t>(A/CN.4/659)</w:t>
      </w:r>
      <w:r w:rsidRPr="00BB6462">
        <w:rPr>
          <w:rFonts w:hint="eastAsia"/>
        </w:rPr>
        <w:t>。</w:t>
      </w:r>
      <w:r w:rsidRPr="003F1277">
        <w:rPr>
          <w:rStyle w:val="a3"/>
          <w:szCs w:val="21"/>
          <w:lang w:val="en-GB"/>
        </w:rPr>
        <w:footnoteReference w:id="73"/>
      </w:r>
      <w:r w:rsidRPr="00BB6462">
        <w:rPr>
          <w:rFonts w:hint="eastAsia"/>
        </w:rPr>
        <w:t xml:space="preserve"> </w:t>
      </w:r>
      <w:r w:rsidRPr="00BB6462">
        <w:rPr>
          <w:rFonts w:hint="eastAsia"/>
        </w:rPr>
        <w:t>在该届会议上，委员会决定将专题标题改为“习惯国际法的识别”。委员会第六十六届会议</w:t>
      </w:r>
      <w:r w:rsidRPr="00BB6462">
        <w:rPr>
          <w:rFonts w:hint="eastAsia"/>
        </w:rPr>
        <w:t>(2014</w:t>
      </w:r>
      <w:r w:rsidRPr="00BB6462">
        <w:rPr>
          <w:rFonts w:hint="eastAsia"/>
        </w:rPr>
        <w:t>年</w:t>
      </w:r>
      <w:r w:rsidRPr="00BB6462">
        <w:rPr>
          <w:rFonts w:hint="eastAsia"/>
        </w:rPr>
        <w:t>)</w:t>
      </w:r>
      <w:r w:rsidRPr="00BB6462">
        <w:rPr>
          <w:rFonts w:hint="eastAsia"/>
        </w:rPr>
        <w:t>审议了特别报告员的第二次报告</w:t>
      </w:r>
      <w:r w:rsidRPr="00BB6462">
        <w:rPr>
          <w:lang w:val="en-GB"/>
        </w:rPr>
        <w:t>(A/CN.4/672)</w:t>
      </w:r>
      <w:r w:rsidRPr="00BB6462">
        <w:rPr>
          <w:rFonts w:hint="eastAsia"/>
          <w:lang w:val="en-GB"/>
        </w:rPr>
        <w:t>。</w:t>
      </w:r>
      <w:r w:rsidRPr="003F1277">
        <w:rPr>
          <w:rStyle w:val="a3"/>
          <w:szCs w:val="21"/>
          <w:lang w:val="en-GB"/>
        </w:rPr>
        <w:footnoteReference w:id="74"/>
      </w:r>
    </w:p>
    <w:p w:rsidR="00B35788" w:rsidRPr="00BB6462" w:rsidRDefault="00B35788" w:rsidP="00B35788">
      <w:pPr>
        <w:pStyle w:val="SingleTxt"/>
        <w:rPr>
          <w:b/>
          <w:bCs/>
          <w:lang w:val="en-GB"/>
        </w:rPr>
      </w:pPr>
      <w:r w:rsidRPr="00BB6462">
        <w:rPr>
          <w:rFonts w:hint="eastAsia"/>
          <w:lang w:val="en-GB"/>
        </w:rPr>
        <w:t>57</w:t>
      </w:r>
      <w:r w:rsidRPr="00BB6462">
        <w:rPr>
          <w:lang w:val="en-GB"/>
        </w:rPr>
        <w:t>.</w:t>
      </w:r>
      <w:r w:rsidRPr="00BB6462">
        <w:rPr>
          <w:rFonts w:hint="eastAsia"/>
          <w:lang w:val="en-GB"/>
        </w:rPr>
        <w:t xml:space="preserve">  </w:t>
      </w:r>
      <w:r w:rsidRPr="00BB6462">
        <w:rPr>
          <w:rFonts w:hint="eastAsia"/>
        </w:rPr>
        <w:t>委员会在对特别报告员的第二次报告进行辩论后，在第</w:t>
      </w:r>
      <w:r w:rsidRPr="00BB6462">
        <w:rPr>
          <w:rFonts w:hint="eastAsia"/>
        </w:rPr>
        <w:t>3227</w:t>
      </w:r>
      <w:r w:rsidRPr="00BB6462">
        <w:rPr>
          <w:rFonts w:hint="eastAsia"/>
        </w:rPr>
        <w:t>次会议上决定将特别报告员第二次</w:t>
      </w:r>
      <w:r w:rsidRPr="00BB6462">
        <w:rPr>
          <w:rFonts w:hint="eastAsia"/>
          <w:spacing w:val="-4"/>
        </w:rPr>
        <w:t>报告所载结论草案</w:t>
      </w:r>
      <w:r w:rsidRPr="00BB6462">
        <w:rPr>
          <w:rFonts w:hint="eastAsia"/>
          <w:spacing w:val="-4"/>
        </w:rPr>
        <w:t>1</w:t>
      </w:r>
      <w:r w:rsidRPr="00BB6462">
        <w:rPr>
          <w:rFonts w:hint="eastAsia"/>
          <w:spacing w:val="-4"/>
        </w:rPr>
        <w:t>至</w:t>
      </w:r>
      <w:r w:rsidRPr="00BB6462">
        <w:rPr>
          <w:rFonts w:hint="eastAsia"/>
          <w:spacing w:val="-4"/>
        </w:rPr>
        <w:t>11</w:t>
      </w:r>
      <w:r w:rsidRPr="00BB6462">
        <w:rPr>
          <w:rFonts w:hint="eastAsia"/>
          <w:spacing w:val="-4"/>
        </w:rPr>
        <w:t>转交起草委员会。在委员会第</w:t>
      </w:r>
      <w:r w:rsidRPr="00BB6462">
        <w:rPr>
          <w:rFonts w:hint="eastAsia"/>
          <w:spacing w:val="-4"/>
        </w:rPr>
        <w:t>3242</w:t>
      </w:r>
      <w:r w:rsidRPr="00BB6462">
        <w:rPr>
          <w:rFonts w:hint="eastAsia"/>
          <w:spacing w:val="-4"/>
        </w:rPr>
        <w:t>次会议上，起草委</w:t>
      </w:r>
      <w:r w:rsidRPr="00BB6462">
        <w:rPr>
          <w:rFonts w:hint="eastAsia"/>
        </w:rPr>
        <w:t>员会主席介绍了起草委员会关于“习惯国际法的识别”的临时报告，其中载有起草委员会在第六十六届会议期间暂时通过的八条结论草案。</w:t>
      </w:r>
    </w:p>
    <w:p w:rsidR="00B35788" w:rsidRPr="001F36D8"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35788" w:rsidRPr="001F36D8"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35788" w:rsidRPr="00BB6462" w:rsidRDefault="00B35788" w:rsidP="00B357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bCs/>
          <w:lang w:val="en-GB"/>
        </w:rPr>
      </w:pPr>
      <w:r w:rsidRPr="00BB6462">
        <w:rPr>
          <w:rFonts w:hint="eastAsia"/>
        </w:rPr>
        <w:tab/>
        <w:t>B.</w:t>
      </w:r>
      <w:r w:rsidRPr="00BB6462">
        <w:rPr>
          <w:rFonts w:hint="eastAsia"/>
        </w:rPr>
        <w:tab/>
        <w:t>本届会议审议此专题的情况</w:t>
      </w:r>
    </w:p>
    <w:p w:rsidR="00B35788" w:rsidRPr="001F36D8" w:rsidRDefault="00B35788" w:rsidP="00B35788">
      <w:pPr>
        <w:pStyle w:val="SingleTxt"/>
        <w:spacing w:after="0" w:line="120" w:lineRule="exact"/>
        <w:rPr>
          <w:sz w:val="10"/>
          <w:lang w:val="en-GB"/>
        </w:rPr>
      </w:pPr>
    </w:p>
    <w:p w:rsidR="00496316" w:rsidRPr="00496316" w:rsidRDefault="00496316" w:rsidP="00496316">
      <w:pPr>
        <w:pStyle w:val="SingleTxt"/>
        <w:spacing w:after="0" w:line="120" w:lineRule="exact"/>
        <w:rPr>
          <w:sz w:val="10"/>
          <w:lang w:val="en-GB"/>
        </w:rPr>
      </w:pPr>
    </w:p>
    <w:p w:rsidR="00B35788" w:rsidRDefault="00B35788" w:rsidP="00B35788">
      <w:pPr>
        <w:pStyle w:val="SingleTxt"/>
        <w:rPr>
          <w:lang w:val="en-GB"/>
        </w:rPr>
      </w:pPr>
      <w:r w:rsidRPr="00BB6462">
        <w:rPr>
          <w:rFonts w:hint="eastAsia"/>
          <w:lang w:val="en-GB"/>
        </w:rPr>
        <w:t>58</w:t>
      </w:r>
      <w:r w:rsidRPr="00BB6462">
        <w:rPr>
          <w:lang w:val="en-GB"/>
        </w:rPr>
        <w:t>.</w:t>
      </w:r>
      <w:r w:rsidRPr="00BB6462">
        <w:rPr>
          <w:rFonts w:hint="eastAsia"/>
          <w:lang w:val="en-GB"/>
        </w:rPr>
        <w:t xml:space="preserve">  </w:t>
      </w:r>
      <w:r w:rsidRPr="00BB6462">
        <w:rPr>
          <w:rFonts w:hint="eastAsia"/>
          <w:lang w:val="fr-CH"/>
        </w:rPr>
        <w:t>委员会本届会议收到特别报告员的第三次报告</w:t>
      </w:r>
      <w:r w:rsidRPr="00BB6462">
        <w:rPr>
          <w:rFonts w:hint="eastAsia"/>
          <w:lang w:val="en-GB"/>
        </w:rPr>
        <w:t>(A/CN.4/682)</w:t>
      </w:r>
      <w:r w:rsidRPr="00BB6462">
        <w:rPr>
          <w:rFonts w:hint="eastAsia"/>
          <w:lang w:val="fr-CH"/>
        </w:rPr>
        <w:t>。委员会在</w:t>
      </w:r>
      <w:r w:rsidRPr="00BB6462">
        <w:rPr>
          <w:rFonts w:hint="eastAsia"/>
          <w:lang w:val="en-GB"/>
        </w:rPr>
        <w:t>2015</w:t>
      </w:r>
      <w:r w:rsidRPr="00BB6462">
        <w:rPr>
          <w:rFonts w:hint="eastAsia"/>
          <w:lang w:val="fr-CH"/>
        </w:rPr>
        <w:t>年</w:t>
      </w:r>
      <w:r w:rsidRPr="00BB6462">
        <w:rPr>
          <w:rFonts w:hint="eastAsia"/>
          <w:lang w:val="en-GB"/>
        </w:rPr>
        <w:t>5</w:t>
      </w:r>
      <w:r w:rsidRPr="00BB6462">
        <w:rPr>
          <w:rFonts w:hint="eastAsia"/>
          <w:lang w:val="fr-CH"/>
        </w:rPr>
        <w:t>月</w:t>
      </w:r>
      <w:r w:rsidRPr="00BB6462">
        <w:rPr>
          <w:rFonts w:hint="eastAsia"/>
          <w:lang w:val="en-GB"/>
        </w:rPr>
        <w:t>13</w:t>
      </w:r>
      <w:r w:rsidRPr="00BB6462">
        <w:rPr>
          <w:rFonts w:hint="eastAsia"/>
          <w:lang w:val="fr-CH"/>
        </w:rPr>
        <w:t>日至</w:t>
      </w:r>
      <w:r w:rsidRPr="00BB6462">
        <w:rPr>
          <w:rFonts w:hint="eastAsia"/>
          <w:lang w:val="en-GB"/>
        </w:rPr>
        <w:t>21</w:t>
      </w:r>
      <w:r w:rsidRPr="00BB6462">
        <w:rPr>
          <w:rFonts w:hint="eastAsia"/>
          <w:lang w:val="fr-CH"/>
        </w:rPr>
        <w:t>日第</w:t>
      </w:r>
      <w:r w:rsidRPr="00BB6462">
        <w:rPr>
          <w:rFonts w:hint="eastAsia"/>
          <w:lang w:val="en-GB"/>
        </w:rPr>
        <w:t>3250</w:t>
      </w:r>
      <w:r w:rsidRPr="00BB6462">
        <w:rPr>
          <w:rFonts w:hint="eastAsia"/>
          <w:lang w:val="fr-CH"/>
        </w:rPr>
        <w:t>至</w:t>
      </w:r>
      <w:r w:rsidRPr="00BB6462">
        <w:rPr>
          <w:rFonts w:hint="eastAsia"/>
          <w:lang w:val="en-GB"/>
        </w:rPr>
        <w:t>3254</w:t>
      </w:r>
      <w:r w:rsidRPr="00BB6462">
        <w:rPr>
          <w:rFonts w:hint="eastAsia"/>
          <w:lang w:val="fr-CH"/>
        </w:rPr>
        <w:t>次会议上审议了该报告。</w:t>
      </w:r>
    </w:p>
    <w:p w:rsidR="00B35788" w:rsidRDefault="00B35788" w:rsidP="00B35788">
      <w:pPr>
        <w:spacing w:line="240" w:lineRule="auto"/>
        <w:jc w:val="left"/>
        <w:rPr>
          <w:lang w:val="en-GB"/>
        </w:rPr>
      </w:pPr>
      <w:r>
        <w:rPr>
          <w:lang w:val="en-GB"/>
        </w:rPr>
        <w:br w:type="page"/>
      </w:r>
    </w:p>
    <w:p w:rsidR="00B35788" w:rsidRPr="00BB6462" w:rsidRDefault="00B35788" w:rsidP="00B35788">
      <w:pPr>
        <w:pStyle w:val="SingleTxt"/>
        <w:rPr>
          <w:lang w:val="fr-CH"/>
        </w:rPr>
      </w:pPr>
      <w:r w:rsidRPr="00BB6462">
        <w:rPr>
          <w:lang w:val="en-GB"/>
        </w:rPr>
        <w:lastRenderedPageBreak/>
        <w:t>5</w:t>
      </w:r>
      <w:r w:rsidRPr="00BB6462">
        <w:rPr>
          <w:rFonts w:hint="eastAsia"/>
          <w:lang w:val="en-GB"/>
        </w:rPr>
        <w:t>9</w:t>
      </w:r>
      <w:r w:rsidRPr="00BB6462">
        <w:rPr>
          <w:lang w:val="en-GB"/>
        </w:rPr>
        <w:t>.</w:t>
      </w:r>
      <w:r w:rsidRPr="00BB6462">
        <w:rPr>
          <w:rFonts w:hint="eastAsia"/>
          <w:lang w:val="en-GB"/>
        </w:rPr>
        <w:t xml:space="preserve">  </w:t>
      </w:r>
      <w:r w:rsidRPr="00BB6462">
        <w:rPr>
          <w:rFonts w:hint="eastAsia"/>
          <w:lang w:val="fr-CH"/>
        </w:rPr>
        <w:t>委员会在</w:t>
      </w:r>
      <w:r w:rsidRPr="00BB6462">
        <w:rPr>
          <w:rFonts w:hint="eastAsia"/>
        </w:rPr>
        <w:t>2015</w:t>
      </w:r>
      <w:r w:rsidRPr="00BB6462">
        <w:rPr>
          <w:rFonts w:hint="eastAsia"/>
          <w:lang w:val="fr-CH"/>
        </w:rPr>
        <w:t>年</w:t>
      </w:r>
      <w:r w:rsidRPr="00BB6462">
        <w:rPr>
          <w:rFonts w:hint="eastAsia"/>
        </w:rPr>
        <w:t>5</w:t>
      </w:r>
      <w:r w:rsidRPr="00BB6462">
        <w:rPr>
          <w:rFonts w:hint="eastAsia"/>
          <w:lang w:val="fr-CH"/>
        </w:rPr>
        <w:t>月</w:t>
      </w:r>
      <w:r w:rsidRPr="00BB6462">
        <w:rPr>
          <w:rFonts w:hint="eastAsia"/>
        </w:rPr>
        <w:t>21</w:t>
      </w:r>
      <w:r w:rsidRPr="00BB6462">
        <w:rPr>
          <w:rFonts w:hint="eastAsia"/>
          <w:lang w:val="fr-CH"/>
        </w:rPr>
        <w:t>日第</w:t>
      </w:r>
      <w:r w:rsidRPr="00BB6462">
        <w:rPr>
          <w:rFonts w:hint="eastAsia"/>
        </w:rPr>
        <w:t>3254</w:t>
      </w:r>
      <w:r w:rsidRPr="00BB6462">
        <w:rPr>
          <w:rFonts w:hint="eastAsia"/>
          <w:lang w:val="fr-CH"/>
        </w:rPr>
        <w:t>次会议上</w:t>
      </w:r>
      <w:r w:rsidRPr="00BB6462">
        <w:rPr>
          <w:rFonts w:hint="eastAsia"/>
        </w:rPr>
        <w:t>，</w:t>
      </w:r>
      <w:r w:rsidRPr="00BB6462">
        <w:rPr>
          <w:rFonts w:hint="eastAsia"/>
          <w:lang w:val="fr-CH"/>
        </w:rPr>
        <w:t>将特别报告员第三次报告所载结论草案转交起草委员会。</w:t>
      </w:r>
      <w:r w:rsidRPr="003F1277">
        <w:rPr>
          <w:rStyle w:val="a3"/>
          <w:szCs w:val="21"/>
        </w:rPr>
        <w:footnoteReference w:id="75"/>
      </w:r>
    </w:p>
    <w:p w:rsidR="00B35788" w:rsidRPr="00BB6462" w:rsidRDefault="00B35788" w:rsidP="00B35788">
      <w:pPr>
        <w:pStyle w:val="SingleTxt"/>
        <w:rPr>
          <w:lang w:val="fr-CH"/>
        </w:rPr>
      </w:pPr>
      <w:r w:rsidRPr="00BB6462">
        <w:rPr>
          <w:rFonts w:hint="eastAsia"/>
          <w:lang w:val="fr-CH"/>
        </w:rPr>
        <w:lastRenderedPageBreak/>
        <w:t xml:space="preserve">60.  </w:t>
      </w:r>
      <w:r w:rsidRPr="00BB6462">
        <w:rPr>
          <w:rFonts w:hint="eastAsia"/>
          <w:lang w:val="fr-CH"/>
        </w:rPr>
        <w:t>在委员会</w:t>
      </w:r>
      <w:r w:rsidRPr="00BB6462">
        <w:rPr>
          <w:rFonts w:hint="eastAsia"/>
          <w:lang w:val="fr-CH"/>
        </w:rPr>
        <w:t>2015</w:t>
      </w:r>
      <w:r w:rsidRPr="00BB6462">
        <w:rPr>
          <w:rFonts w:hint="eastAsia"/>
          <w:lang w:val="fr-CH"/>
        </w:rPr>
        <w:t>年</w:t>
      </w:r>
      <w:r w:rsidRPr="00BB6462">
        <w:rPr>
          <w:rFonts w:hint="eastAsia"/>
          <w:lang w:val="fr-CH"/>
        </w:rPr>
        <w:t>7</w:t>
      </w:r>
      <w:r w:rsidRPr="00BB6462">
        <w:rPr>
          <w:rFonts w:hint="eastAsia"/>
          <w:lang w:val="fr-CH"/>
        </w:rPr>
        <w:t>月</w:t>
      </w:r>
      <w:r w:rsidRPr="00BB6462">
        <w:rPr>
          <w:rFonts w:hint="eastAsia"/>
          <w:lang w:val="fr-CH"/>
        </w:rPr>
        <w:t>29</w:t>
      </w:r>
      <w:r w:rsidRPr="00BB6462">
        <w:rPr>
          <w:rFonts w:hint="eastAsia"/>
          <w:lang w:val="fr-CH"/>
        </w:rPr>
        <w:t>日第</w:t>
      </w:r>
      <w:r w:rsidRPr="00BB6462">
        <w:rPr>
          <w:rFonts w:hint="eastAsia"/>
          <w:lang w:val="fr-CH"/>
        </w:rPr>
        <w:t>3280</w:t>
      </w:r>
      <w:r w:rsidRPr="00BB6462">
        <w:rPr>
          <w:rFonts w:hint="eastAsia"/>
          <w:lang w:val="fr-CH"/>
        </w:rPr>
        <w:t>次会议上，起草委员会主席介绍了起草委员会关于“习惯国际法的识别”的报告，其中载有起草委员会在第六十六和第六十七届会议期间暂时通过的第</w:t>
      </w:r>
      <w:r w:rsidRPr="00BB6462">
        <w:t>1</w:t>
      </w:r>
      <w:r w:rsidRPr="00BB6462">
        <w:rPr>
          <w:rFonts w:hint="eastAsia"/>
        </w:rPr>
        <w:t>至第</w:t>
      </w:r>
      <w:r w:rsidRPr="00BB6462">
        <w:t>16 [15]</w:t>
      </w:r>
      <w:r w:rsidRPr="00BB6462">
        <w:rPr>
          <w:rFonts w:hint="eastAsia"/>
          <w:lang w:val="fr-CH"/>
        </w:rPr>
        <w:t>条结论草案。</w:t>
      </w:r>
      <w:r w:rsidRPr="003F1277">
        <w:rPr>
          <w:rStyle w:val="a3"/>
          <w:szCs w:val="21"/>
        </w:rPr>
        <w:footnoteReference w:id="76"/>
      </w:r>
      <w:r w:rsidRPr="00BB6462">
        <w:rPr>
          <w:rFonts w:hint="eastAsia"/>
          <w:lang w:val="fr-CH"/>
        </w:rPr>
        <w:t>在</w:t>
      </w:r>
      <w:r w:rsidRPr="00BB6462">
        <w:rPr>
          <w:rFonts w:hint="eastAsia"/>
          <w:lang w:val="fr-CH"/>
        </w:rPr>
        <w:t>2015</w:t>
      </w:r>
      <w:r w:rsidRPr="00BB6462">
        <w:rPr>
          <w:rFonts w:hint="eastAsia"/>
          <w:lang w:val="fr-CH"/>
        </w:rPr>
        <w:t>年</w:t>
      </w:r>
      <w:r w:rsidRPr="00BB6462">
        <w:rPr>
          <w:rFonts w:hint="eastAsia"/>
          <w:lang w:val="fr-CH"/>
        </w:rPr>
        <w:t>8</w:t>
      </w:r>
      <w:r w:rsidRPr="00BB6462">
        <w:rPr>
          <w:rFonts w:hint="eastAsia"/>
          <w:lang w:val="fr-CH"/>
        </w:rPr>
        <w:t>月</w:t>
      </w:r>
      <w:r w:rsidRPr="00BB6462">
        <w:rPr>
          <w:rFonts w:hint="eastAsia"/>
          <w:lang w:val="fr-CH"/>
        </w:rPr>
        <w:t>6</w:t>
      </w:r>
      <w:r w:rsidRPr="00BB6462">
        <w:rPr>
          <w:rFonts w:hint="eastAsia"/>
          <w:lang w:val="fr-CH"/>
        </w:rPr>
        <w:t>日第</w:t>
      </w:r>
      <w:r w:rsidRPr="00BB6462">
        <w:rPr>
          <w:rFonts w:hint="eastAsia"/>
          <w:lang w:val="fr-CH"/>
        </w:rPr>
        <w:t>3288</w:t>
      </w:r>
      <w:r w:rsidRPr="00BB6462">
        <w:rPr>
          <w:rFonts w:hint="eastAsia"/>
          <w:lang w:val="fr-CH"/>
        </w:rPr>
        <w:t>次会议上，委员会注意到第</w:t>
      </w:r>
      <w:r w:rsidRPr="00BB6462">
        <w:t>1</w:t>
      </w:r>
      <w:r w:rsidRPr="00BB6462">
        <w:rPr>
          <w:rFonts w:hint="eastAsia"/>
        </w:rPr>
        <w:t>至第</w:t>
      </w:r>
      <w:r>
        <w:t>16</w:t>
      </w:r>
      <w:r w:rsidRPr="00BB6462">
        <w:rPr>
          <w:rFonts w:hint="eastAsia"/>
          <w:lang w:val="fr-CH"/>
        </w:rPr>
        <w:t>条结论草案。预计委员会将在下届会议上考虑暂时通过这些结论草案及其评注。该报告连同结论草案在现阶段只是作为资料提交给委员会，可在委员会网站上查阅。</w:t>
      </w:r>
    </w:p>
    <w:p w:rsidR="00B35788" w:rsidRPr="00891401" w:rsidRDefault="00B35788" w:rsidP="00B35788">
      <w:pPr>
        <w:pStyle w:val="SingleTxt"/>
      </w:pPr>
      <w:r w:rsidRPr="00BB6462">
        <w:t xml:space="preserve">61.  </w:t>
      </w:r>
      <w:r w:rsidRPr="00BB6462">
        <w:rPr>
          <w:rFonts w:hint="eastAsia"/>
          <w:lang w:val="fr-CH"/>
        </w:rPr>
        <w:t>在</w:t>
      </w:r>
      <w:r w:rsidRPr="00BB6462">
        <w:rPr>
          <w:rFonts w:hint="eastAsia"/>
          <w:lang w:val="fr-CH"/>
        </w:rPr>
        <w:t>2015</w:t>
      </w:r>
      <w:r w:rsidRPr="00BB6462">
        <w:rPr>
          <w:rFonts w:hint="eastAsia"/>
          <w:lang w:val="fr-CH"/>
        </w:rPr>
        <w:t>年</w:t>
      </w:r>
      <w:r w:rsidRPr="00BB6462">
        <w:rPr>
          <w:rFonts w:hint="eastAsia"/>
          <w:lang w:val="fr-CH"/>
        </w:rPr>
        <w:t>8</w:t>
      </w:r>
      <w:r w:rsidRPr="00BB6462">
        <w:rPr>
          <w:rFonts w:hint="eastAsia"/>
          <w:lang w:val="fr-CH"/>
        </w:rPr>
        <w:t>月</w:t>
      </w:r>
      <w:r w:rsidRPr="00BB6462">
        <w:rPr>
          <w:rFonts w:hint="eastAsia"/>
          <w:lang w:val="fr-CH"/>
        </w:rPr>
        <w:t>6</w:t>
      </w:r>
      <w:r w:rsidRPr="00BB6462">
        <w:rPr>
          <w:rFonts w:hint="eastAsia"/>
          <w:lang w:val="fr-CH"/>
        </w:rPr>
        <w:t>日第</w:t>
      </w:r>
      <w:r w:rsidRPr="00BB6462">
        <w:rPr>
          <w:rFonts w:hint="eastAsia"/>
          <w:lang w:val="fr-CH"/>
        </w:rPr>
        <w:t>3288</w:t>
      </w:r>
      <w:r w:rsidRPr="00BB6462">
        <w:rPr>
          <w:rFonts w:hint="eastAsia"/>
          <w:lang w:val="fr-CH"/>
        </w:rPr>
        <w:t>次会议上</w:t>
      </w:r>
      <w:r w:rsidRPr="00BB6462">
        <w:rPr>
          <w:rFonts w:hint="eastAsia"/>
          <w:shd w:val="clear" w:color="auto" w:fill="FFFFFF"/>
        </w:rPr>
        <w:t>，委员会为了对习惯国际法作出认定，请秘书处围绕各国法院的判决在具有普遍性的国际法院和法庭的判例法中所起的作用编写一份备忘录。</w:t>
      </w:r>
    </w:p>
    <w:p w:rsidR="00B35788" w:rsidRPr="00891401"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891401"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496316" w:rsidRDefault="00B35788" w:rsidP="0049631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BB6462">
        <w:rPr>
          <w:rFonts w:hint="eastAsia"/>
          <w:lang w:val="en-GB"/>
        </w:rPr>
        <w:tab/>
      </w:r>
      <w:r w:rsidRPr="00BB6462">
        <w:rPr>
          <w:lang w:val="en-GB"/>
        </w:rPr>
        <w:t>1.</w:t>
      </w:r>
      <w:r w:rsidRPr="00BB6462">
        <w:rPr>
          <w:rFonts w:hint="eastAsia"/>
          <w:lang w:val="en-GB"/>
        </w:rPr>
        <w:tab/>
        <w:t>特别报告员介绍第三次报告</w:t>
      </w:r>
    </w:p>
    <w:p w:rsidR="00496316" w:rsidRPr="00EF7649" w:rsidRDefault="00496316" w:rsidP="00EF7649">
      <w:pPr>
        <w:pStyle w:val="SingleTxt"/>
        <w:spacing w:after="0" w:line="120" w:lineRule="exact"/>
        <w:rPr>
          <w:sz w:val="10"/>
          <w:lang w:val="en-GB"/>
        </w:rPr>
      </w:pPr>
    </w:p>
    <w:p w:rsidR="00EF7649" w:rsidRPr="00DA27B4" w:rsidRDefault="00EF7649" w:rsidP="00B35788">
      <w:pPr>
        <w:pStyle w:val="SingleTxt"/>
        <w:spacing w:after="0" w:line="120" w:lineRule="exact"/>
        <w:rPr>
          <w:sz w:val="10"/>
          <w:lang w:val="en-GB"/>
        </w:rPr>
      </w:pPr>
    </w:p>
    <w:p w:rsidR="00B35788" w:rsidRPr="00BB6462" w:rsidRDefault="00B35788" w:rsidP="00B35788">
      <w:pPr>
        <w:pStyle w:val="SingleTxt"/>
      </w:pPr>
      <w:r w:rsidRPr="00BB6462">
        <w:rPr>
          <w:lang w:val="en-GB"/>
        </w:rPr>
        <w:t>6</w:t>
      </w:r>
      <w:r w:rsidRPr="00BB6462">
        <w:rPr>
          <w:rFonts w:hint="eastAsia"/>
          <w:lang w:val="en-GB"/>
        </w:rPr>
        <w:t>2</w:t>
      </w:r>
      <w:r w:rsidRPr="00BB6462">
        <w:rPr>
          <w:lang w:val="en-GB"/>
        </w:rPr>
        <w:t>.</w:t>
      </w:r>
      <w:r w:rsidRPr="00BB6462">
        <w:rPr>
          <w:rFonts w:hint="eastAsia"/>
          <w:lang w:val="en-GB"/>
        </w:rPr>
        <w:t xml:space="preserve">  </w:t>
      </w:r>
      <w:r w:rsidRPr="00BB6462">
        <w:rPr>
          <w:rFonts w:hint="eastAsia"/>
          <w:lang w:val="fr-CH"/>
        </w:rPr>
        <w:t>特别报告员在介绍第三次报告时指出</w:t>
      </w:r>
      <w:r w:rsidRPr="00BB6462">
        <w:rPr>
          <w:rFonts w:hint="eastAsia"/>
          <w:lang w:val="en-GB"/>
        </w:rPr>
        <w:t>，</w:t>
      </w:r>
      <w:r w:rsidRPr="00BB6462">
        <w:rPr>
          <w:rFonts w:hint="eastAsia"/>
          <w:lang w:val="fr-CH"/>
        </w:rPr>
        <w:t>报告试图涵盖</w:t>
      </w:r>
      <w:r w:rsidRPr="00BB6462">
        <w:rPr>
          <w:rFonts w:hint="eastAsia"/>
          <w:lang w:val="en-GB"/>
        </w:rPr>
        <w:t>2014</w:t>
      </w:r>
      <w:r w:rsidRPr="00BB6462">
        <w:rPr>
          <w:rFonts w:hint="eastAsia"/>
          <w:lang w:val="fr-CH"/>
        </w:rPr>
        <w:t>年就两组成要素</w:t>
      </w:r>
      <w:r w:rsidRPr="00BB6462">
        <w:rPr>
          <w:rFonts w:hint="eastAsia"/>
          <w:lang w:val="en-GB"/>
        </w:rPr>
        <w:t>(</w:t>
      </w:r>
      <w:r w:rsidRPr="00BB6462">
        <w:rPr>
          <w:rFonts w:hint="eastAsia"/>
          <w:lang w:val="en-GB"/>
        </w:rPr>
        <w:t>“</w:t>
      </w:r>
      <w:r w:rsidRPr="00BB6462">
        <w:rPr>
          <w:rFonts w:hint="eastAsia"/>
          <w:lang w:val="fr-CH"/>
        </w:rPr>
        <w:t>一般惯例</w:t>
      </w:r>
      <w:r w:rsidRPr="00BB6462">
        <w:rPr>
          <w:rFonts w:hint="eastAsia"/>
          <w:lang w:val="en-GB"/>
        </w:rPr>
        <w:t>”和“被接受为法律</w:t>
      </w:r>
      <w:r w:rsidRPr="00BB6462">
        <w:rPr>
          <w:rFonts w:hint="eastAsia"/>
          <w:lang w:val="en-GB"/>
        </w:rPr>
        <w:t>(</w:t>
      </w:r>
      <w:r w:rsidRPr="00BB6462">
        <w:rPr>
          <w:lang w:val="en-GB"/>
        </w:rPr>
        <w:t>法律确信</w:t>
      </w:r>
      <w:r w:rsidRPr="00BB6462">
        <w:rPr>
          <w:rFonts w:hint="eastAsia"/>
          <w:lang w:val="en-GB"/>
        </w:rPr>
        <w:t>)</w:t>
      </w:r>
      <w:r w:rsidRPr="00BB6462">
        <w:rPr>
          <w:rFonts w:hint="eastAsia"/>
          <w:lang w:val="en-GB"/>
        </w:rPr>
        <w:t>”</w:t>
      </w:r>
      <w:r w:rsidRPr="00BB6462">
        <w:rPr>
          <w:rFonts w:hint="eastAsia"/>
          <w:lang w:val="en-GB"/>
        </w:rPr>
        <w:t>)</w:t>
      </w:r>
      <w:r w:rsidRPr="00BB6462">
        <w:rPr>
          <w:rFonts w:hint="eastAsia"/>
          <w:lang w:val="en-GB"/>
        </w:rPr>
        <w:t>提出的问题，以及特别习惯和一贯反对者等新问题。第三次报告针对第二次报告提出的结论草案中的三条结论提议了新增段落，并提出了五条新的结论草案，分别列入两个新增部分</w:t>
      </w:r>
      <w:r w:rsidRPr="00BB6462">
        <w:rPr>
          <w:rFonts w:hint="eastAsia"/>
          <w:lang w:val="en-GB"/>
        </w:rPr>
        <w:t>(</w:t>
      </w:r>
      <w:r w:rsidRPr="00BB6462">
        <w:rPr>
          <w:rFonts w:hint="eastAsia"/>
          <w:lang w:val="en-GB"/>
        </w:rPr>
        <w:t>第五部分“特定形式的惯例和证据”和第六部分“习惯国际法规则的普遍适用的例外”</w:t>
      </w:r>
      <w:r w:rsidRPr="00BB6462">
        <w:rPr>
          <w:rFonts w:hint="eastAsia"/>
          <w:lang w:val="en-GB"/>
        </w:rPr>
        <w:t>)</w:t>
      </w:r>
      <w:r w:rsidRPr="00BB6462">
        <w:rPr>
          <w:rFonts w:hint="eastAsia"/>
          <w:lang w:val="en-GB"/>
        </w:rPr>
        <w:t>。</w:t>
      </w:r>
    </w:p>
    <w:p w:rsidR="00B35788" w:rsidRPr="00BB6462" w:rsidRDefault="00B35788" w:rsidP="00B35788">
      <w:pPr>
        <w:pStyle w:val="SingleTxt"/>
      </w:pPr>
      <w:r w:rsidRPr="00BB6462">
        <w:rPr>
          <w:rFonts w:hint="eastAsia"/>
        </w:rPr>
        <w:t>63</w:t>
      </w:r>
      <w:r w:rsidRPr="00BB6462">
        <w:t>.</w:t>
      </w:r>
      <w:r w:rsidRPr="00BB6462">
        <w:rPr>
          <w:rFonts w:hint="eastAsia"/>
        </w:rPr>
        <w:t xml:space="preserve">  </w:t>
      </w:r>
      <w:r w:rsidRPr="00BB6462">
        <w:rPr>
          <w:rFonts w:hint="eastAsia"/>
        </w:rPr>
        <w:t>第三次</w:t>
      </w:r>
      <w:r w:rsidRPr="00BB6462">
        <w:rPr>
          <w:rFonts w:hint="eastAsia"/>
          <w:lang w:val="en-GB"/>
        </w:rPr>
        <w:t>报告分为九节。第一节是导言，回顾了该专题的历史，特别是委员会之前会议开展的工作，以及第六委员会</w:t>
      </w:r>
      <w:r w:rsidRPr="00BB6462">
        <w:rPr>
          <w:rFonts w:hint="eastAsia"/>
          <w:lang w:val="en-GB"/>
        </w:rPr>
        <w:t>2014</w:t>
      </w:r>
      <w:r w:rsidRPr="00BB6462">
        <w:rPr>
          <w:rFonts w:hint="eastAsia"/>
          <w:lang w:val="en-GB"/>
        </w:rPr>
        <w:t>年关于该专题的辩论。报告第二节再次探讨了一般惯例与</w:t>
      </w:r>
      <w:r w:rsidRPr="00BB6462">
        <w:rPr>
          <w:lang w:val="en-GB"/>
        </w:rPr>
        <w:t>法律确信</w:t>
      </w:r>
      <w:r w:rsidRPr="00BB6462">
        <w:rPr>
          <w:rFonts w:hint="eastAsia"/>
          <w:lang w:val="en-GB"/>
        </w:rPr>
        <w:t>的关系</w:t>
      </w:r>
      <w:r w:rsidRPr="00BB6462">
        <w:rPr>
          <w:rFonts w:hint="eastAsia"/>
          <w:lang w:val="en-GB"/>
        </w:rPr>
        <w:t>(</w:t>
      </w:r>
      <w:r w:rsidRPr="00BB6462">
        <w:rPr>
          <w:rFonts w:hint="eastAsia"/>
          <w:lang w:val="en-GB"/>
        </w:rPr>
        <w:t>结论草案</w:t>
      </w:r>
      <w:r w:rsidRPr="00BB6462">
        <w:rPr>
          <w:rFonts w:hint="eastAsia"/>
          <w:lang w:val="en-GB"/>
        </w:rPr>
        <w:t>3 [4]</w:t>
      </w:r>
      <w:r w:rsidRPr="00BB6462">
        <w:rPr>
          <w:rFonts w:hint="eastAsia"/>
          <w:lang w:val="en-GB"/>
        </w:rPr>
        <w:t>，第</w:t>
      </w:r>
      <w:r w:rsidRPr="00BB6462">
        <w:rPr>
          <w:rFonts w:hint="eastAsia"/>
          <w:lang w:val="en-GB"/>
        </w:rPr>
        <w:t>2</w:t>
      </w:r>
      <w:r w:rsidRPr="00BB6462">
        <w:rPr>
          <w:rFonts w:hint="eastAsia"/>
          <w:lang w:val="en-GB"/>
        </w:rPr>
        <w:t>段</w:t>
      </w:r>
      <w:r w:rsidRPr="00BB6462">
        <w:rPr>
          <w:rFonts w:hint="eastAsia"/>
          <w:lang w:val="en-GB"/>
        </w:rPr>
        <w:t>)</w:t>
      </w:r>
      <w:r w:rsidRPr="00BB6462">
        <w:rPr>
          <w:rFonts w:hint="eastAsia"/>
          <w:lang w:val="en-GB"/>
        </w:rPr>
        <w:t>。第三节涉及不作为被视作惯例和</w:t>
      </w:r>
      <w:r w:rsidRPr="00BB6462">
        <w:rPr>
          <w:rFonts w:hint="eastAsia"/>
          <w:lang w:val="en-GB"/>
        </w:rPr>
        <w:t>(</w:t>
      </w:r>
      <w:r w:rsidRPr="00BB6462">
        <w:rPr>
          <w:rFonts w:hint="eastAsia"/>
          <w:lang w:val="en-GB"/>
        </w:rPr>
        <w:t>或</w:t>
      </w:r>
      <w:r w:rsidRPr="00BB6462">
        <w:rPr>
          <w:rFonts w:hint="eastAsia"/>
          <w:lang w:val="en-GB"/>
        </w:rPr>
        <w:t>)</w:t>
      </w:r>
      <w:r w:rsidRPr="00BB6462">
        <w:rPr>
          <w:rFonts w:hint="eastAsia"/>
          <w:lang w:val="en-GB"/>
        </w:rPr>
        <w:t>接受为法律的证据的作用</w:t>
      </w:r>
      <w:r w:rsidRPr="00BB6462">
        <w:rPr>
          <w:rFonts w:hint="eastAsia"/>
          <w:lang w:val="en-GB"/>
        </w:rPr>
        <w:t>(</w:t>
      </w:r>
      <w:r w:rsidRPr="00BB6462">
        <w:rPr>
          <w:rFonts w:hint="eastAsia"/>
          <w:lang w:val="en-GB"/>
        </w:rPr>
        <w:t>结论草案</w:t>
      </w:r>
      <w:r w:rsidRPr="00BB6462">
        <w:rPr>
          <w:rFonts w:hint="eastAsia"/>
          <w:lang w:val="en-GB"/>
        </w:rPr>
        <w:t>11</w:t>
      </w:r>
      <w:r w:rsidRPr="00BB6462">
        <w:rPr>
          <w:rFonts w:hint="eastAsia"/>
          <w:lang w:val="en-GB"/>
        </w:rPr>
        <w:t>，第</w:t>
      </w:r>
      <w:r w:rsidRPr="00BB6462">
        <w:rPr>
          <w:rFonts w:hint="eastAsia"/>
          <w:lang w:val="en-GB"/>
        </w:rPr>
        <w:t>3</w:t>
      </w:r>
      <w:r w:rsidRPr="00BB6462">
        <w:rPr>
          <w:rFonts w:hint="eastAsia"/>
          <w:lang w:val="en-GB"/>
        </w:rPr>
        <w:t>段</w:t>
      </w:r>
      <w:r w:rsidRPr="00BB6462">
        <w:rPr>
          <w:rFonts w:hint="eastAsia"/>
          <w:lang w:val="en-GB"/>
        </w:rPr>
        <w:t>)</w:t>
      </w:r>
      <w:r w:rsidRPr="00BB6462">
        <w:rPr>
          <w:rFonts w:hint="eastAsia"/>
          <w:lang w:val="en-GB"/>
        </w:rPr>
        <w:t>。第四节和第五节探讨了其他特殊形式的惯例和证据</w:t>
      </w:r>
      <w:r w:rsidRPr="00BB6462">
        <w:rPr>
          <w:rFonts w:hint="eastAsia"/>
          <w:lang w:val="en-GB"/>
        </w:rPr>
        <w:t>:</w:t>
      </w:r>
      <w:r w:rsidRPr="00BB6462">
        <w:rPr>
          <w:rFonts w:hint="eastAsia"/>
          <w:lang w:val="en-GB"/>
        </w:rPr>
        <w:t>第四节研究了国际组织和会议的条约和</w:t>
      </w:r>
      <w:r w:rsidRPr="00BB6462">
        <w:rPr>
          <w:rFonts w:hint="eastAsia"/>
          <w:spacing w:val="2"/>
          <w:lang w:val="en-GB"/>
        </w:rPr>
        <w:t>决议的作用</w:t>
      </w:r>
      <w:r w:rsidRPr="00BB6462">
        <w:rPr>
          <w:rFonts w:hint="eastAsia"/>
          <w:spacing w:val="2"/>
          <w:lang w:val="en-GB"/>
        </w:rPr>
        <w:t>(</w:t>
      </w:r>
      <w:r w:rsidRPr="00BB6462">
        <w:rPr>
          <w:rFonts w:hint="eastAsia"/>
          <w:spacing w:val="2"/>
          <w:lang w:val="en-GB"/>
        </w:rPr>
        <w:t>结论草案</w:t>
      </w:r>
      <w:r w:rsidRPr="00BB6462">
        <w:rPr>
          <w:rFonts w:hint="eastAsia"/>
          <w:spacing w:val="2"/>
          <w:lang w:val="en-GB"/>
        </w:rPr>
        <w:t>12</w:t>
      </w:r>
      <w:r w:rsidRPr="00BB6462">
        <w:rPr>
          <w:rFonts w:hint="eastAsia"/>
          <w:spacing w:val="2"/>
          <w:lang w:val="en-GB"/>
        </w:rPr>
        <w:t>和</w:t>
      </w:r>
      <w:r w:rsidRPr="00BB6462">
        <w:rPr>
          <w:rFonts w:hint="eastAsia"/>
          <w:spacing w:val="2"/>
          <w:lang w:val="en-GB"/>
        </w:rPr>
        <w:t>13)</w:t>
      </w:r>
      <w:r w:rsidRPr="00BB6462">
        <w:rPr>
          <w:rFonts w:hint="eastAsia"/>
          <w:spacing w:val="2"/>
          <w:lang w:val="en-GB"/>
        </w:rPr>
        <w:t>，第五节审议了识别习惯</w:t>
      </w:r>
      <w:r w:rsidRPr="00BB6462">
        <w:rPr>
          <w:rFonts w:hint="eastAsia"/>
          <w:lang w:val="en-GB"/>
        </w:rPr>
        <w:t>国际法规则的两项辅助手段，即司法裁决和论著</w:t>
      </w:r>
      <w:r w:rsidRPr="00BB6462">
        <w:rPr>
          <w:lang w:val="en-GB"/>
        </w:rPr>
        <w:t>(</w:t>
      </w:r>
      <w:r w:rsidRPr="00BB6462">
        <w:rPr>
          <w:lang w:val="en-GB"/>
        </w:rPr>
        <w:t>结论草案</w:t>
      </w:r>
      <w:r w:rsidRPr="00BB6462">
        <w:rPr>
          <w:lang w:val="en-GB"/>
        </w:rPr>
        <w:t>14)</w:t>
      </w:r>
      <w:r w:rsidRPr="00BB6462">
        <w:rPr>
          <w:rFonts w:hint="eastAsia"/>
          <w:lang w:val="en-GB"/>
        </w:rPr>
        <w:t>。第六节探讨了国际组织和非国家行为者实践的相关性</w:t>
      </w:r>
      <w:r w:rsidRPr="00BB6462">
        <w:rPr>
          <w:lang w:val="en-GB"/>
        </w:rPr>
        <w:t>(</w:t>
      </w:r>
      <w:r w:rsidRPr="00BB6462">
        <w:rPr>
          <w:lang w:val="en-GB"/>
        </w:rPr>
        <w:t>结论草案</w:t>
      </w:r>
      <w:r w:rsidRPr="00BB6462">
        <w:rPr>
          <w:lang w:val="en-GB"/>
        </w:rPr>
        <w:t>4 [5]</w:t>
      </w:r>
      <w:r w:rsidRPr="00BB6462">
        <w:rPr>
          <w:lang w:val="en-GB"/>
        </w:rPr>
        <w:t>，</w:t>
      </w:r>
      <w:r w:rsidRPr="00BB6462">
        <w:rPr>
          <w:rFonts w:hint="eastAsia"/>
          <w:lang w:val="en-GB"/>
        </w:rPr>
        <w:t>第</w:t>
      </w:r>
      <w:r w:rsidRPr="00BB6462">
        <w:rPr>
          <w:lang w:val="en-GB"/>
        </w:rPr>
        <w:t>3</w:t>
      </w:r>
      <w:r w:rsidRPr="00BB6462">
        <w:rPr>
          <w:rFonts w:hint="eastAsia"/>
          <w:lang w:val="en-GB"/>
        </w:rPr>
        <w:t>段</w:t>
      </w:r>
      <w:r w:rsidRPr="00BB6462">
        <w:rPr>
          <w:lang w:val="en-GB"/>
        </w:rPr>
        <w:t>)</w:t>
      </w:r>
      <w:r w:rsidRPr="00BB6462">
        <w:rPr>
          <w:rFonts w:hint="eastAsia"/>
          <w:lang w:val="en-GB"/>
        </w:rPr>
        <w:t>。最后，报告第七和第八节以不同方式探讨了习惯国际法规则的属人适用，这也是结论草案第六部分的内容。第六部分包含两条结论草案，分别是特别习惯和一贯反对者</w:t>
      </w:r>
      <w:r w:rsidRPr="00BB6462">
        <w:rPr>
          <w:lang w:val="en-GB"/>
        </w:rPr>
        <w:t xml:space="preserve"> (</w:t>
      </w:r>
      <w:r w:rsidRPr="00BB6462">
        <w:rPr>
          <w:rFonts w:hint="eastAsia"/>
          <w:lang w:val="en-GB"/>
        </w:rPr>
        <w:t>结论草案</w:t>
      </w:r>
      <w:r w:rsidRPr="00BB6462">
        <w:rPr>
          <w:rFonts w:hint="eastAsia"/>
          <w:lang w:val="en-GB"/>
        </w:rPr>
        <w:t>15</w:t>
      </w:r>
      <w:r w:rsidRPr="00BB6462">
        <w:rPr>
          <w:rFonts w:hint="eastAsia"/>
          <w:lang w:val="en-GB"/>
        </w:rPr>
        <w:t>和</w:t>
      </w:r>
      <w:r w:rsidRPr="00BB6462">
        <w:rPr>
          <w:lang w:val="en-GB"/>
        </w:rPr>
        <w:t>16)</w:t>
      </w:r>
      <w:r w:rsidRPr="00BB6462">
        <w:rPr>
          <w:rFonts w:hint="eastAsia"/>
          <w:lang w:val="en-GB"/>
        </w:rPr>
        <w:t>。</w:t>
      </w:r>
    </w:p>
    <w:p w:rsidR="00B35788" w:rsidRPr="00BB6462" w:rsidRDefault="00B35788" w:rsidP="00B35788">
      <w:pPr>
        <w:pStyle w:val="SingleTxt"/>
      </w:pPr>
      <w:r w:rsidRPr="00BB6462">
        <w:rPr>
          <w:rFonts w:hint="eastAsia"/>
        </w:rPr>
        <w:t>64</w:t>
      </w:r>
      <w:r w:rsidRPr="00BB6462">
        <w:t>.</w:t>
      </w:r>
      <w:r w:rsidRPr="00BB6462">
        <w:rPr>
          <w:rFonts w:hint="eastAsia"/>
        </w:rPr>
        <w:t xml:space="preserve">  </w:t>
      </w:r>
      <w:r w:rsidRPr="00BB6462">
        <w:rPr>
          <w:rFonts w:hint="eastAsia"/>
        </w:rPr>
        <w:t>特别报告员在介绍中，对第三次报告编写过程中得到的投入和支持表示感谢，并感谢一些政府就此专题提交的书面材料。他表示，他试图完成将列入该专题最后成果的一套结论草案，请委员们提出任何被忽视的问题。他强调该专题与国际法委员会议程上其他专题的相互联系，并确认应当全面地看待委员会的工作。</w:t>
      </w:r>
    </w:p>
    <w:p w:rsidR="00B35788" w:rsidRPr="00BB6462" w:rsidRDefault="00B35788" w:rsidP="00B35788">
      <w:pPr>
        <w:pStyle w:val="SingleTxt"/>
      </w:pPr>
      <w:r w:rsidRPr="00BB6462">
        <w:rPr>
          <w:rFonts w:hint="eastAsia"/>
        </w:rPr>
        <w:lastRenderedPageBreak/>
        <w:t>65</w:t>
      </w:r>
      <w:r w:rsidRPr="00BB6462">
        <w:t xml:space="preserve">. </w:t>
      </w:r>
      <w:r w:rsidRPr="00BB6462">
        <w:rPr>
          <w:rFonts w:hint="eastAsia"/>
        </w:rPr>
        <w:t xml:space="preserve"> </w:t>
      </w:r>
      <w:r w:rsidRPr="00BB6462">
        <w:rPr>
          <w:rFonts w:hint="eastAsia"/>
        </w:rPr>
        <w:t>特别报告员忆及，应委员会的要求，他在第三次报告中再次探讨了一般惯例与</w:t>
      </w:r>
      <w:r w:rsidRPr="00BB6462">
        <w:t>法律确信</w:t>
      </w:r>
      <w:r w:rsidRPr="00BB6462">
        <w:rPr>
          <w:rFonts w:hint="eastAsia"/>
        </w:rPr>
        <w:t>的关系。他在报告中得出结论称，在试图确定一项习惯国际法规则是否已经出现时，每次都需要单独考虑并核实每项要素的存在，这通常需要针对每个要素评估不同的证据。另一点是，在识别是否存在一项习惯国际法规则时，重要的是两要素必须都存在，而不是其出现的时间顺序。最后，报告指出，对国际法的不同领域而言，两要素方法的适用可能有所不同，在某些情况下，惯例的某种形式</w:t>
      </w:r>
      <w:r w:rsidRPr="00BB6462">
        <w:rPr>
          <w:rFonts w:hint="eastAsia"/>
        </w:rPr>
        <w:t>(</w:t>
      </w:r>
      <w:r w:rsidRPr="00BB6462">
        <w:rPr>
          <w:rFonts w:hint="eastAsia"/>
        </w:rPr>
        <w:t>或某些情形</w:t>
      </w:r>
      <w:r w:rsidRPr="00BB6462">
        <w:rPr>
          <w:rFonts w:hint="eastAsia"/>
        </w:rPr>
        <w:t>)</w:t>
      </w:r>
      <w:r w:rsidRPr="00BB6462">
        <w:rPr>
          <w:rFonts w:hint="eastAsia"/>
        </w:rPr>
        <w:t>，或其被接受为法律的某一证据可能比其他形式</w:t>
      </w:r>
      <w:r w:rsidRPr="00BB6462">
        <w:rPr>
          <w:rFonts w:hint="eastAsia"/>
        </w:rPr>
        <w:t>(</w:t>
      </w:r>
      <w:r w:rsidRPr="00BB6462">
        <w:rPr>
          <w:rFonts w:hint="eastAsia"/>
        </w:rPr>
        <w:t>情形</w:t>
      </w:r>
      <w:r w:rsidRPr="00BB6462">
        <w:rPr>
          <w:rFonts w:hint="eastAsia"/>
        </w:rPr>
        <w:t>)</w:t>
      </w:r>
      <w:r w:rsidRPr="00BB6462">
        <w:rPr>
          <w:rFonts w:hint="eastAsia"/>
        </w:rPr>
        <w:t>或证据更具有相关性。</w:t>
      </w:r>
    </w:p>
    <w:p w:rsidR="00B35788" w:rsidRPr="00BB6462" w:rsidRDefault="00B35788" w:rsidP="00B35788">
      <w:pPr>
        <w:pStyle w:val="SingleTxt"/>
      </w:pPr>
      <w:r w:rsidRPr="00BB6462">
        <w:rPr>
          <w:rFonts w:hint="eastAsia"/>
        </w:rPr>
        <w:t>66</w:t>
      </w:r>
      <w:r w:rsidRPr="00BB6462">
        <w:t xml:space="preserve">. </w:t>
      </w:r>
      <w:r w:rsidRPr="00BB6462">
        <w:rPr>
          <w:rFonts w:hint="eastAsia"/>
        </w:rPr>
        <w:t xml:space="preserve"> </w:t>
      </w:r>
      <w:r w:rsidRPr="00BB6462">
        <w:rPr>
          <w:rFonts w:hint="eastAsia"/>
        </w:rPr>
        <w:t>特别报告员还再次探讨了不作为问题，特别是他对一般惯例的可能贡献以及作为接受为法律的证据的可能作用。他强调，虽然不作为在某些情况下对确立一般惯例至关重要，但是不作为可以发挥作用的情形未必明显。特别报告员补充道，当相关情况要求作出某些反应时，不作为可以成为</w:t>
      </w:r>
      <w:r w:rsidRPr="00BB6462">
        <w:t>法律确信</w:t>
      </w:r>
      <w:r w:rsidRPr="00BB6462">
        <w:rPr>
          <w:rFonts w:hint="eastAsia"/>
        </w:rPr>
        <w:t>的证据。这要求所涉国家必须已实际知悉所涉做法，或相关情况必须是有关国家可被视为已实际知悉所涉做法，且不作为需要保持足够长的一段时间。</w:t>
      </w:r>
    </w:p>
    <w:p w:rsidR="00B35788" w:rsidRPr="00BB6462" w:rsidRDefault="00B35788" w:rsidP="00B35788">
      <w:pPr>
        <w:pStyle w:val="SingleTxt"/>
      </w:pPr>
      <w:r w:rsidRPr="00BB6462">
        <w:rPr>
          <w:rFonts w:hint="eastAsia"/>
        </w:rPr>
        <w:t>67</w:t>
      </w:r>
      <w:r w:rsidRPr="00BB6462">
        <w:t xml:space="preserve">. </w:t>
      </w:r>
      <w:r w:rsidRPr="00BB6462">
        <w:rPr>
          <w:rFonts w:hint="eastAsia"/>
        </w:rPr>
        <w:t xml:space="preserve"> </w:t>
      </w:r>
      <w:r w:rsidRPr="00BB6462">
        <w:rPr>
          <w:rFonts w:hint="eastAsia"/>
        </w:rPr>
        <w:t>第三</w:t>
      </w:r>
      <w:r w:rsidRPr="00BB6462">
        <w:rPr>
          <w:rFonts w:hint="eastAsia"/>
          <w:spacing w:val="2"/>
        </w:rPr>
        <w:t>次报告考虑了特殊形式的惯例和</w:t>
      </w:r>
      <w:r w:rsidRPr="00BB6462">
        <w:rPr>
          <w:spacing w:val="2"/>
        </w:rPr>
        <w:t>法律确信</w:t>
      </w:r>
      <w:r w:rsidRPr="00BB6462">
        <w:rPr>
          <w:rFonts w:hint="eastAsia"/>
          <w:spacing w:val="2"/>
        </w:rPr>
        <w:t>的证据，即国际组织和会议的条约和决议，因为在识别习惯国际法时，常常依赖他们。特别报告员指出，类似考虑还可适用于其他书面</w:t>
      </w:r>
      <w:r w:rsidRPr="00BB6462">
        <w:rPr>
          <w:rFonts w:hint="eastAsia"/>
        </w:rPr>
        <w:t>文本，例如国际法委员会编写的文件。报告试图提醒，在考虑是否可以依靠这些文本来识别习惯国际法时，需要谨慎，并重申需要考虑并权衡所有相关情况。无论如何，这些书面文本自身不构成习惯国际法。</w:t>
      </w:r>
    </w:p>
    <w:p w:rsidR="00B35788" w:rsidRPr="00BB6462" w:rsidRDefault="00B35788" w:rsidP="00B35788">
      <w:pPr>
        <w:pStyle w:val="SingleTxt"/>
      </w:pPr>
      <w:r w:rsidRPr="00BB6462">
        <w:rPr>
          <w:rFonts w:hint="eastAsia"/>
        </w:rPr>
        <w:t>68</w:t>
      </w:r>
      <w:r w:rsidRPr="00BB6462">
        <w:t xml:space="preserve">. </w:t>
      </w:r>
      <w:r w:rsidRPr="00BB6462">
        <w:rPr>
          <w:rFonts w:hint="eastAsia"/>
        </w:rPr>
        <w:t xml:space="preserve"> </w:t>
      </w:r>
      <w:r w:rsidRPr="00BB6462">
        <w:rPr>
          <w:rFonts w:hint="eastAsia"/>
        </w:rPr>
        <w:t>关于条约和缔约活动的相关性，报告忆及这类书面文件可以与习惯国际法挂钩的三种方式：</w:t>
      </w:r>
      <w:r>
        <w:t>编纂</w:t>
      </w:r>
      <w:r w:rsidRPr="00BB6462">
        <w:rPr>
          <w:rFonts w:hint="eastAsia"/>
        </w:rPr>
        <w:t>现有法律、使新出现的法律定型或作为新法律的来源。报告还探讨了多边公约缔约国的惯例以及双边条约可能的相关性。</w:t>
      </w:r>
    </w:p>
    <w:p w:rsidR="00B35788" w:rsidRPr="00BB6462" w:rsidRDefault="00B35788" w:rsidP="00B35788">
      <w:pPr>
        <w:pStyle w:val="SingleTxt"/>
      </w:pPr>
      <w:r w:rsidRPr="00BB6462">
        <w:rPr>
          <w:rFonts w:hint="eastAsia"/>
        </w:rPr>
        <w:t>69</w:t>
      </w:r>
      <w:r w:rsidRPr="00BB6462">
        <w:t>.</w:t>
      </w:r>
      <w:r w:rsidRPr="00BB6462">
        <w:rPr>
          <w:rFonts w:hint="eastAsia"/>
        </w:rPr>
        <w:t xml:space="preserve">  </w:t>
      </w:r>
      <w:r w:rsidRPr="00BB6462">
        <w:rPr>
          <w:rFonts w:hint="eastAsia"/>
        </w:rPr>
        <w:t>报告还涉及国家在国际组织或国际会议上通过的决议作为国家惯例或</w:t>
      </w:r>
      <w:r w:rsidRPr="00BB6462">
        <w:t>法律确信</w:t>
      </w:r>
      <w:r w:rsidRPr="00BB6462">
        <w:rPr>
          <w:rFonts w:hint="eastAsia"/>
        </w:rPr>
        <w:t>的证据的相关性问题。特别报告员承认，在某些情况下，这类决议可以对习惯国际法的形成和识别发挥重要作用。决议本身不创立习惯国际法，但是可以为现有的或正在出现的法律提供证据，并产生可能形成新规则的惯例。在此类评价过程中，某项决议使用的具体措词，以及通过所述决议的背景情形至关重要。</w:t>
      </w:r>
    </w:p>
    <w:p w:rsidR="00B35788" w:rsidRPr="00BB6462" w:rsidRDefault="00B35788" w:rsidP="00B35788">
      <w:pPr>
        <w:pStyle w:val="SingleTxt"/>
      </w:pPr>
      <w:r w:rsidRPr="00BB6462">
        <w:rPr>
          <w:rFonts w:hint="eastAsia"/>
        </w:rPr>
        <w:t>70</w:t>
      </w:r>
      <w:r w:rsidRPr="00BB6462">
        <w:t>.</w:t>
      </w:r>
      <w:r w:rsidRPr="00BB6462">
        <w:rPr>
          <w:rFonts w:hint="eastAsia"/>
        </w:rPr>
        <w:t xml:space="preserve">  </w:t>
      </w:r>
      <w:r w:rsidRPr="00BB6462">
        <w:rPr>
          <w:rFonts w:hint="eastAsia"/>
        </w:rPr>
        <w:t>报告还接着考虑了识别习惯国际法规则的两项“辅助”</w:t>
      </w:r>
      <w:r w:rsidRPr="00BB6462">
        <w:rPr>
          <w:rFonts w:hint="eastAsia"/>
        </w:rPr>
        <w:t>(</w:t>
      </w:r>
      <w:r w:rsidRPr="00BB6462">
        <w:rPr>
          <w:rFonts w:hint="eastAsia"/>
        </w:rPr>
        <w:t>但是很重要的</w:t>
      </w:r>
      <w:r w:rsidRPr="00BB6462">
        <w:rPr>
          <w:rFonts w:hint="eastAsia"/>
        </w:rPr>
        <w:t>)</w:t>
      </w:r>
      <w:r w:rsidRPr="00BB6462">
        <w:rPr>
          <w:rFonts w:hint="eastAsia"/>
        </w:rPr>
        <w:t>手段：司法裁决和论著。关于司法裁决，报告既提到了国际法院和法庭的裁决，也提到了国内法院的裁决。报告强调了前者的重要性。国内法院的裁决也可以有影响力，但是必须谨慎对待。报告还确认，论著仍然是识别习惯国际法规则的一个有用的资料和分析参考，不过应当区分旨在反映现有法律</w:t>
      </w:r>
      <w:r w:rsidRPr="00BB6462">
        <w:rPr>
          <w:rFonts w:hint="eastAsia"/>
        </w:rPr>
        <w:t>(</w:t>
      </w:r>
      <w:r w:rsidRPr="00BB6462">
        <w:rPr>
          <w:rFonts w:hint="eastAsia"/>
        </w:rPr>
        <w:t>现行法</w:t>
      </w:r>
      <w:r w:rsidRPr="00BB6462">
        <w:rPr>
          <w:rFonts w:hint="eastAsia"/>
        </w:rPr>
        <w:t>)</w:t>
      </w:r>
      <w:r w:rsidRPr="00BB6462">
        <w:rPr>
          <w:rFonts w:hint="eastAsia"/>
        </w:rPr>
        <w:t>的论著与反映正在出现的法律</w:t>
      </w:r>
      <w:r w:rsidRPr="00BB6462">
        <w:rPr>
          <w:rFonts w:hint="eastAsia"/>
        </w:rPr>
        <w:t>(</w:t>
      </w:r>
      <w:r w:rsidRPr="00BB6462">
        <w:rPr>
          <w:rFonts w:hint="eastAsia"/>
        </w:rPr>
        <w:t>拟议法</w:t>
      </w:r>
      <w:r w:rsidRPr="00BB6462">
        <w:rPr>
          <w:rFonts w:hint="eastAsia"/>
        </w:rPr>
        <w:t>)</w:t>
      </w:r>
      <w:r w:rsidRPr="00BB6462">
        <w:rPr>
          <w:rFonts w:hint="eastAsia"/>
        </w:rPr>
        <w:t>的论著。</w:t>
      </w:r>
    </w:p>
    <w:p w:rsidR="00B35788" w:rsidRPr="00BB6462" w:rsidRDefault="00B35788" w:rsidP="00B35788">
      <w:pPr>
        <w:pStyle w:val="SingleTxt"/>
      </w:pPr>
      <w:r w:rsidRPr="00BB6462">
        <w:rPr>
          <w:rFonts w:hint="eastAsia"/>
        </w:rPr>
        <w:t>71</w:t>
      </w:r>
      <w:r w:rsidRPr="00BB6462">
        <w:t>.</w:t>
      </w:r>
      <w:r w:rsidRPr="00BB6462">
        <w:rPr>
          <w:rFonts w:hint="eastAsia"/>
        </w:rPr>
        <w:t xml:space="preserve">  </w:t>
      </w:r>
      <w:r w:rsidRPr="00BB6462">
        <w:rPr>
          <w:rFonts w:hint="eastAsia"/>
        </w:rPr>
        <w:t>关于国际组织本身的惯例，报告忆及去年得出的结论，即在某些情况下，国际组织的惯例也有助于习惯国际法规则的形成或表述。特别报告员强调，区分国际组织内各国的惯例与</w:t>
      </w:r>
      <w:r w:rsidRPr="00BB6462">
        <w:t>国际</w:t>
      </w:r>
      <w:r w:rsidRPr="00BB6462">
        <w:rPr>
          <w:rFonts w:hint="eastAsia"/>
        </w:rPr>
        <w:t>组织自身的惯例至关重要。他还强调，应当区分涉及组织内部运作的组织惯例以及该组织与各国及其他方面关系的惯例。此外，建议在结论草案中探讨除国际组织外的</w:t>
      </w:r>
      <w:r w:rsidRPr="00BB6462">
        <w:t>非国家行为者</w:t>
      </w:r>
      <w:r w:rsidRPr="00BB6462">
        <w:rPr>
          <w:rFonts w:hint="eastAsia"/>
        </w:rPr>
        <w:t>的行为。</w:t>
      </w:r>
    </w:p>
    <w:p w:rsidR="00B35788" w:rsidRPr="00BB6462" w:rsidRDefault="00B35788" w:rsidP="00B35788">
      <w:pPr>
        <w:pStyle w:val="SingleTxt"/>
      </w:pPr>
      <w:r w:rsidRPr="00BB6462">
        <w:rPr>
          <w:rFonts w:hint="eastAsia"/>
        </w:rPr>
        <w:lastRenderedPageBreak/>
        <w:t>72</w:t>
      </w:r>
      <w:r w:rsidRPr="00BB6462">
        <w:t>.</w:t>
      </w:r>
      <w:r w:rsidRPr="00BB6462">
        <w:rPr>
          <w:rFonts w:hint="eastAsia"/>
        </w:rPr>
        <w:t xml:space="preserve">  </w:t>
      </w:r>
      <w:r w:rsidRPr="00BB6462">
        <w:rPr>
          <w:rFonts w:hint="eastAsia"/>
        </w:rPr>
        <w:t>报告接着提到了“特别习惯”类别，按照特别报告员的解释，这一术语旨在涵盖所谓的“特殊”、“区域”、“地方”或“双边”习惯规则。特别报告员强调，考虑到特别习惯仅对数目有限的国家具有约束力的性质，有必要明确指出哪些国家参与了该惯例并接受其为法律。因此，为了确定是否存在这样一个习惯，需要查明有关国家之间是否存在着每一国家均将之接受为法律</w:t>
      </w:r>
      <w:r w:rsidRPr="00BB6462">
        <w:rPr>
          <w:rFonts w:hint="eastAsia"/>
        </w:rPr>
        <w:t>(</w:t>
      </w:r>
      <w:r w:rsidRPr="00BB6462">
        <w:t>法律确信</w:t>
      </w:r>
      <w:r w:rsidRPr="00BB6462">
        <w:rPr>
          <w:rFonts w:hint="eastAsia"/>
        </w:rPr>
        <w:t>)</w:t>
      </w:r>
      <w:r w:rsidRPr="00BB6462">
        <w:rPr>
          <w:rFonts w:hint="eastAsia"/>
        </w:rPr>
        <w:t>的一般惯例。</w:t>
      </w:r>
    </w:p>
    <w:p w:rsidR="00B35788" w:rsidRPr="00891401" w:rsidRDefault="00B35788" w:rsidP="00B35788">
      <w:pPr>
        <w:pStyle w:val="SingleTxt"/>
      </w:pPr>
      <w:r w:rsidRPr="00BB6462">
        <w:rPr>
          <w:rFonts w:hint="eastAsia"/>
        </w:rPr>
        <w:t>73</w:t>
      </w:r>
      <w:r w:rsidRPr="00BB6462">
        <w:t xml:space="preserve">. </w:t>
      </w:r>
      <w:r w:rsidRPr="00BB6462">
        <w:rPr>
          <w:rFonts w:hint="eastAsia"/>
        </w:rPr>
        <w:t xml:space="preserve"> </w:t>
      </w:r>
      <w:r w:rsidRPr="00BB6462">
        <w:rPr>
          <w:rFonts w:hint="eastAsia"/>
        </w:rPr>
        <w:t>报告还提到了一贯反对者规则，即一国若坚持反对正在出现的新习惯法规则，并在该规则定型后继续反对，则不受其约束。特别报告员强调，判例、委员会之前的工作以及文献中都确立了该规则，特别报告员强调，探讨该规则至关重要，除其他外，有利于澄清其严格要求。</w:t>
      </w:r>
    </w:p>
    <w:p w:rsidR="00B35788" w:rsidRPr="00891401"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891401"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BB6462"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BB6462">
        <w:rPr>
          <w:rFonts w:hint="eastAsia"/>
          <w:lang w:val="en-GB"/>
        </w:rPr>
        <w:tab/>
        <w:t>2</w:t>
      </w:r>
      <w:r w:rsidRPr="00BB6462">
        <w:rPr>
          <w:lang w:val="en-GB"/>
        </w:rPr>
        <w:t>.</w:t>
      </w:r>
      <w:r w:rsidRPr="00BB6462">
        <w:rPr>
          <w:rFonts w:hint="eastAsia"/>
          <w:lang w:val="en-GB"/>
        </w:rPr>
        <w:tab/>
        <w:t>辩论摘要</w:t>
      </w:r>
    </w:p>
    <w:p w:rsidR="00B35788" w:rsidRPr="00DA27B4" w:rsidRDefault="00B35788" w:rsidP="00B35788">
      <w:pPr>
        <w:pStyle w:val="Sponsors"/>
        <w:spacing w:line="120" w:lineRule="exact"/>
        <w:rPr>
          <w:b/>
          <w:sz w:val="10"/>
          <w:lang w:val="en-GB"/>
        </w:rPr>
      </w:pPr>
    </w:p>
    <w:p w:rsidR="00B35788" w:rsidRPr="00DA27B4" w:rsidRDefault="00B35788" w:rsidP="00B35788">
      <w:pPr>
        <w:pStyle w:val="Sponsors"/>
        <w:spacing w:line="120" w:lineRule="exact"/>
        <w:rPr>
          <w:b/>
          <w:sz w:val="10"/>
          <w:lang w:val="en-GB"/>
        </w:rPr>
      </w:pPr>
    </w:p>
    <w:p w:rsidR="00B35788" w:rsidRPr="00BB6462" w:rsidRDefault="00B35788" w:rsidP="00B35788">
      <w:pPr>
        <w:pStyle w:val="Sponsors"/>
        <w:rPr>
          <w:lang w:val="en-GB"/>
        </w:rPr>
      </w:pPr>
      <w:r w:rsidRPr="00BB6462">
        <w:rPr>
          <w:b/>
          <w:lang w:val="en-GB"/>
        </w:rPr>
        <w:tab/>
      </w:r>
      <w:r w:rsidRPr="00BB6462">
        <w:rPr>
          <w:lang w:val="en-GB"/>
        </w:rPr>
        <w:t>(a)</w:t>
      </w:r>
      <w:r w:rsidRPr="00BB6462">
        <w:rPr>
          <w:rFonts w:hint="eastAsia"/>
          <w:lang w:val="en-GB"/>
        </w:rPr>
        <w:tab/>
        <w:t>一般评论</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74</w:t>
      </w:r>
      <w:r w:rsidRPr="00BB6462">
        <w:rPr>
          <w:lang w:val="en-GB"/>
        </w:rPr>
        <w:t>.</w:t>
      </w:r>
      <w:r w:rsidRPr="00BB6462">
        <w:rPr>
          <w:rFonts w:hint="eastAsia"/>
          <w:lang w:val="en-GB"/>
        </w:rPr>
        <w:t xml:space="preserve">  </w:t>
      </w:r>
      <w:r w:rsidRPr="00BB6462">
        <w:rPr>
          <w:rFonts w:hint="eastAsia"/>
          <w:lang w:val="en-GB"/>
        </w:rPr>
        <w:t>委员会委员重申对特别报告员采用的两要素方法的支持。普遍同意该专题的结果应当是一套附带评注的简单、实用的结论，以便帮助从业者识别习惯国际法规则。委员们提醒要避免过于简化，指出进一步的说明将对条款草案有利。</w:t>
      </w:r>
    </w:p>
    <w:p w:rsidR="00B35788" w:rsidRPr="00BB6462" w:rsidRDefault="00B35788" w:rsidP="00B35788">
      <w:pPr>
        <w:pStyle w:val="SingleTxt"/>
        <w:rPr>
          <w:lang w:val="en-GB"/>
        </w:rPr>
      </w:pPr>
      <w:r w:rsidRPr="00BB6462">
        <w:rPr>
          <w:rFonts w:hint="eastAsia"/>
          <w:lang w:val="en-GB"/>
        </w:rPr>
        <w:t>75</w:t>
      </w:r>
      <w:r w:rsidRPr="00BB6462">
        <w:rPr>
          <w:lang w:val="en-GB"/>
        </w:rPr>
        <w:t>.</w:t>
      </w:r>
      <w:r w:rsidRPr="00BB6462">
        <w:rPr>
          <w:rFonts w:hint="eastAsia"/>
          <w:lang w:val="en-GB"/>
        </w:rPr>
        <w:t xml:space="preserve">  </w:t>
      </w:r>
      <w:r w:rsidRPr="00BB6462">
        <w:rPr>
          <w:rFonts w:hint="eastAsia"/>
          <w:lang w:val="en-GB"/>
        </w:rPr>
        <w:t>委员们就专题的范围交换了意见。委员会的一些委员指出，该专题应当更加深入地探讨习惯国际法规则的形成。根据这一意见，专题名称的改变目的不是影响专题的侧重点。另一些委员则认为，结论草案应当仅限于这类规则的识别问题，不应涉及规则的形成问题。在这方面，有人指出该专题涉及特定时点的习惯规则的识别，不影响该规则以后的演变。另一种意见是，虽然这一专题侧重于识别，但这不排除对与识别相关的形成问题进行审议。</w:t>
      </w:r>
    </w:p>
    <w:p w:rsidR="00B35788" w:rsidRPr="00891401" w:rsidRDefault="00B35788" w:rsidP="00B35788">
      <w:pPr>
        <w:pStyle w:val="Sponsors"/>
        <w:spacing w:line="120" w:lineRule="exact"/>
        <w:rPr>
          <w:sz w:val="10"/>
          <w:lang w:val="en-GB"/>
        </w:rPr>
      </w:pPr>
    </w:p>
    <w:p w:rsidR="00B35788" w:rsidRPr="00DA27B4"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tab/>
        <w:t>(b)</w:t>
      </w:r>
      <w:r w:rsidRPr="00BB6462">
        <w:rPr>
          <w:rFonts w:hint="eastAsia"/>
          <w:lang w:val="en-GB"/>
        </w:rPr>
        <w:tab/>
        <w:t>两组成要素之间的关系</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76</w:t>
      </w:r>
      <w:r w:rsidRPr="00BB6462">
        <w:rPr>
          <w:lang w:val="en-GB"/>
        </w:rPr>
        <w:t>.</w:t>
      </w:r>
      <w:r w:rsidRPr="00BB6462">
        <w:rPr>
          <w:rFonts w:hint="eastAsia"/>
          <w:lang w:val="en-GB"/>
        </w:rPr>
        <w:t xml:space="preserve">  </w:t>
      </w:r>
      <w:r w:rsidRPr="00BB6462">
        <w:rPr>
          <w:rFonts w:hint="eastAsia"/>
          <w:lang w:val="en-GB"/>
        </w:rPr>
        <w:t>委员会的部分委员同意这一结论，即虽然两要素都必须存在，但是对不同领域或不同类型的规则而言，两要素方法的适用可以有所不同。不过，他们认为，对所有不同领域必须维持一个统一标准。委员会的一些委员指出，两要素的适用不一致，进一步探讨不同领域两要素的各自权重将对该专题有利。</w:t>
      </w:r>
    </w:p>
    <w:p w:rsidR="00B35788" w:rsidRPr="00BB6462" w:rsidRDefault="00B35788" w:rsidP="00B35788">
      <w:pPr>
        <w:pStyle w:val="SingleTxt"/>
        <w:rPr>
          <w:lang w:val="en-GB"/>
        </w:rPr>
      </w:pPr>
      <w:r w:rsidRPr="00BB6462">
        <w:rPr>
          <w:rFonts w:hint="eastAsia"/>
          <w:lang w:val="en-GB"/>
        </w:rPr>
        <w:t>77</w:t>
      </w:r>
      <w:r w:rsidRPr="00BB6462">
        <w:rPr>
          <w:lang w:val="en-GB"/>
        </w:rPr>
        <w:t>.</w:t>
      </w:r>
      <w:r w:rsidRPr="00BB6462">
        <w:rPr>
          <w:rFonts w:hint="eastAsia"/>
          <w:lang w:val="en-GB"/>
        </w:rPr>
        <w:t xml:space="preserve">  </w:t>
      </w:r>
      <w:r w:rsidRPr="00BB6462">
        <w:rPr>
          <w:rFonts w:hint="eastAsia"/>
          <w:lang w:val="en-GB"/>
        </w:rPr>
        <w:t>委员们表示支持这一结论：对每一要素都必须单独予以确定，这一般需要评估每一要素的具体证据。一些委员强调，单独评估两要素并不意味着同一材料不能同时作为两个要素的证据。</w:t>
      </w:r>
    </w:p>
    <w:p w:rsidR="00B35788" w:rsidRPr="00BB6462" w:rsidRDefault="00B35788" w:rsidP="00B35788">
      <w:pPr>
        <w:pStyle w:val="SingleTxt"/>
        <w:rPr>
          <w:lang w:val="en-GB"/>
        </w:rPr>
      </w:pPr>
      <w:r w:rsidRPr="00BB6462">
        <w:rPr>
          <w:rFonts w:hint="eastAsia"/>
          <w:lang w:val="en-GB"/>
        </w:rPr>
        <w:t>78</w:t>
      </w:r>
      <w:r w:rsidRPr="00BB6462">
        <w:rPr>
          <w:lang w:val="en-GB"/>
        </w:rPr>
        <w:t xml:space="preserve">. </w:t>
      </w:r>
      <w:r w:rsidRPr="00BB6462">
        <w:rPr>
          <w:rFonts w:hint="eastAsia"/>
          <w:lang w:val="en-GB"/>
        </w:rPr>
        <w:t xml:space="preserve"> </w:t>
      </w:r>
      <w:r w:rsidRPr="00BB6462">
        <w:rPr>
          <w:rFonts w:hint="eastAsia"/>
          <w:lang w:val="en-GB"/>
        </w:rPr>
        <w:t>关于习惯规则的两要素之间的时间关系，有人认为实践应当先于</w:t>
      </w:r>
      <w:r w:rsidRPr="00BB6462">
        <w:rPr>
          <w:lang w:val="en-GB"/>
        </w:rPr>
        <w:t>法律确信</w:t>
      </w:r>
      <w:r w:rsidRPr="00BB6462">
        <w:rPr>
          <w:rFonts w:hint="eastAsia"/>
          <w:lang w:val="en-GB"/>
        </w:rPr>
        <w:t>，但另有人认为，两要素之间没有必然的顺序。</w:t>
      </w:r>
    </w:p>
    <w:p w:rsidR="00B35788" w:rsidRPr="00891401" w:rsidRDefault="00B35788" w:rsidP="00B35788">
      <w:pPr>
        <w:pStyle w:val="Sponsors"/>
        <w:spacing w:line="120" w:lineRule="exact"/>
        <w:rPr>
          <w:sz w:val="10"/>
          <w:lang w:val="en-GB"/>
        </w:rPr>
      </w:pPr>
    </w:p>
    <w:p w:rsidR="00B35788" w:rsidRPr="00DA27B4"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rFonts w:hint="eastAsia"/>
          <w:lang w:val="en-GB"/>
        </w:rPr>
        <w:tab/>
      </w:r>
      <w:r w:rsidRPr="00BB6462">
        <w:rPr>
          <w:lang w:val="en-GB"/>
        </w:rPr>
        <w:t>(c)</w:t>
      </w:r>
      <w:r w:rsidRPr="00BB6462">
        <w:rPr>
          <w:rFonts w:hint="eastAsia"/>
          <w:lang w:val="en-GB"/>
        </w:rPr>
        <w:tab/>
        <w:t>不作为被视作惯例和(或)接受为法律（法律确信）的证据</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79</w:t>
      </w:r>
      <w:r w:rsidRPr="00BB6462">
        <w:rPr>
          <w:lang w:val="en-GB"/>
        </w:rPr>
        <w:t xml:space="preserve">. </w:t>
      </w:r>
      <w:r w:rsidRPr="00BB6462">
        <w:rPr>
          <w:rFonts w:hint="eastAsia"/>
          <w:lang w:val="en-GB"/>
        </w:rPr>
        <w:t xml:space="preserve"> </w:t>
      </w:r>
      <w:r w:rsidRPr="00BB6462">
        <w:rPr>
          <w:rFonts w:hint="eastAsia"/>
          <w:lang w:val="en-GB"/>
        </w:rPr>
        <w:t>虽然第三次报告中关于不作为对识别习惯国际法规则相关性的分析普遍得到认同，但是委员会的一些委员指出，在实践中很难为此目的对不作为定性。一些委</w:t>
      </w:r>
      <w:r w:rsidRPr="00BB6462">
        <w:rPr>
          <w:rFonts w:hint="eastAsia"/>
          <w:lang w:val="en-GB"/>
        </w:rPr>
        <w:lastRenderedPageBreak/>
        <w:t>员表示，需要明确不作为具有相关性的具体情况，特别是在评估是否被接受为法律（法律确信）时。委员们建议，在结论草案的案文中指出构成不作为的具体标准。</w:t>
      </w:r>
    </w:p>
    <w:p w:rsidR="00B35788" w:rsidRPr="00BB6462" w:rsidRDefault="00B35788" w:rsidP="00B35788">
      <w:pPr>
        <w:pStyle w:val="SingleTxt"/>
        <w:rPr>
          <w:lang w:val="en-GB"/>
        </w:rPr>
      </w:pPr>
      <w:r w:rsidRPr="00BB6462">
        <w:rPr>
          <w:rFonts w:hint="eastAsia"/>
          <w:lang w:val="en-GB"/>
        </w:rPr>
        <w:t>80</w:t>
      </w:r>
      <w:r w:rsidRPr="00BB6462">
        <w:rPr>
          <w:lang w:val="en-GB"/>
        </w:rPr>
        <w:t>.</w:t>
      </w:r>
      <w:r w:rsidRPr="00BB6462">
        <w:rPr>
          <w:rFonts w:hint="eastAsia"/>
          <w:lang w:val="en-GB"/>
        </w:rPr>
        <w:t xml:space="preserve">  </w:t>
      </w:r>
      <w:r w:rsidRPr="00BB6462">
        <w:rPr>
          <w:rFonts w:hint="eastAsia"/>
          <w:lang w:val="en-GB"/>
        </w:rPr>
        <w:t>报告中列举的不作为被视作接受为法律的证据的标准在委员会内部得到了广泛支持。一些委员表示，相关情况应当要求所涉国家作出反应，国家必须实际知悉相关实践，且不作为必须维持足够长的一段时间。不过，关于在这种情况下，不作为是否等同于默认，委员们意见不一。另有人补充说，重要的是确定特定情形下的不作为是否可认为等同于法律确信。</w:t>
      </w: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tab/>
        <w:t>(d)</w:t>
      </w:r>
      <w:r w:rsidRPr="00BB6462">
        <w:rPr>
          <w:rFonts w:hint="eastAsia"/>
          <w:lang w:val="en-GB"/>
        </w:rPr>
        <w:tab/>
        <w:t>条约和决议的作用</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81</w:t>
      </w:r>
      <w:r w:rsidRPr="00BB6462">
        <w:rPr>
          <w:lang w:val="en-GB"/>
        </w:rPr>
        <w:t>.</w:t>
      </w:r>
      <w:r w:rsidRPr="00BB6462">
        <w:rPr>
          <w:rFonts w:hint="eastAsia"/>
          <w:lang w:val="en-GB"/>
        </w:rPr>
        <w:t xml:space="preserve">  </w:t>
      </w:r>
      <w:r w:rsidRPr="00BB6462">
        <w:rPr>
          <w:rFonts w:hint="eastAsia"/>
          <w:lang w:val="en-GB"/>
        </w:rPr>
        <w:t>报告中就条约作为</w:t>
      </w:r>
      <w:r w:rsidRPr="00BB6462">
        <w:rPr>
          <w:lang w:val="en-GB"/>
        </w:rPr>
        <w:t>习惯国际法</w:t>
      </w:r>
      <w:r w:rsidRPr="00BB6462">
        <w:rPr>
          <w:rFonts w:hint="eastAsia"/>
          <w:lang w:val="en-GB"/>
        </w:rPr>
        <w:t>证据的作用得出的结论得到了许多委员的支持。一些委员建议先不提条约对习惯规则的形成的作用，而只关注条约的证据价值。有人表示，就本专题而言，习惯规则的定型与通过一项条约产生新规则没有区别。此外，建议探讨《维也纳条约法公约》第三十八条。一些委员强调，并非所有条约规定在作为习惯国际法规则的证据方面都具有同样的相关性，只有“具备根本的规范制定性质”的条约规定才能产生习惯国际法规则。</w:t>
      </w:r>
    </w:p>
    <w:p w:rsidR="00B35788" w:rsidRPr="00BB6462" w:rsidRDefault="00B35788" w:rsidP="00B35788">
      <w:pPr>
        <w:pStyle w:val="SingleTxt"/>
        <w:rPr>
          <w:lang w:val="en-GB"/>
        </w:rPr>
      </w:pPr>
      <w:r w:rsidRPr="00BB6462">
        <w:rPr>
          <w:rFonts w:hint="eastAsia"/>
          <w:lang w:val="en-GB"/>
        </w:rPr>
        <w:t>82</w:t>
      </w:r>
      <w:r w:rsidRPr="00BB6462">
        <w:rPr>
          <w:lang w:val="en-GB"/>
        </w:rPr>
        <w:t>.</w:t>
      </w:r>
      <w:r w:rsidRPr="00BB6462">
        <w:rPr>
          <w:rFonts w:hint="eastAsia"/>
          <w:lang w:val="en-GB"/>
        </w:rPr>
        <w:t xml:space="preserve">  </w:t>
      </w:r>
      <w:r w:rsidRPr="00BB6462">
        <w:rPr>
          <w:rFonts w:hint="eastAsia"/>
          <w:lang w:val="en-GB"/>
        </w:rPr>
        <w:t>委员们强调，为确定条约规定作为习惯国际法规则证据的相关性制定标准至关重要。一些委员指出，“特别受到影响的国家”这一概念不可接受，另一些委员则认为，条约缔约方的地域分布可以作为实践具有普遍性的证据。</w:t>
      </w:r>
    </w:p>
    <w:p w:rsidR="00B35788" w:rsidRPr="00BB6462" w:rsidRDefault="00B35788" w:rsidP="00B35788">
      <w:pPr>
        <w:pStyle w:val="SingleTxt"/>
        <w:rPr>
          <w:lang w:val="en-GB"/>
        </w:rPr>
      </w:pPr>
      <w:r w:rsidRPr="00BB6462">
        <w:rPr>
          <w:rFonts w:hint="eastAsia"/>
          <w:lang w:val="en-GB"/>
        </w:rPr>
        <w:t xml:space="preserve">83.  </w:t>
      </w:r>
      <w:r w:rsidRPr="00BB6462">
        <w:rPr>
          <w:rFonts w:hint="eastAsia"/>
          <w:lang w:val="en-GB"/>
        </w:rPr>
        <w:t>关于国际组织或在国际会议上通过的决议的证据价值，存在许多不同意见。一些委员认为，这类决议，尤其是联合国大会的决议在某些情况下可以被视为</w:t>
      </w:r>
      <w:r w:rsidRPr="00BB6462">
        <w:rPr>
          <w:lang w:val="en-GB"/>
        </w:rPr>
        <w:t>习惯国际法</w:t>
      </w:r>
      <w:r w:rsidRPr="00BB6462">
        <w:rPr>
          <w:rFonts w:hint="eastAsia"/>
          <w:lang w:val="en-GB"/>
        </w:rPr>
        <w:t>的来源。委员会的不少委员认为，在任何情况下，都应当谨慎地评估这些决议的证据价值。强调了应考虑的一系列因素，例如组织的组成、通过决议时采用的表决和程序以及决议的宗旨等。还有人指出，国际会议上通过的决议的相关性取决于参加该会议的国家。</w:t>
      </w:r>
    </w:p>
    <w:p w:rsidR="00B35788" w:rsidRPr="00BB6462" w:rsidRDefault="00B35788" w:rsidP="00B35788">
      <w:pPr>
        <w:pStyle w:val="SingleTxt"/>
        <w:rPr>
          <w:lang w:val="en-GB"/>
        </w:rPr>
      </w:pPr>
      <w:r w:rsidRPr="00BB6462">
        <w:rPr>
          <w:rFonts w:hint="eastAsia"/>
          <w:lang w:val="en-GB"/>
        </w:rPr>
        <w:t>84</w:t>
      </w:r>
      <w:r w:rsidRPr="00BB6462">
        <w:rPr>
          <w:lang w:val="en-GB"/>
        </w:rPr>
        <w:t>.</w:t>
      </w:r>
      <w:r w:rsidRPr="00BB6462">
        <w:rPr>
          <w:rFonts w:hint="eastAsia"/>
          <w:lang w:val="en-GB"/>
        </w:rPr>
        <w:t xml:space="preserve">  </w:t>
      </w:r>
      <w:r w:rsidRPr="00BB6462">
        <w:rPr>
          <w:rFonts w:hint="eastAsia"/>
          <w:lang w:val="en-GB"/>
        </w:rPr>
        <w:t>委员会委员普遍认为，国际组织和会议的决议本身不能构成存在习惯规则的充分证据。一种意见认为，在某些情况下，决议有可能构成存在习惯国际法规则的证据。他们指出，这类决议的证据价值取决于一般惯例和</w:t>
      </w:r>
      <w:r w:rsidRPr="00BB6462">
        <w:rPr>
          <w:lang w:val="en-GB"/>
        </w:rPr>
        <w:t>法律确信</w:t>
      </w:r>
      <w:r w:rsidRPr="00BB6462">
        <w:rPr>
          <w:rFonts w:hint="eastAsia"/>
          <w:lang w:val="en-GB"/>
        </w:rPr>
        <w:t>等其他佐证证据。委员们指出，要想依赖一项决议</w:t>
      </w:r>
      <w:r w:rsidRPr="00BB6462">
        <w:rPr>
          <w:rFonts w:hint="eastAsia"/>
          <w:lang w:val="en-GB"/>
        </w:rPr>
        <w:t>(</w:t>
      </w:r>
      <w:r w:rsidRPr="00BB6462">
        <w:rPr>
          <w:rFonts w:hint="eastAsia"/>
          <w:lang w:val="en-GB"/>
        </w:rPr>
        <w:t>不过，该决议可以作为证据</w:t>
      </w:r>
      <w:r w:rsidRPr="00BB6462">
        <w:rPr>
          <w:rFonts w:hint="eastAsia"/>
          <w:lang w:val="en-GB"/>
        </w:rPr>
        <w:t>)</w:t>
      </w:r>
      <w:r w:rsidRPr="00BB6462">
        <w:rPr>
          <w:rFonts w:hint="eastAsia"/>
          <w:lang w:val="en-GB"/>
        </w:rPr>
        <w:t>，必须单独评估该决议中的规定是否得到了被接受为法律</w:t>
      </w:r>
      <w:r w:rsidRPr="00BB6462">
        <w:rPr>
          <w:rFonts w:hint="eastAsia"/>
          <w:lang w:val="en-GB"/>
        </w:rPr>
        <w:t>(</w:t>
      </w:r>
      <w:r w:rsidRPr="00BB6462">
        <w:rPr>
          <w:lang w:val="en-GB"/>
        </w:rPr>
        <w:t>法律确信</w:t>
      </w:r>
      <w:r w:rsidRPr="00BB6462">
        <w:rPr>
          <w:rFonts w:hint="eastAsia"/>
          <w:lang w:val="en-GB"/>
        </w:rPr>
        <w:t>)</w:t>
      </w:r>
      <w:r w:rsidRPr="00BB6462">
        <w:rPr>
          <w:rFonts w:hint="eastAsia"/>
          <w:lang w:val="en-GB"/>
        </w:rPr>
        <w:t>的一般惯例的支持。</w:t>
      </w: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tab/>
        <w:t>(e)</w:t>
      </w:r>
      <w:r w:rsidRPr="00BB6462">
        <w:rPr>
          <w:rFonts w:hint="eastAsia"/>
          <w:lang w:val="en-GB"/>
        </w:rPr>
        <w:tab/>
        <w:t>司法裁决和论著</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85</w:t>
      </w:r>
      <w:r w:rsidRPr="00BB6462">
        <w:rPr>
          <w:lang w:val="en-GB"/>
        </w:rPr>
        <w:t>.</w:t>
      </w:r>
      <w:r w:rsidRPr="00BB6462">
        <w:rPr>
          <w:rFonts w:hint="eastAsia"/>
          <w:lang w:val="en-GB"/>
        </w:rPr>
        <w:t xml:space="preserve">  </w:t>
      </w:r>
      <w:r w:rsidRPr="00BB6462">
        <w:rPr>
          <w:rFonts w:hint="eastAsia"/>
          <w:lang w:val="en-GB"/>
        </w:rPr>
        <w:t>委员会委员欢迎这一结论：司法裁决和论著对识别</w:t>
      </w:r>
      <w:r w:rsidRPr="00BB6462">
        <w:rPr>
          <w:lang w:val="en-GB"/>
        </w:rPr>
        <w:t>习惯国际法</w:t>
      </w:r>
      <w:r w:rsidRPr="00BB6462">
        <w:rPr>
          <w:rFonts w:hint="eastAsia"/>
          <w:lang w:val="en-GB"/>
        </w:rPr>
        <w:t>规则具有相关性。委员们就司法裁决和论著分别发挥的具体作用交换了意见。委员们指出，二者特性不同，因此应当在不同的结论中分别述及。委员们还指出，它们的重要性不能一概而论，应当逐案考虑。</w:t>
      </w:r>
    </w:p>
    <w:p w:rsidR="00B35788" w:rsidRPr="00BB6462" w:rsidRDefault="00B35788" w:rsidP="00B35788">
      <w:pPr>
        <w:pStyle w:val="SingleTxt"/>
        <w:rPr>
          <w:lang w:val="en-GB"/>
        </w:rPr>
      </w:pPr>
      <w:r w:rsidRPr="00BB6462">
        <w:rPr>
          <w:rFonts w:hint="eastAsia"/>
          <w:lang w:val="en-GB"/>
        </w:rPr>
        <w:t>86</w:t>
      </w:r>
      <w:r w:rsidRPr="00BB6462">
        <w:rPr>
          <w:lang w:val="en-GB"/>
        </w:rPr>
        <w:t xml:space="preserve">. </w:t>
      </w:r>
      <w:r w:rsidRPr="00BB6462">
        <w:rPr>
          <w:rFonts w:hint="eastAsia"/>
          <w:lang w:val="en-GB"/>
        </w:rPr>
        <w:t xml:space="preserve"> </w:t>
      </w:r>
      <w:r w:rsidRPr="00BB6462">
        <w:rPr>
          <w:rFonts w:hint="eastAsia"/>
          <w:lang w:val="en-GB"/>
        </w:rPr>
        <w:t>委员会的一些委员强调，司法</w:t>
      </w:r>
      <w:r>
        <w:rPr>
          <w:lang w:val="en-GB"/>
        </w:rPr>
        <w:t>裁决</w:t>
      </w:r>
      <w:r w:rsidRPr="00BB6462">
        <w:rPr>
          <w:rFonts w:hint="eastAsia"/>
          <w:lang w:val="en-GB"/>
        </w:rPr>
        <w:t>特别重要，不能被视为次要或辅助证据。一些委员强调了国际法院的核心重要性，另一些委员则表示，其他法院和法庭的判例不容忽视，国际法官的个别不同意见也很重要。委员们就国内法院裁决的相关性交</w:t>
      </w:r>
      <w:r w:rsidRPr="00BB6462">
        <w:rPr>
          <w:rFonts w:hint="eastAsia"/>
          <w:lang w:val="en-GB"/>
        </w:rPr>
        <w:lastRenderedPageBreak/>
        <w:t>换了意见。一些委员认为，出于识别习惯国际法规则的目的，这些裁决必须被列入“司法裁决”类别。不过，委员会的另一些委员则认为必须单独探讨这类裁决，谨慎评价它们的作用。</w:t>
      </w:r>
    </w:p>
    <w:p w:rsidR="00B35788" w:rsidRPr="00BB6462" w:rsidRDefault="00B35788" w:rsidP="00B35788">
      <w:pPr>
        <w:pStyle w:val="SingleTxt"/>
        <w:rPr>
          <w:lang w:val="en-GB"/>
        </w:rPr>
      </w:pPr>
      <w:r w:rsidRPr="00BB6462">
        <w:rPr>
          <w:rFonts w:hint="eastAsia"/>
          <w:lang w:val="en-GB"/>
        </w:rPr>
        <w:t>87</w:t>
      </w:r>
      <w:r w:rsidRPr="00BB6462">
        <w:rPr>
          <w:lang w:val="en-GB"/>
        </w:rPr>
        <w:t>.</w:t>
      </w:r>
      <w:r w:rsidRPr="00BB6462">
        <w:rPr>
          <w:rFonts w:hint="eastAsia"/>
          <w:lang w:val="en-GB"/>
        </w:rPr>
        <w:t xml:space="preserve">  </w:t>
      </w:r>
      <w:r w:rsidRPr="00BB6462">
        <w:rPr>
          <w:rFonts w:hint="eastAsia"/>
          <w:lang w:val="en-GB"/>
        </w:rPr>
        <w:t>有人指出，特别报告员提出的“论著”一词过于宽泛，应当加以限定。委员会的一些委员还称，选择相关论著时不能偏向特定区域的作者，必须具有全球性。</w:t>
      </w:r>
    </w:p>
    <w:p w:rsidR="00B35788" w:rsidRPr="00BB6462" w:rsidRDefault="00B35788" w:rsidP="00F11C7D">
      <w:pPr>
        <w:pStyle w:val="SingleTxt"/>
        <w:rPr>
          <w:lang w:val="en-GB"/>
        </w:rPr>
      </w:pPr>
      <w:r w:rsidRPr="00BB6462">
        <w:t>88.</w:t>
      </w:r>
      <w:r w:rsidR="00F11C7D">
        <w:rPr>
          <w:rFonts w:hint="eastAsia"/>
        </w:rPr>
        <w:t xml:space="preserve">  </w:t>
      </w:r>
      <w:r w:rsidRPr="00BB6462">
        <w:rPr>
          <w:rFonts w:hint="eastAsia"/>
        </w:rPr>
        <w:t>好几名委员申明，国际法委员会作为联合国大会的附属机构，担负着促进国际法逐渐发展及编纂的任务，委员会的工作不可与公法学者的“论著”或教导等同视之。</w:t>
      </w: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tab/>
        <w:t>(f)</w:t>
      </w:r>
      <w:r w:rsidRPr="00BB6462">
        <w:rPr>
          <w:rFonts w:hint="eastAsia"/>
          <w:lang w:val="en-GB"/>
        </w:rPr>
        <w:tab/>
        <w:t>国际组织和非国家行为者的相关性</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89</w:t>
      </w:r>
      <w:r w:rsidRPr="00BB6462">
        <w:rPr>
          <w:lang w:val="en-GB"/>
        </w:rPr>
        <w:t>.</w:t>
      </w:r>
      <w:r w:rsidRPr="00BB6462">
        <w:rPr>
          <w:rFonts w:hint="eastAsia"/>
          <w:lang w:val="en-GB"/>
        </w:rPr>
        <w:t xml:space="preserve">  </w:t>
      </w:r>
      <w:r w:rsidRPr="00BB6462">
        <w:rPr>
          <w:rFonts w:hint="eastAsia"/>
          <w:lang w:val="en-GB"/>
        </w:rPr>
        <w:t>关于国际组织惯例的相关性，委员会内部意见不一。具体地说，一些委员指出，这类惯例可以有助于</w:t>
      </w:r>
      <w:r w:rsidRPr="00BB6462">
        <w:rPr>
          <w:lang w:val="en-GB"/>
        </w:rPr>
        <w:t>习惯国际法</w:t>
      </w:r>
      <w:r w:rsidRPr="00BB6462">
        <w:rPr>
          <w:rFonts w:hint="eastAsia"/>
          <w:lang w:val="en-GB"/>
        </w:rPr>
        <w:t>规则的形成和表述，必须强调国际组织惯例在某些领域的重要性。另一些委员强调，国际组织的惯例只有在反映了成员国的惯例或信念，或</w:t>
      </w:r>
      <w:r w:rsidRPr="00BB6462">
        <w:rPr>
          <w:rFonts w:hint="eastAsia"/>
        </w:rPr>
        <w:t>催生国家惯例时，才具有相关性，但是国际组织的惯例本身对评价一般惯例不具有相关性。一种意见认为，所提议的结论草案案文未能处理关键问题，例如国际组织的不作为是否可算作惯例，国际组织的惯例和法律确信是否两者都需要，国际组织帮助确立的规则只是对国际组织有约束力，只是对国家有约束力，还是对两者都有约束力等。</w:t>
      </w:r>
    </w:p>
    <w:p w:rsidR="00B35788" w:rsidRPr="00BB6462" w:rsidRDefault="00B35788" w:rsidP="00B35788">
      <w:pPr>
        <w:pStyle w:val="SingleTxt"/>
        <w:rPr>
          <w:lang w:val="en-GB"/>
        </w:rPr>
      </w:pPr>
      <w:r w:rsidRPr="00BB6462">
        <w:rPr>
          <w:rFonts w:hint="eastAsia"/>
          <w:lang w:val="en-GB"/>
        </w:rPr>
        <w:t>90</w:t>
      </w:r>
      <w:r w:rsidRPr="00BB6462">
        <w:rPr>
          <w:lang w:val="en-GB"/>
        </w:rPr>
        <w:t>.</w:t>
      </w:r>
      <w:r w:rsidRPr="00BB6462">
        <w:rPr>
          <w:rFonts w:hint="eastAsia"/>
          <w:lang w:val="en-GB"/>
        </w:rPr>
        <w:t xml:space="preserve">  </w:t>
      </w:r>
      <w:r w:rsidRPr="00BB6462">
        <w:rPr>
          <w:rFonts w:hint="eastAsia"/>
          <w:lang w:val="en-GB"/>
        </w:rPr>
        <w:t>特别报告员提出的关于</w:t>
      </w:r>
      <w:r w:rsidRPr="00BB6462">
        <w:rPr>
          <w:rFonts w:hint="eastAsia"/>
        </w:rPr>
        <w:t>其他</w:t>
      </w:r>
      <w:r w:rsidRPr="00BB6462">
        <w:t>非国家行为者</w:t>
      </w:r>
      <w:r w:rsidRPr="00BB6462">
        <w:rPr>
          <w:rFonts w:hint="eastAsia"/>
        </w:rPr>
        <w:t>的行为不是习惯国际法的形成或识别方面的惯例的</w:t>
      </w:r>
      <w:r w:rsidRPr="00BB6462">
        <w:rPr>
          <w:rFonts w:hint="eastAsia"/>
          <w:lang w:val="en-GB"/>
        </w:rPr>
        <w:t>结论草案</w:t>
      </w:r>
      <w:r w:rsidRPr="00BB6462">
        <w:rPr>
          <w:rFonts w:hint="eastAsia"/>
        </w:rPr>
        <w:t>得到了好几名委员的支持。“其他</w:t>
      </w:r>
      <w:r w:rsidRPr="00BB6462">
        <w:t>非国家行为者</w:t>
      </w:r>
      <w:r w:rsidRPr="00BB6462">
        <w:rPr>
          <w:rFonts w:hint="eastAsia"/>
        </w:rPr>
        <w:t>”一词被认为不完全明确，因为国际组织是由国家组成的。一些委员认为该提议过于严格，特别是考虑到某些</w:t>
      </w:r>
      <w:r w:rsidRPr="00BB6462">
        <w:t>非国家行为者</w:t>
      </w:r>
      <w:r w:rsidRPr="00BB6462">
        <w:rPr>
          <w:rFonts w:hint="eastAsia"/>
        </w:rPr>
        <w:t>例如红十字国际委员会的惯例以及既涉及国家又涉及</w:t>
      </w:r>
      <w:r w:rsidRPr="00BB6462">
        <w:t>非国家行为者</w:t>
      </w:r>
      <w:r w:rsidRPr="00BB6462">
        <w:rPr>
          <w:rFonts w:hint="eastAsia"/>
        </w:rPr>
        <w:t>的活动都很重要。</w:t>
      </w: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tab/>
        <w:t>(g)</w:t>
      </w:r>
      <w:r w:rsidRPr="00BB6462">
        <w:rPr>
          <w:rFonts w:hint="eastAsia"/>
          <w:lang w:val="en-GB"/>
        </w:rPr>
        <w:tab/>
        <w:t>特别习惯</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91</w:t>
      </w:r>
      <w:r w:rsidRPr="00BB6462">
        <w:rPr>
          <w:lang w:val="en-GB"/>
        </w:rPr>
        <w:t>.</w:t>
      </w:r>
      <w:r w:rsidRPr="00BB6462">
        <w:rPr>
          <w:rFonts w:hint="eastAsia"/>
          <w:lang w:val="en-GB"/>
        </w:rPr>
        <w:t xml:space="preserve">  </w:t>
      </w:r>
      <w:r w:rsidRPr="00BB6462">
        <w:rPr>
          <w:rFonts w:hint="eastAsia"/>
          <w:lang w:val="en-GB"/>
        </w:rPr>
        <w:t>委员会就特别习惯问题展开了讨论。一些委员赞成特别报告员提出的结论草案，但是也有一些委员认为，该问题不在本专题范围之内。委员们还就这一特定类别的习惯国际法规则用什么术语最恰当提出了问题，它曾被称为“区域”、“地方”或“特别”习惯。此外，有人建议阐明“区域”一词的概念，并探讨区域习惯的缔约方之间的地域联系问题。</w:t>
      </w:r>
    </w:p>
    <w:p w:rsidR="00B35788" w:rsidRDefault="00B35788" w:rsidP="00B35788">
      <w:pPr>
        <w:pStyle w:val="SingleTxt"/>
      </w:pPr>
      <w:r w:rsidRPr="00BB6462">
        <w:rPr>
          <w:rFonts w:hint="eastAsia"/>
          <w:lang w:val="en-GB"/>
        </w:rPr>
        <w:t>92</w:t>
      </w:r>
      <w:r w:rsidRPr="00BB6462">
        <w:rPr>
          <w:lang w:val="en-GB"/>
        </w:rPr>
        <w:t>.</w:t>
      </w:r>
      <w:r w:rsidRPr="00BB6462">
        <w:rPr>
          <w:rFonts w:hint="eastAsia"/>
          <w:lang w:val="en-GB"/>
        </w:rPr>
        <w:t xml:space="preserve">  </w:t>
      </w:r>
      <w:r w:rsidRPr="00BB6462">
        <w:rPr>
          <w:rFonts w:hint="eastAsia"/>
          <w:lang w:val="en-GB"/>
        </w:rPr>
        <w:t>有人强调，必须特别关注默认对识别特别习惯的重要性。一些委员认为，识别特别习惯的标准比识别一般或普遍习惯的标准更严格。而另一些委员则认为，所有习惯国际法规则都应当遵照同样的条件。一种意见认为，提议的结论草案在无任何实践为基础的情况下，设想在没有地理联系、分布广泛的一群国家之间存在着特别习惯，这会就是否存在着这种习惯的问题引发混乱的不同主张，有可能使习惯国际法碎片化。</w:t>
      </w:r>
    </w:p>
    <w:p w:rsidR="00EF7649" w:rsidRPr="00BB6462" w:rsidRDefault="00EF7649" w:rsidP="00B35788">
      <w:pPr>
        <w:pStyle w:val="SingleTxt"/>
        <w:rPr>
          <w:lang w:val="en-GB"/>
        </w:rPr>
      </w:pP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lang w:val="en-GB"/>
        </w:rPr>
        <w:lastRenderedPageBreak/>
        <w:tab/>
        <w:t>(h)</w:t>
      </w:r>
      <w:r w:rsidRPr="00BB6462">
        <w:rPr>
          <w:rFonts w:hint="eastAsia"/>
          <w:lang w:val="en-GB"/>
        </w:rPr>
        <w:tab/>
        <w:t>一贯反对者</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93</w:t>
      </w:r>
      <w:r w:rsidRPr="00BB6462">
        <w:rPr>
          <w:lang w:val="en-GB"/>
        </w:rPr>
        <w:t>.</w:t>
      </w:r>
      <w:r w:rsidRPr="00BB6462">
        <w:rPr>
          <w:rFonts w:hint="eastAsia"/>
          <w:lang w:val="en-GB"/>
        </w:rPr>
        <w:t xml:space="preserve">  </w:t>
      </w:r>
      <w:r w:rsidRPr="00BB6462">
        <w:rPr>
          <w:rFonts w:hint="eastAsia"/>
          <w:lang w:val="en-GB"/>
        </w:rPr>
        <w:t>一贯反对者规则一直引起广泛争论。一些委员赞成将该规则列入结论草案，另一些委员则认为这是一个有争议的理论，没有得到足够多国家惯例和判例的支持，可能导致国际法不成体系。有委员建议在评注中列举具体案例，以证实据一些委员认为这个在文献中已被普遍接受的规则。</w:t>
      </w:r>
    </w:p>
    <w:p w:rsidR="00B35788" w:rsidRPr="00BB6462" w:rsidRDefault="00B35788" w:rsidP="00B35788">
      <w:pPr>
        <w:pStyle w:val="SingleTxt"/>
        <w:rPr>
          <w:lang w:val="en-GB"/>
        </w:rPr>
      </w:pPr>
      <w:r w:rsidRPr="00BB6462">
        <w:rPr>
          <w:rFonts w:hint="eastAsia"/>
          <w:lang w:val="en-GB"/>
        </w:rPr>
        <w:t>94</w:t>
      </w:r>
      <w:r w:rsidRPr="00BB6462">
        <w:rPr>
          <w:lang w:val="en-GB"/>
        </w:rPr>
        <w:t>.</w:t>
      </w:r>
      <w:r w:rsidRPr="00BB6462">
        <w:rPr>
          <w:rFonts w:hint="eastAsia"/>
          <w:lang w:val="en-GB"/>
        </w:rPr>
        <w:t xml:space="preserve">  </w:t>
      </w:r>
      <w:r w:rsidRPr="00BB6462">
        <w:rPr>
          <w:rFonts w:hint="eastAsia"/>
          <w:lang w:val="en-GB"/>
        </w:rPr>
        <w:t>委员会委员还广泛讨论了适用一贯反对者规则的条件和结果。一些委员表示，无论怎样，即使存在着这样的规则，但该规则不能适用于普遍义务或具有强制性的规则</w:t>
      </w:r>
      <w:r w:rsidRPr="00BB6462">
        <w:rPr>
          <w:rFonts w:hint="eastAsia"/>
          <w:lang w:val="en-GB"/>
        </w:rPr>
        <w:t>(</w:t>
      </w:r>
      <w:r w:rsidRPr="00BB6462">
        <w:rPr>
          <w:rFonts w:hint="eastAsia"/>
          <w:lang w:val="en-GB"/>
        </w:rPr>
        <w:t>强制法</w:t>
      </w:r>
      <w:r w:rsidRPr="00BB6462">
        <w:rPr>
          <w:rFonts w:hint="eastAsia"/>
          <w:lang w:val="en-GB"/>
        </w:rPr>
        <w:t>)</w:t>
      </w:r>
      <w:r w:rsidRPr="00BB6462">
        <w:rPr>
          <w:rFonts w:hint="eastAsia"/>
          <w:lang w:val="en-GB"/>
        </w:rPr>
        <w:t>。</w:t>
      </w:r>
    </w:p>
    <w:p w:rsidR="00B35788" w:rsidRPr="00DA27B4" w:rsidRDefault="00B35788" w:rsidP="00B35788">
      <w:pPr>
        <w:pStyle w:val="Sponsors"/>
        <w:spacing w:line="120" w:lineRule="exact"/>
        <w:rPr>
          <w:sz w:val="10"/>
          <w:lang w:val="en-GB"/>
        </w:rPr>
      </w:pPr>
    </w:p>
    <w:p w:rsidR="00B35788" w:rsidRPr="00891401" w:rsidRDefault="00B35788" w:rsidP="00B35788">
      <w:pPr>
        <w:pStyle w:val="Sponsors"/>
        <w:spacing w:line="120" w:lineRule="exact"/>
        <w:rPr>
          <w:sz w:val="10"/>
          <w:lang w:val="en-GB"/>
        </w:rPr>
      </w:pPr>
    </w:p>
    <w:p w:rsidR="00B35788" w:rsidRPr="00BB6462" w:rsidRDefault="00B35788" w:rsidP="00B35788">
      <w:pPr>
        <w:pStyle w:val="Sponsors"/>
        <w:rPr>
          <w:lang w:val="en-GB"/>
        </w:rPr>
      </w:pPr>
      <w:r w:rsidRPr="00BB6462">
        <w:rPr>
          <w:rFonts w:hint="eastAsia"/>
          <w:lang w:val="en-GB"/>
        </w:rPr>
        <w:tab/>
        <w:t>(i)</w:t>
      </w:r>
      <w:r w:rsidRPr="00BB6462">
        <w:rPr>
          <w:rFonts w:hint="eastAsia"/>
          <w:lang w:val="en-GB"/>
        </w:rPr>
        <w:tab/>
        <w:t>今后</w:t>
      </w:r>
      <w:r w:rsidRPr="00BB6462">
        <w:rPr>
          <w:lang w:val="en-GB"/>
        </w:rPr>
        <w:t>工作方案</w:t>
      </w:r>
    </w:p>
    <w:p w:rsidR="00B35788" w:rsidRPr="00DA27B4" w:rsidRDefault="00B35788" w:rsidP="00B35788">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95</w:t>
      </w:r>
      <w:r w:rsidRPr="00BB6462">
        <w:rPr>
          <w:lang w:val="en-GB"/>
        </w:rPr>
        <w:t>.</w:t>
      </w:r>
      <w:r w:rsidRPr="00BB6462">
        <w:rPr>
          <w:rFonts w:hint="eastAsia"/>
          <w:lang w:val="en-GB"/>
        </w:rPr>
        <w:t xml:space="preserve">  </w:t>
      </w:r>
      <w:r w:rsidRPr="00BB6462">
        <w:rPr>
          <w:rFonts w:hint="eastAsia"/>
          <w:lang w:val="en-GB"/>
        </w:rPr>
        <w:t>关于该专题的今后</w:t>
      </w:r>
      <w:r w:rsidRPr="00BB6462">
        <w:rPr>
          <w:lang w:val="en-GB"/>
        </w:rPr>
        <w:t>工作方案</w:t>
      </w:r>
      <w:r w:rsidRPr="00BB6462">
        <w:rPr>
          <w:rFonts w:hint="eastAsia"/>
          <w:lang w:val="en-GB"/>
        </w:rPr>
        <w:t>，特别报告员建议研究如何切实加强</w:t>
      </w:r>
      <w:r w:rsidRPr="00DA27B4">
        <w:rPr>
          <w:rFonts w:hint="eastAsia"/>
          <w:lang w:val="en-GB"/>
        </w:rPr>
        <w:t>有关材料的获取便利</w:t>
      </w:r>
      <w:r w:rsidRPr="00BB6462">
        <w:rPr>
          <w:rFonts w:hint="eastAsia"/>
          <w:lang w:val="en-GB"/>
        </w:rPr>
        <w:t>(</w:t>
      </w:r>
      <w:r w:rsidRPr="00BB6462">
        <w:rPr>
          <w:rFonts w:hint="eastAsia"/>
          <w:lang w:val="en-GB"/>
        </w:rPr>
        <w:t>这些材料是确定一般惯例及其已被接受为法律的依据</w:t>
      </w:r>
      <w:r w:rsidRPr="00BB6462">
        <w:rPr>
          <w:rFonts w:hint="eastAsia"/>
          <w:lang w:val="en-GB"/>
        </w:rPr>
        <w:t>)</w:t>
      </w:r>
      <w:r w:rsidRPr="00BB6462">
        <w:rPr>
          <w:rFonts w:hint="eastAsia"/>
          <w:lang w:val="en-GB"/>
        </w:rPr>
        <w:t>，该建议受到欢迎。一些委员还建议特别报告员研究习惯国际法随时间变化的问题，以及若干相关问题。</w:t>
      </w:r>
    </w:p>
    <w:p w:rsidR="00B35788" w:rsidRPr="00BB6462" w:rsidRDefault="00B35788" w:rsidP="00B35788">
      <w:pPr>
        <w:pStyle w:val="SingleTxt"/>
        <w:rPr>
          <w:lang w:val="en-GB"/>
        </w:rPr>
      </w:pPr>
      <w:r w:rsidRPr="00BB6462">
        <w:rPr>
          <w:rFonts w:hint="eastAsia"/>
          <w:lang w:val="en-GB"/>
        </w:rPr>
        <w:t>96</w:t>
      </w:r>
      <w:r w:rsidRPr="00BB6462">
        <w:rPr>
          <w:lang w:val="en-GB"/>
        </w:rPr>
        <w:t>.</w:t>
      </w:r>
      <w:r w:rsidRPr="00BB6462">
        <w:rPr>
          <w:rFonts w:hint="eastAsia"/>
          <w:lang w:val="en-GB"/>
        </w:rPr>
        <w:t xml:space="preserve">  </w:t>
      </w:r>
      <w:r w:rsidRPr="00BB6462">
        <w:rPr>
          <w:rFonts w:hint="eastAsia"/>
          <w:lang w:val="en-GB"/>
        </w:rPr>
        <w:t>委员会的一些委员表示，必须为委员会完成该专题的工作划拨充裕的时间，该专题的进展不能以牺牲质量为代价。</w:t>
      </w:r>
    </w:p>
    <w:p w:rsidR="00B35788" w:rsidRPr="00DA27B4"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DA27B4"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GB"/>
        </w:rPr>
      </w:pPr>
    </w:p>
    <w:p w:rsidR="00B35788" w:rsidRPr="00BB6462" w:rsidRDefault="00B35788" w:rsidP="00B357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BB6462">
        <w:rPr>
          <w:rFonts w:hint="eastAsia"/>
          <w:lang w:val="en-GB"/>
        </w:rPr>
        <w:tab/>
      </w:r>
      <w:r w:rsidRPr="00BB6462">
        <w:rPr>
          <w:lang w:val="en-GB"/>
        </w:rPr>
        <w:t>3.</w:t>
      </w:r>
      <w:r w:rsidRPr="00BB6462">
        <w:rPr>
          <w:rFonts w:hint="eastAsia"/>
          <w:lang w:val="en-GB"/>
        </w:rPr>
        <w:tab/>
        <w:t>特别报告员的总结</w:t>
      </w:r>
    </w:p>
    <w:p w:rsidR="00B35788" w:rsidRPr="00DA27B4" w:rsidRDefault="00B35788" w:rsidP="00B35788">
      <w:pPr>
        <w:pStyle w:val="SingleTxt"/>
        <w:spacing w:after="0" w:line="120" w:lineRule="exact"/>
        <w:rPr>
          <w:sz w:val="10"/>
          <w:lang w:val="en-GB"/>
        </w:rPr>
      </w:pPr>
    </w:p>
    <w:p w:rsidR="00496316" w:rsidRPr="00496316" w:rsidRDefault="00496316" w:rsidP="00496316">
      <w:pPr>
        <w:pStyle w:val="SingleTxt"/>
        <w:spacing w:after="0" w:line="120" w:lineRule="exact"/>
        <w:rPr>
          <w:sz w:val="10"/>
          <w:lang w:val="en-GB"/>
        </w:rPr>
      </w:pPr>
    </w:p>
    <w:p w:rsidR="00B35788" w:rsidRPr="00BB6462" w:rsidRDefault="00B35788" w:rsidP="00B35788">
      <w:pPr>
        <w:pStyle w:val="SingleTxt"/>
        <w:rPr>
          <w:lang w:val="en-GB"/>
        </w:rPr>
      </w:pPr>
      <w:r w:rsidRPr="00BB6462">
        <w:rPr>
          <w:rFonts w:hint="eastAsia"/>
          <w:lang w:val="en-GB"/>
        </w:rPr>
        <w:t>97</w:t>
      </w:r>
      <w:r w:rsidRPr="00BB6462">
        <w:rPr>
          <w:lang w:val="en-GB"/>
        </w:rPr>
        <w:t xml:space="preserve">. </w:t>
      </w:r>
      <w:r w:rsidRPr="00BB6462">
        <w:rPr>
          <w:rFonts w:hint="eastAsia"/>
          <w:lang w:val="en-GB"/>
        </w:rPr>
        <w:t xml:space="preserve"> </w:t>
      </w:r>
      <w:r w:rsidRPr="00BB6462">
        <w:rPr>
          <w:rFonts w:hint="eastAsia"/>
          <w:lang w:val="en-GB"/>
        </w:rPr>
        <w:t>特别报告员强调，该专题的目的是帮助确定是否存在一项习惯国际法规则以及该规则的内容。就特定时点存在的法律提供咨询的法官、仲裁员和律师，而不是就法律可能如何发展或被发展提供咨询的上述人员，负责这项工作。不过，关于习惯规则如何出现和演变的理解构成了专题背景的一部分，将在评注中述及。</w:t>
      </w:r>
    </w:p>
    <w:p w:rsidR="00B35788" w:rsidRPr="00BB6462" w:rsidRDefault="00B35788" w:rsidP="00B35788">
      <w:pPr>
        <w:pStyle w:val="SingleTxt"/>
      </w:pPr>
      <w:r w:rsidRPr="00BB6462">
        <w:rPr>
          <w:rFonts w:hint="eastAsia"/>
          <w:lang w:val="en-GB"/>
        </w:rPr>
        <w:t>98</w:t>
      </w:r>
      <w:r w:rsidRPr="00BB6462">
        <w:rPr>
          <w:lang w:val="en-GB"/>
        </w:rPr>
        <w:t>.</w:t>
      </w:r>
      <w:r w:rsidRPr="00BB6462">
        <w:rPr>
          <w:rFonts w:hint="eastAsia"/>
          <w:lang w:val="en-GB"/>
        </w:rPr>
        <w:t xml:space="preserve">  </w:t>
      </w:r>
      <w:r w:rsidRPr="00BB6462">
        <w:rPr>
          <w:rFonts w:hint="eastAsia"/>
        </w:rPr>
        <w:t>关于涉及两要素间相互关系的各种问题，特别报告员认为关系的时间方面对习惯规则的形成比对识别更相关，不过这是一个需要在评注中涵盖的重要方面。关于两要素方法在不同领域的适用问题，他强调需要考虑证据出现的背景，这需要认真评估每个案件的事实基础及其重要性。最后，关于分别评价两要素的问题，特别报告员注意到委员会内部的普遍共识：在识别习惯国际法规则时，对每一要素都必须单独予以确定。有时被称为“重复计算”的问题发现更有争议。关于这一点，特别报告员作了澄清，说在有些情况下，同样的证据可以用于确定两个要素。重要的是，两要素都必须存在，那些称一个要素广泛存在可以弥补另一个要素缺失的理论不可信。</w:t>
      </w:r>
    </w:p>
    <w:p w:rsidR="00B35788" w:rsidRPr="00BB6462" w:rsidRDefault="00B35788" w:rsidP="00B35788">
      <w:pPr>
        <w:pStyle w:val="SingleTxt"/>
        <w:rPr>
          <w:lang w:val="en-GB"/>
        </w:rPr>
      </w:pPr>
      <w:r w:rsidRPr="00BB6462">
        <w:rPr>
          <w:rFonts w:hint="eastAsia"/>
          <w:lang w:val="en-GB"/>
        </w:rPr>
        <w:t>99</w:t>
      </w:r>
      <w:r w:rsidRPr="00BB6462">
        <w:rPr>
          <w:lang w:val="en-GB"/>
        </w:rPr>
        <w:t>.</w:t>
      </w:r>
      <w:r w:rsidRPr="00BB6462">
        <w:rPr>
          <w:rFonts w:hint="eastAsia"/>
          <w:lang w:val="en-GB"/>
        </w:rPr>
        <w:t xml:space="preserve">  </w:t>
      </w:r>
      <w:r w:rsidRPr="00BB6462">
        <w:rPr>
          <w:rFonts w:hint="eastAsia"/>
          <w:lang w:val="en-GB"/>
        </w:rPr>
        <w:t>特别报告员认为，国际组织本身的实践对于识别习惯国际法规则具有相关性这一结论没有争议，因为显然国际组织在它们之间关系方面的实践至少可以产生这类关系中具有约束力的习惯规则。这一结论对于代表其成员国行使职能的国际组织，例如欧洲联盟也很重要。委员会之前工作中确认的这一结论似乎为各国普遍接受。特别报告员强调，国际组织的作用虽然重要，但是不能与国家相比。关于</w:t>
      </w:r>
      <w:r w:rsidRPr="00BB6462">
        <w:rPr>
          <w:lang w:val="en-GB"/>
        </w:rPr>
        <w:t>非国家行为者</w:t>
      </w:r>
      <w:r w:rsidRPr="00BB6462">
        <w:rPr>
          <w:rFonts w:hint="eastAsia"/>
          <w:lang w:val="en-GB"/>
        </w:rPr>
        <w:t>的作用，特别报告员表示，这类实体可能对习惯国际法规则的形成和识别有用，但它们通过促使或记录国家实践和国际组织的实践，而不是通过自身的行为发挥作用。</w:t>
      </w:r>
    </w:p>
    <w:p w:rsidR="00B35788" w:rsidRPr="00BB6462" w:rsidRDefault="00B35788" w:rsidP="00B35788">
      <w:pPr>
        <w:pStyle w:val="SingleTxt"/>
        <w:rPr>
          <w:lang w:val="en-GB"/>
        </w:rPr>
      </w:pPr>
      <w:r w:rsidRPr="00BB6462">
        <w:rPr>
          <w:rFonts w:hint="eastAsia"/>
          <w:lang w:val="en-GB"/>
        </w:rPr>
        <w:lastRenderedPageBreak/>
        <w:t>100</w:t>
      </w:r>
      <w:r w:rsidRPr="00BB6462">
        <w:rPr>
          <w:lang w:val="en-GB"/>
        </w:rPr>
        <w:t xml:space="preserve">. </w:t>
      </w:r>
      <w:r w:rsidRPr="00BB6462">
        <w:rPr>
          <w:rFonts w:hint="eastAsia"/>
          <w:lang w:val="en-GB"/>
        </w:rPr>
        <w:t xml:space="preserve"> </w:t>
      </w:r>
      <w:r w:rsidRPr="00BB6462">
        <w:rPr>
          <w:rFonts w:hint="eastAsia"/>
          <w:lang w:val="en-GB"/>
        </w:rPr>
        <w:t>关于不作为的作用，特别报告员指出，结论草案的相应段落需要反映报告所列条件的本质这一说法值得认真考虑。</w:t>
      </w:r>
    </w:p>
    <w:p w:rsidR="00B35788" w:rsidRPr="00BB6462" w:rsidRDefault="00B35788" w:rsidP="00B35788">
      <w:pPr>
        <w:pStyle w:val="SingleTxt"/>
        <w:rPr>
          <w:lang w:val="en-GB"/>
        </w:rPr>
      </w:pPr>
      <w:r w:rsidRPr="00BB6462">
        <w:rPr>
          <w:rFonts w:hint="eastAsia"/>
          <w:lang w:val="en-GB"/>
        </w:rPr>
        <w:t>101</w:t>
      </w:r>
      <w:r w:rsidRPr="00BB6462">
        <w:rPr>
          <w:lang w:val="en-GB"/>
        </w:rPr>
        <w:t>.</w:t>
      </w:r>
      <w:r w:rsidRPr="00BB6462">
        <w:rPr>
          <w:rFonts w:hint="eastAsia"/>
          <w:lang w:val="en-GB"/>
        </w:rPr>
        <w:t xml:space="preserve">  </w:t>
      </w:r>
      <w:r w:rsidRPr="00BB6462">
        <w:rPr>
          <w:rFonts w:hint="eastAsia"/>
          <w:lang w:val="en-GB"/>
        </w:rPr>
        <w:t>关于条约对识别习惯国际法规则的作用，特别报告员在承认多边条约重要性的同时，认为不能将双边条约排除在结论草案之外，即便应当特别谨慎地看待其影响。特别报告员还表示，《维也纳条约法公约》第三十八条对本专题的重要性将在评注中述及，其中将提到“</w:t>
      </w:r>
      <w:r w:rsidRPr="00BB6462">
        <w:rPr>
          <w:rFonts w:hint="eastAsia"/>
        </w:rPr>
        <w:t>具备根本的规范制订性质</w:t>
      </w:r>
      <w:r w:rsidRPr="00BB6462">
        <w:rPr>
          <w:rFonts w:hint="eastAsia"/>
          <w:lang w:val="en-GB"/>
        </w:rPr>
        <w:t>”的概念。</w:t>
      </w:r>
    </w:p>
    <w:p w:rsidR="00B35788" w:rsidRPr="00BB6462" w:rsidRDefault="00B35788" w:rsidP="00B35788">
      <w:pPr>
        <w:pStyle w:val="SingleTxt"/>
        <w:rPr>
          <w:lang w:val="en-GB"/>
        </w:rPr>
      </w:pPr>
      <w:r w:rsidRPr="00BB6462">
        <w:rPr>
          <w:rFonts w:hint="eastAsia"/>
          <w:lang w:val="en-GB"/>
        </w:rPr>
        <w:t>102</w:t>
      </w:r>
      <w:r w:rsidRPr="00BB6462">
        <w:rPr>
          <w:lang w:val="en-GB"/>
        </w:rPr>
        <w:t xml:space="preserve">. </w:t>
      </w:r>
      <w:r w:rsidRPr="00BB6462">
        <w:rPr>
          <w:rFonts w:hint="eastAsia"/>
          <w:lang w:val="en-GB"/>
        </w:rPr>
        <w:t xml:space="preserve"> </w:t>
      </w:r>
      <w:r w:rsidRPr="00BB6462">
        <w:rPr>
          <w:rFonts w:hint="eastAsia"/>
          <w:lang w:val="en-GB"/>
        </w:rPr>
        <w:t>特别报告员注意到，关于国际组织和会议的决议的结论草案没有在委员会内部引起特别争议。他承认，即使需要谨慎地提及这类决议，还是可以更加积极地表述它们的作用。</w:t>
      </w:r>
    </w:p>
    <w:p w:rsidR="00B35788" w:rsidRPr="00BB6462" w:rsidRDefault="00B35788" w:rsidP="00B35788">
      <w:pPr>
        <w:pStyle w:val="SingleTxt"/>
        <w:rPr>
          <w:lang w:val="en-GB"/>
        </w:rPr>
      </w:pPr>
      <w:r w:rsidRPr="00BB6462">
        <w:rPr>
          <w:rFonts w:hint="eastAsia"/>
          <w:lang w:val="en-GB"/>
        </w:rPr>
        <w:t>103</w:t>
      </w:r>
      <w:r w:rsidRPr="00BB6462">
        <w:rPr>
          <w:lang w:val="en-GB"/>
        </w:rPr>
        <w:t>.</w:t>
      </w:r>
      <w:r w:rsidRPr="00BB6462">
        <w:rPr>
          <w:rFonts w:hint="eastAsia"/>
          <w:lang w:val="en-GB"/>
        </w:rPr>
        <w:t xml:space="preserve">  </w:t>
      </w:r>
      <w:r w:rsidRPr="00BB6462">
        <w:rPr>
          <w:rFonts w:hint="eastAsia"/>
          <w:lang w:val="en-GB"/>
        </w:rPr>
        <w:t>特别报告员指出，需要进一步研拟关于司法裁决和论著的拟议结论草案，且应当在不同的结论草案中分别述及二者。特别报告员同意这一观点，即事实上，司法裁决在决定是否存在某个习惯规则的单一进程中发挥作用。他还指出，个别不同意见</w:t>
      </w:r>
      <w:r w:rsidRPr="00BB6462">
        <w:rPr>
          <w:rFonts w:hint="eastAsia"/>
          <w:spacing w:val="-50"/>
          <w:lang w:val="en-GB"/>
        </w:rPr>
        <w:t>―</w:t>
      </w:r>
      <w:r w:rsidRPr="00BB6462">
        <w:rPr>
          <w:rFonts w:hint="eastAsia"/>
          <w:lang w:val="en-GB"/>
        </w:rPr>
        <w:t>―虽然在他看来，并非第三十八条第一款</w:t>
      </w:r>
      <w:r w:rsidRPr="00BB6462">
        <w:rPr>
          <w:rFonts w:hint="eastAsia"/>
          <w:lang w:val="en-GB"/>
        </w:rPr>
        <w:t>(d)</w:t>
      </w:r>
      <w:r w:rsidRPr="00BB6462">
        <w:rPr>
          <w:rFonts w:hint="eastAsia"/>
          <w:lang w:val="en-GB"/>
        </w:rPr>
        <w:t>项意义下的司法裁决</w:t>
      </w:r>
      <w:r w:rsidRPr="00BB6462">
        <w:rPr>
          <w:rFonts w:hint="eastAsia"/>
          <w:spacing w:val="-50"/>
          <w:lang w:val="en-GB"/>
        </w:rPr>
        <w:t>―</w:t>
      </w:r>
      <w:r w:rsidRPr="00BB6462">
        <w:rPr>
          <w:rFonts w:hint="eastAsia"/>
          <w:lang w:val="en-GB"/>
        </w:rPr>
        <w:t>―对本专题也并非不重要。特别报告员表示，他所说的“论著”是指“法学家的论著”。他还指出，需要在评注中反映考虑代表世界不同法律体系的法学家的论著有何益处。</w:t>
      </w:r>
    </w:p>
    <w:p w:rsidR="00B35788" w:rsidRPr="00BB6462" w:rsidRDefault="00B35788" w:rsidP="00B35788">
      <w:pPr>
        <w:pStyle w:val="SingleTxt"/>
        <w:rPr>
          <w:lang w:val="en-GB"/>
        </w:rPr>
      </w:pPr>
      <w:r w:rsidRPr="00BB6462">
        <w:t xml:space="preserve">104. </w:t>
      </w:r>
      <w:r w:rsidRPr="00BB6462">
        <w:rPr>
          <w:rFonts w:ascii="宋体" w:hAnsi="宋体" w:cs="宋体" w:hint="eastAsia"/>
        </w:rPr>
        <w:t>特别报告员注意到，许多同事提出，应就国际委员会的工作单拟一条结论。对于单拟一条结论，他不相信有此必要，而是更倾向于在评注里解释委员会的作用。尽管如此，他仍然希望起草委员会考虑此事。</w:t>
      </w:r>
    </w:p>
    <w:p w:rsidR="00B35788" w:rsidRPr="00BB6462" w:rsidRDefault="00B35788" w:rsidP="00B35788">
      <w:pPr>
        <w:pStyle w:val="SingleTxt"/>
        <w:rPr>
          <w:lang w:val="en-GB"/>
        </w:rPr>
      </w:pPr>
      <w:r w:rsidRPr="00BB6462">
        <w:rPr>
          <w:rFonts w:hint="eastAsia"/>
          <w:lang w:val="en-GB"/>
        </w:rPr>
        <w:t>105</w:t>
      </w:r>
      <w:r w:rsidRPr="00BB6462">
        <w:rPr>
          <w:lang w:val="en-GB"/>
        </w:rPr>
        <w:t xml:space="preserve">. </w:t>
      </w:r>
      <w:r w:rsidRPr="00BB6462">
        <w:rPr>
          <w:rFonts w:hint="eastAsia"/>
          <w:lang w:val="en-GB"/>
        </w:rPr>
        <w:t xml:space="preserve"> </w:t>
      </w:r>
      <w:r w:rsidRPr="00BB6462">
        <w:rPr>
          <w:rFonts w:hint="eastAsia"/>
          <w:lang w:val="en-GB"/>
        </w:rPr>
        <w:t>关于特别习惯，特别报告员确认所有其他结论草案都适用于特别习惯，包括关于条约的结论草案，结论草案</w:t>
      </w:r>
      <w:r w:rsidRPr="00BB6462">
        <w:rPr>
          <w:rFonts w:hint="eastAsia"/>
          <w:lang w:val="en-GB"/>
        </w:rPr>
        <w:t>15</w:t>
      </w:r>
      <w:r w:rsidRPr="00BB6462">
        <w:rPr>
          <w:rFonts w:hint="eastAsia"/>
          <w:lang w:val="en-GB"/>
        </w:rPr>
        <w:t>另有规定的除外。他补充道，即使理论上不要求受这类规则约束的国家之间有地域联系，但是实践中通常有这样的要求。</w:t>
      </w:r>
    </w:p>
    <w:p w:rsidR="00B35788" w:rsidRPr="00BB6462" w:rsidRDefault="00B35788" w:rsidP="00B35788">
      <w:pPr>
        <w:pStyle w:val="SingleTxt"/>
        <w:rPr>
          <w:lang w:val="en-GB"/>
        </w:rPr>
      </w:pPr>
      <w:r w:rsidRPr="00BB6462">
        <w:rPr>
          <w:rFonts w:hint="eastAsia"/>
          <w:lang w:val="en-GB"/>
        </w:rPr>
        <w:t>106</w:t>
      </w:r>
      <w:r w:rsidRPr="00BB6462">
        <w:rPr>
          <w:lang w:val="en-GB"/>
        </w:rPr>
        <w:t xml:space="preserve">. </w:t>
      </w:r>
      <w:r w:rsidRPr="00BB6462">
        <w:rPr>
          <w:rFonts w:hint="eastAsia"/>
          <w:lang w:val="en-GB"/>
        </w:rPr>
        <w:t xml:space="preserve"> </w:t>
      </w:r>
      <w:r w:rsidRPr="00BB6462">
        <w:rPr>
          <w:rFonts w:hint="eastAsia"/>
          <w:lang w:val="en-GB"/>
        </w:rPr>
        <w:t>特别报告员注意到，关于一贯反对者的结论草案</w:t>
      </w:r>
      <w:r w:rsidRPr="00BB6462">
        <w:rPr>
          <w:rFonts w:hint="eastAsia"/>
          <w:lang w:val="en-GB"/>
        </w:rPr>
        <w:t>16</w:t>
      </w:r>
      <w:r w:rsidRPr="00BB6462">
        <w:rPr>
          <w:rFonts w:hint="eastAsia"/>
          <w:lang w:val="en-GB"/>
        </w:rPr>
        <w:t>得到普遍支持，承认通过在评注中提到实际案例而阐述了该结论草案。他指出，可以向需要识别习惯国际法的法官提出一贯反对者规则，事实上也经常这样做，因此，应当向从业者提供这方面的指导方针，特别是说明一国成为一贯反对者需要满足的条件。</w:t>
      </w:r>
    </w:p>
    <w:p w:rsidR="003B6807" w:rsidRDefault="00B35788" w:rsidP="00B35788">
      <w:pPr>
        <w:pStyle w:val="SingleTxt"/>
      </w:pPr>
      <w:r w:rsidRPr="00BB6462">
        <w:rPr>
          <w:rFonts w:hint="eastAsia"/>
          <w:lang w:val="en-GB"/>
        </w:rPr>
        <w:t>107</w:t>
      </w:r>
      <w:r w:rsidRPr="00BB6462">
        <w:rPr>
          <w:lang w:val="en-GB"/>
        </w:rPr>
        <w:t>.</w:t>
      </w:r>
      <w:r w:rsidRPr="00BB6462">
        <w:rPr>
          <w:rFonts w:hint="eastAsia"/>
          <w:lang w:val="en-GB"/>
        </w:rPr>
        <w:t xml:space="preserve">  </w:t>
      </w:r>
      <w:r w:rsidRPr="00BB6462">
        <w:rPr>
          <w:rFonts w:hint="eastAsia"/>
        </w:rPr>
        <w:t>关于该专题今后的</w:t>
      </w:r>
      <w:r w:rsidRPr="00BB6462">
        <w:t>工作方案</w:t>
      </w:r>
      <w:r w:rsidRPr="00BB6462">
        <w:rPr>
          <w:rFonts w:hint="eastAsia"/>
        </w:rPr>
        <w:t>，特别报告员表示，鉴于辩论中提到的所有内容，现实的目标是在第六十八届会议</w:t>
      </w:r>
      <w:r w:rsidRPr="00BB6462">
        <w:rPr>
          <w:rFonts w:hint="eastAsia"/>
        </w:rPr>
        <w:t>(2016</w:t>
      </w:r>
      <w:r w:rsidRPr="00BB6462">
        <w:rPr>
          <w:rFonts w:hint="eastAsia"/>
        </w:rPr>
        <w:t>年</w:t>
      </w:r>
      <w:r w:rsidRPr="00BB6462">
        <w:rPr>
          <w:rFonts w:hint="eastAsia"/>
        </w:rPr>
        <w:t>)</w:t>
      </w:r>
      <w:r w:rsidRPr="00BB6462">
        <w:rPr>
          <w:rFonts w:hint="eastAsia"/>
        </w:rPr>
        <w:t>结束前完成对结论草案及评注的一读。问题是如何分配本届会议和下届会议的工作。鉴于评注的重要性，似乎应当分为两个阶段。首先，如果起草委员会能够完成本届会议的工作，暂时通过一套完整的结论草案</w:t>
      </w:r>
      <w:r w:rsidRPr="00BB6462">
        <w:rPr>
          <w:rFonts w:hint="eastAsia"/>
        </w:rPr>
        <w:t>(</w:t>
      </w:r>
      <w:r w:rsidRPr="00BB6462">
        <w:rPr>
          <w:rFonts w:hint="eastAsia"/>
        </w:rPr>
        <w:t>可加上关于第四次报告的辩论中可能出现的任何补充条款和建议</w:t>
      </w:r>
      <w:r w:rsidRPr="00BB6462">
        <w:rPr>
          <w:rFonts w:hint="eastAsia"/>
        </w:rPr>
        <w:t>)</w:t>
      </w:r>
      <w:r w:rsidRPr="00BB6462">
        <w:rPr>
          <w:rFonts w:hint="eastAsia"/>
        </w:rPr>
        <w:t>，特别报告员就可以在</w:t>
      </w:r>
      <w:r w:rsidRPr="00BB6462">
        <w:rPr>
          <w:rFonts w:hint="eastAsia"/>
        </w:rPr>
        <w:t>2016</w:t>
      </w:r>
      <w:r w:rsidRPr="00BB6462">
        <w:rPr>
          <w:rFonts w:hint="eastAsia"/>
        </w:rPr>
        <w:t>年届会开始前编写关于所有结论的评注草案。委员届时将有充足的时间认真审议评注草案，顺利的话，委员会可在</w:t>
      </w:r>
      <w:r w:rsidRPr="00BB6462">
        <w:rPr>
          <w:rFonts w:hint="eastAsia"/>
        </w:rPr>
        <w:t>2016</w:t>
      </w:r>
      <w:r w:rsidRPr="00BB6462">
        <w:rPr>
          <w:rFonts w:hint="eastAsia"/>
        </w:rPr>
        <w:t>年届会结束前通过一套完整的一读结论草案及评注。</w:t>
      </w:r>
    </w:p>
    <w:p w:rsidR="00985C61" w:rsidRDefault="00985C61">
      <w:pPr>
        <w:spacing w:line="240" w:lineRule="auto"/>
        <w:jc w:val="left"/>
        <w:rPr>
          <w:szCs w:val="21"/>
        </w:rPr>
      </w:pPr>
      <w:r>
        <w:rPr>
          <w:szCs w:val="21"/>
        </w:rPr>
        <w:br w:type="page"/>
      </w:r>
    </w:p>
    <w:p w:rsidR="00890C69" w:rsidRDefault="00890C69">
      <w:pPr>
        <w:spacing w:line="240" w:lineRule="auto"/>
        <w:jc w:val="left"/>
        <w:rPr>
          <w:szCs w:val="21"/>
        </w:rPr>
      </w:pPr>
    </w:p>
    <w:p w:rsidR="007C3A88" w:rsidRPr="00CC052C" w:rsidRDefault="007C3A88" w:rsidP="007C3A8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rPr>
          <w:rFonts w:hint="eastAsia"/>
        </w:rPr>
        <w:tab/>
        <w:t>第七章</w:t>
      </w:r>
      <w:r w:rsidRPr="00CC052C">
        <w:br/>
      </w:r>
      <w:r w:rsidRPr="00CC052C">
        <w:rPr>
          <w:rFonts w:hint="eastAsia"/>
        </w:rPr>
        <w:t>危害人类罪</w:t>
      </w:r>
    </w:p>
    <w:p w:rsidR="007C3A88" w:rsidRPr="00EF7649" w:rsidRDefault="007C3A88" w:rsidP="00EF7649">
      <w:pPr>
        <w:pStyle w:val="SingleTxt"/>
        <w:spacing w:after="0" w:line="120" w:lineRule="exact"/>
        <w:rPr>
          <w:sz w:val="10"/>
        </w:rPr>
      </w:pPr>
    </w:p>
    <w:p w:rsidR="00EF7649" w:rsidRPr="00CC052C" w:rsidRDefault="00EF7649" w:rsidP="007C3A88">
      <w:pPr>
        <w:pStyle w:val="SingleTxt"/>
        <w:spacing w:after="0" w:line="120" w:lineRule="exact"/>
        <w:rPr>
          <w:sz w:val="10"/>
        </w:rPr>
      </w:pPr>
    </w:p>
    <w:p w:rsidR="007C3A88" w:rsidRPr="00CC052C" w:rsidRDefault="007C3A88" w:rsidP="007C3A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t>A.</w:t>
      </w:r>
      <w:r w:rsidRPr="00CC052C">
        <w:tab/>
        <w:t>导言</w:t>
      </w:r>
    </w:p>
    <w:p w:rsidR="007C3A88" w:rsidRPr="00EF7649" w:rsidRDefault="007C3A88" w:rsidP="00EF7649">
      <w:pPr>
        <w:pStyle w:val="SingleTxt"/>
        <w:spacing w:after="0" w:line="120" w:lineRule="exact"/>
        <w:rPr>
          <w:sz w:val="10"/>
        </w:rPr>
      </w:pPr>
    </w:p>
    <w:p w:rsidR="00EF7649" w:rsidRPr="00CC052C" w:rsidRDefault="00EF7649" w:rsidP="007C3A88">
      <w:pPr>
        <w:pStyle w:val="SingleTxt"/>
        <w:spacing w:after="0" w:line="120" w:lineRule="exact"/>
        <w:rPr>
          <w:sz w:val="10"/>
        </w:rPr>
      </w:pPr>
    </w:p>
    <w:p w:rsidR="007C3A88" w:rsidRPr="00CC052C" w:rsidRDefault="007C3A88" w:rsidP="00B613C8">
      <w:pPr>
        <w:pStyle w:val="SingleTxt"/>
      </w:pPr>
      <w:r w:rsidRPr="00CC052C">
        <w:t>1</w:t>
      </w:r>
      <w:r w:rsidRPr="00CC052C">
        <w:rPr>
          <w:rFonts w:hint="eastAsia"/>
        </w:rPr>
        <w:t>08</w:t>
      </w:r>
      <w:r w:rsidRPr="00CC052C">
        <w:t xml:space="preserve">. </w:t>
      </w:r>
      <w:r w:rsidRPr="00CC052C">
        <w:rPr>
          <w:rFonts w:hint="eastAsia"/>
        </w:rPr>
        <w:t xml:space="preserve"> </w:t>
      </w:r>
      <w:r w:rsidRPr="00CC052C">
        <w:t>委员会第六十五届会议</w:t>
      </w:r>
      <w:r w:rsidRPr="00CC052C">
        <w:t>(2013</w:t>
      </w:r>
      <w:r w:rsidRPr="00CC052C">
        <w:t>年</w:t>
      </w:r>
      <w:r w:rsidRPr="00CC052C">
        <w:t>)</w:t>
      </w:r>
      <w:r w:rsidRPr="00CC052C">
        <w:t>决定按照该届会议工作报告附件</w:t>
      </w:r>
      <w:r w:rsidRPr="00CC052C">
        <w:t>B</w:t>
      </w:r>
      <w:r w:rsidRPr="00CC052C">
        <w:t>所载肖恩</w:t>
      </w:r>
      <w:r w:rsidR="00B613C8">
        <w:rPr>
          <w:rFonts w:hint="eastAsia"/>
        </w:rPr>
        <w:t>·</w:t>
      </w:r>
      <w:r w:rsidRPr="00CC052C">
        <w:t>墨菲先生提出的建议，</w:t>
      </w:r>
      <w:r w:rsidRPr="00CC052C">
        <w:rPr>
          <w:w w:val="150"/>
          <w:vertAlign w:val="superscript"/>
        </w:rPr>
        <w:footnoteReference w:id="77"/>
      </w:r>
      <w:r w:rsidRPr="00CC052C">
        <w:t xml:space="preserve"> </w:t>
      </w:r>
      <w:r w:rsidRPr="00CC052C">
        <w:t>将</w:t>
      </w:r>
      <w:r w:rsidRPr="00CC052C">
        <w:rPr>
          <w:rFonts w:hint="eastAsia"/>
        </w:rPr>
        <w:t>“</w:t>
      </w:r>
      <w:r w:rsidRPr="00CC052C">
        <w:t>危害人类罪</w:t>
      </w:r>
      <w:r w:rsidRPr="00CC052C">
        <w:rPr>
          <w:rFonts w:hint="eastAsia"/>
        </w:rPr>
        <w:t>”</w:t>
      </w:r>
      <w:r w:rsidRPr="00CC052C">
        <w:t>专题列入长期工作方案。</w:t>
      </w:r>
      <w:r w:rsidRPr="00CC052C">
        <w:rPr>
          <w:w w:val="150"/>
          <w:vertAlign w:val="superscript"/>
        </w:rPr>
        <w:footnoteReference w:id="78"/>
      </w:r>
      <w:r w:rsidRPr="00CC052C">
        <w:t xml:space="preserve"> </w:t>
      </w:r>
      <w:r w:rsidRPr="00CC052C">
        <w:t>大会</w:t>
      </w:r>
      <w:r w:rsidRPr="00CC052C">
        <w:t>2013</w:t>
      </w:r>
      <w:r w:rsidRPr="00CC052C">
        <w:t>年</w:t>
      </w:r>
      <w:r w:rsidRPr="00CC052C">
        <w:t>12</w:t>
      </w:r>
      <w:r w:rsidRPr="00CC052C">
        <w:t>月</w:t>
      </w:r>
      <w:r w:rsidRPr="00CC052C">
        <w:t>16</w:t>
      </w:r>
      <w:r w:rsidRPr="00CC052C">
        <w:t>日第</w:t>
      </w:r>
      <w:r w:rsidRPr="00CC052C">
        <w:t>68/112</w:t>
      </w:r>
      <w:r w:rsidRPr="00CC052C">
        <w:t>号决议第</w:t>
      </w:r>
      <w:r w:rsidRPr="00CC052C">
        <w:t>8</w:t>
      </w:r>
      <w:r w:rsidRPr="00CC052C">
        <w:t>段注意到委员会将此专题列入长期工作方案。</w:t>
      </w:r>
    </w:p>
    <w:p w:rsidR="007C3A88" w:rsidRPr="00CC052C" w:rsidRDefault="007C3A88" w:rsidP="007C3A88">
      <w:pPr>
        <w:pStyle w:val="SingleTxt"/>
      </w:pPr>
      <w:r w:rsidRPr="00CC052C">
        <w:rPr>
          <w:rFonts w:hint="eastAsia"/>
        </w:rPr>
        <w:t>109</w:t>
      </w:r>
      <w:r w:rsidRPr="00CC052C">
        <w:t xml:space="preserve">. </w:t>
      </w:r>
      <w:r w:rsidRPr="00CC052C">
        <w:rPr>
          <w:rFonts w:hint="eastAsia"/>
        </w:rPr>
        <w:t xml:space="preserve"> </w:t>
      </w:r>
      <w:r w:rsidRPr="00CE568E">
        <w:rPr>
          <w:spacing w:val="2"/>
        </w:rPr>
        <w:t>委员会第六十六届会议</w:t>
      </w:r>
      <w:r w:rsidRPr="00CE568E">
        <w:rPr>
          <w:spacing w:val="2"/>
        </w:rPr>
        <w:t>(2014</w:t>
      </w:r>
      <w:r w:rsidRPr="00CE568E">
        <w:rPr>
          <w:spacing w:val="2"/>
        </w:rPr>
        <w:t>年</w:t>
      </w:r>
      <w:r w:rsidRPr="00CE568E">
        <w:rPr>
          <w:spacing w:val="2"/>
        </w:rPr>
        <w:t>)</w:t>
      </w:r>
      <w:r w:rsidRPr="00CE568E">
        <w:rPr>
          <w:spacing w:val="2"/>
        </w:rPr>
        <w:t>决定将该专题列入工作方案，并任命肖恩</w:t>
      </w:r>
      <w:r w:rsidRPr="00CE568E">
        <w:rPr>
          <w:rFonts w:hint="eastAsia"/>
          <w:spacing w:val="2"/>
        </w:rPr>
        <w:t>·</w:t>
      </w:r>
      <w:r w:rsidRPr="00CE568E">
        <w:rPr>
          <w:spacing w:val="2"/>
        </w:rPr>
        <w:t>墨菲先生</w:t>
      </w:r>
      <w:r w:rsidRPr="00CC052C">
        <w:t>为该专题的特别报告员。</w:t>
      </w:r>
      <w:r w:rsidRPr="00CC052C">
        <w:rPr>
          <w:w w:val="150"/>
          <w:vertAlign w:val="superscript"/>
        </w:rPr>
        <w:footnoteReference w:id="79"/>
      </w:r>
      <w:r w:rsidRPr="00CC052C">
        <w:t xml:space="preserve"> </w:t>
      </w:r>
      <w:r w:rsidRPr="00CC052C">
        <w:rPr>
          <w:rFonts w:hint="eastAsia"/>
        </w:rPr>
        <w:t>大会随后在</w:t>
      </w:r>
      <w:r w:rsidRPr="00CC052C">
        <w:rPr>
          <w:rFonts w:hint="eastAsia"/>
        </w:rPr>
        <w:t>2014</w:t>
      </w:r>
      <w:r w:rsidRPr="00CC052C">
        <w:rPr>
          <w:rFonts w:hint="eastAsia"/>
        </w:rPr>
        <w:t>年</w:t>
      </w:r>
      <w:r w:rsidRPr="00CC052C">
        <w:rPr>
          <w:rFonts w:hint="eastAsia"/>
        </w:rPr>
        <w:t>12</w:t>
      </w:r>
      <w:r w:rsidRPr="00CC052C">
        <w:rPr>
          <w:rFonts w:hint="eastAsia"/>
        </w:rPr>
        <w:t>月</w:t>
      </w:r>
      <w:r w:rsidRPr="00CC052C">
        <w:rPr>
          <w:rFonts w:hint="eastAsia"/>
        </w:rPr>
        <w:t>10</w:t>
      </w:r>
      <w:r w:rsidRPr="00CC052C">
        <w:rPr>
          <w:rFonts w:hint="eastAsia"/>
        </w:rPr>
        <w:t>日第</w:t>
      </w:r>
      <w:r w:rsidRPr="00CC052C">
        <w:rPr>
          <w:rFonts w:hint="eastAsia"/>
        </w:rPr>
        <w:t>69</w:t>
      </w:r>
      <w:r w:rsidRPr="00CC052C">
        <w:t>/</w:t>
      </w:r>
      <w:r w:rsidRPr="00CC052C">
        <w:rPr>
          <w:rFonts w:hint="eastAsia"/>
        </w:rPr>
        <w:t>118</w:t>
      </w:r>
      <w:r w:rsidRPr="00CC052C">
        <w:rPr>
          <w:rFonts w:hint="eastAsia"/>
        </w:rPr>
        <w:t>号决议第</w:t>
      </w:r>
      <w:r w:rsidRPr="00CC052C">
        <w:rPr>
          <w:rFonts w:hint="eastAsia"/>
        </w:rPr>
        <w:t>7</w:t>
      </w:r>
      <w:r w:rsidRPr="00CC052C">
        <w:rPr>
          <w:rFonts w:hint="eastAsia"/>
        </w:rPr>
        <w:t>段里注意到委员会决定将此专题列入</w:t>
      </w:r>
      <w:r w:rsidRPr="00CC052C">
        <w:t>工作方案</w:t>
      </w:r>
      <w:r w:rsidRPr="00CC052C">
        <w:rPr>
          <w:rFonts w:hint="eastAsia"/>
        </w:rPr>
        <w:t>。</w:t>
      </w:r>
    </w:p>
    <w:p w:rsidR="007C3A88" w:rsidRPr="00CC052C" w:rsidRDefault="007C3A88" w:rsidP="007C3A88">
      <w:pPr>
        <w:pStyle w:val="SingleTxt"/>
        <w:spacing w:after="0" w:line="120" w:lineRule="exact"/>
        <w:rPr>
          <w:sz w:val="10"/>
        </w:rPr>
      </w:pPr>
    </w:p>
    <w:p w:rsidR="007C3A88" w:rsidRPr="00CC052C" w:rsidRDefault="007C3A88" w:rsidP="007C3A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t>B.</w:t>
      </w:r>
      <w:r w:rsidRPr="00CC052C">
        <w:rPr>
          <w:rFonts w:hint="eastAsia"/>
        </w:rPr>
        <w:tab/>
      </w:r>
      <w:r w:rsidRPr="00CC052C">
        <w:t>本届会议审议此专题的情况</w:t>
      </w:r>
    </w:p>
    <w:p w:rsidR="007C3A88" w:rsidRPr="00EF7649" w:rsidRDefault="007C3A88" w:rsidP="00EF7649">
      <w:pPr>
        <w:pStyle w:val="SingleTxt"/>
        <w:spacing w:after="0" w:line="120" w:lineRule="exact"/>
        <w:rPr>
          <w:sz w:val="10"/>
        </w:rPr>
      </w:pPr>
    </w:p>
    <w:p w:rsidR="00EF7649" w:rsidRPr="00CC052C" w:rsidRDefault="00EF7649" w:rsidP="007C3A88">
      <w:pPr>
        <w:pStyle w:val="SingleTxt"/>
        <w:spacing w:after="0" w:line="120" w:lineRule="exact"/>
        <w:rPr>
          <w:sz w:val="10"/>
        </w:rPr>
      </w:pPr>
    </w:p>
    <w:p w:rsidR="007C3A88" w:rsidRPr="00CC052C" w:rsidRDefault="007C3A88" w:rsidP="007C3A88">
      <w:pPr>
        <w:pStyle w:val="SingleTxt"/>
      </w:pPr>
      <w:r w:rsidRPr="00CC052C">
        <w:rPr>
          <w:rFonts w:hint="eastAsia"/>
        </w:rPr>
        <w:t>110</w:t>
      </w:r>
      <w:r w:rsidRPr="00CC052C">
        <w:t>.</w:t>
      </w:r>
      <w:r w:rsidRPr="00CC052C">
        <w:rPr>
          <w:rFonts w:hint="eastAsia"/>
        </w:rPr>
        <w:t xml:space="preserve">  </w:t>
      </w:r>
      <w:r w:rsidRPr="00CC052C">
        <w:t>委员会本届会议收到了特别报告员的第一次报告</w:t>
      </w:r>
      <w:r w:rsidRPr="00CC052C">
        <w:t>(A/CN.4/680)</w:t>
      </w:r>
      <w:r w:rsidRPr="00CC052C">
        <w:t>，在</w:t>
      </w:r>
      <w:r w:rsidRPr="00CC052C">
        <w:t>2015</w:t>
      </w:r>
      <w:r w:rsidRPr="00CC052C">
        <w:t>年</w:t>
      </w:r>
      <w:r w:rsidRPr="00CC052C">
        <w:t>5</w:t>
      </w:r>
      <w:r w:rsidRPr="00CC052C">
        <w:t>月</w:t>
      </w:r>
      <w:r w:rsidRPr="00CC052C">
        <w:t>21</w:t>
      </w:r>
      <w:r w:rsidRPr="00CC052C">
        <w:t>日至</w:t>
      </w:r>
      <w:r w:rsidRPr="00CC052C">
        <w:t>28</w:t>
      </w:r>
      <w:r w:rsidRPr="00CC052C">
        <w:t>日的第</w:t>
      </w:r>
      <w:r w:rsidRPr="00CC052C">
        <w:t>3254</w:t>
      </w:r>
      <w:r w:rsidRPr="00CC052C">
        <w:t>次至第</w:t>
      </w:r>
      <w:r w:rsidRPr="00CC052C">
        <w:t>3258</w:t>
      </w:r>
      <w:r w:rsidRPr="00CC052C">
        <w:t>次会议上审议了该报告。</w:t>
      </w:r>
      <w:r w:rsidRPr="00CC052C">
        <w:rPr>
          <w:w w:val="150"/>
          <w:vertAlign w:val="superscript"/>
        </w:rPr>
        <w:footnoteReference w:id="80"/>
      </w:r>
    </w:p>
    <w:p w:rsidR="007C3A88" w:rsidRPr="00CC052C" w:rsidRDefault="007C3A88" w:rsidP="007C3A88">
      <w:pPr>
        <w:pStyle w:val="SingleTxt"/>
      </w:pPr>
      <w:r w:rsidRPr="00CC052C">
        <w:rPr>
          <w:rFonts w:hint="eastAsia"/>
        </w:rPr>
        <w:t>111</w:t>
      </w:r>
      <w:r w:rsidRPr="00CC052C">
        <w:t xml:space="preserve">.  </w:t>
      </w:r>
      <w:r w:rsidRPr="00CC052C">
        <w:t>特别报告员在第一次报告中，首先评价了拟定一项危害人类罪公约的潜在益处</w:t>
      </w:r>
      <w:r w:rsidRPr="00CC052C">
        <w:t>(</w:t>
      </w:r>
      <w:r w:rsidRPr="00CC052C">
        <w:t>第二节</w:t>
      </w:r>
      <w:r w:rsidRPr="00CC052C">
        <w:t>)</w:t>
      </w:r>
      <w:r w:rsidRPr="00CC052C">
        <w:t>，然后概述了危害人类罪的背景</w:t>
      </w:r>
      <w:r w:rsidRPr="00CC052C">
        <w:t>(</w:t>
      </w:r>
      <w:r w:rsidRPr="00CC052C">
        <w:t>第三节</w:t>
      </w:r>
      <w:r w:rsidRPr="00CC052C">
        <w:t>)</w:t>
      </w:r>
      <w:r w:rsidRPr="00CC052C">
        <w:t>，并探讨了促进防止各种罪行、将其定为刑事罪及为此进行国家间合作的现有多边公约的某些方面</w:t>
      </w:r>
      <w:r w:rsidRPr="00CC052C">
        <w:t>(</w:t>
      </w:r>
      <w:r w:rsidRPr="00CC052C">
        <w:t>第四节</w:t>
      </w:r>
      <w:r w:rsidRPr="00CC052C">
        <w:t>)</w:t>
      </w:r>
      <w:r w:rsidRPr="00CC052C">
        <w:t>。特别报告员进而研究了各国防止和惩治危害人类罪的各种条约制度规定的一般义务</w:t>
      </w:r>
      <w:r w:rsidRPr="00CC052C">
        <w:t>(</w:t>
      </w:r>
      <w:r w:rsidRPr="00CC052C">
        <w:t>第五节</w:t>
      </w:r>
      <w:r w:rsidRPr="00CC052C">
        <w:t>)</w:t>
      </w:r>
      <w:r w:rsidRPr="00CC052C">
        <w:t>以及为本专题的目的提出的</w:t>
      </w:r>
      <w:r w:rsidRPr="00CC052C">
        <w:rPr>
          <w:rFonts w:hint="eastAsia"/>
        </w:rPr>
        <w:t>“</w:t>
      </w:r>
      <w:r w:rsidRPr="00CC052C">
        <w:t>危害人类罪</w:t>
      </w:r>
      <w:r w:rsidRPr="00CC052C">
        <w:rPr>
          <w:rFonts w:hint="eastAsia"/>
        </w:rPr>
        <w:t>”</w:t>
      </w:r>
      <w:r w:rsidRPr="00CC052C">
        <w:t>定义</w:t>
      </w:r>
      <w:r w:rsidRPr="00CC052C">
        <w:t>(</w:t>
      </w:r>
      <w:r w:rsidRPr="00CC052C">
        <w:t>第六节</w:t>
      </w:r>
      <w:r w:rsidRPr="00CC052C">
        <w:t>)</w:t>
      </w:r>
      <w:r w:rsidRPr="00CC052C">
        <w:t>。报告还介绍了今后关于本专题的工作方案</w:t>
      </w:r>
      <w:r w:rsidRPr="00CC052C">
        <w:t>(</w:t>
      </w:r>
      <w:r w:rsidRPr="00CC052C">
        <w:t>第七节</w:t>
      </w:r>
      <w:r w:rsidRPr="00CC052C">
        <w:t>)</w:t>
      </w:r>
      <w:r w:rsidRPr="00CC052C">
        <w:t>。特别报告员分别针对第五节和第六节中探讨的问题，相应地提出了两条草案。</w:t>
      </w:r>
      <w:r w:rsidRPr="00CC052C">
        <w:rPr>
          <w:w w:val="150"/>
          <w:vertAlign w:val="superscript"/>
        </w:rPr>
        <w:footnoteReference w:id="81"/>
      </w:r>
    </w:p>
    <w:p w:rsidR="007C3A88" w:rsidRPr="00CC052C" w:rsidRDefault="007C3A88" w:rsidP="007C3A88">
      <w:pPr>
        <w:pStyle w:val="SingleTxt"/>
      </w:pPr>
      <w:r w:rsidRPr="00CC052C">
        <w:rPr>
          <w:rFonts w:hint="eastAsia"/>
        </w:rPr>
        <w:t>112</w:t>
      </w:r>
      <w:r w:rsidRPr="00CC052C">
        <w:t xml:space="preserve">.  </w:t>
      </w:r>
      <w:r w:rsidRPr="00CC052C">
        <w:t>委员会在</w:t>
      </w:r>
      <w:r w:rsidRPr="00CC052C">
        <w:t>2015</w:t>
      </w:r>
      <w:r w:rsidRPr="00CC052C">
        <w:t>年</w:t>
      </w:r>
      <w:r w:rsidRPr="00CC052C">
        <w:t>5</w:t>
      </w:r>
      <w:r w:rsidRPr="00CC052C">
        <w:t>月</w:t>
      </w:r>
      <w:r w:rsidRPr="00CC052C">
        <w:t>28</w:t>
      </w:r>
      <w:r w:rsidRPr="00CC052C">
        <w:t>日第</w:t>
      </w:r>
      <w:r w:rsidRPr="00CC052C">
        <w:t>3258</w:t>
      </w:r>
      <w:r w:rsidRPr="00CC052C">
        <w:t>次会议上，将特别报告员第一次报告所载第</w:t>
      </w:r>
      <w:r w:rsidRPr="00CC052C">
        <w:t>1</w:t>
      </w:r>
      <w:r w:rsidRPr="00CC052C">
        <w:t>和第</w:t>
      </w:r>
      <w:r w:rsidRPr="00CC052C">
        <w:t>2</w:t>
      </w:r>
      <w:r w:rsidRPr="00CC052C">
        <w:t>条草案转交起草委员会。</w:t>
      </w:r>
    </w:p>
    <w:p w:rsidR="007C3A88" w:rsidRPr="00CC052C" w:rsidRDefault="007C3A88" w:rsidP="007C3A88">
      <w:pPr>
        <w:pStyle w:val="SingleTxt"/>
      </w:pPr>
      <w:r w:rsidRPr="00CC052C">
        <w:rPr>
          <w:rFonts w:hint="eastAsia"/>
        </w:rPr>
        <w:t>113</w:t>
      </w:r>
      <w:r w:rsidRPr="00CC052C">
        <w:t xml:space="preserve">.  </w:t>
      </w:r>
      <w:r w:rsidRPr="00CC052C">
        <w:t>委员会在</w:t>
      </w:r>
      <w:r w:rsidRPr="00CC052C">
        <w:t>2015</w:t>
      </w:r>
      <w:r w:rsidRPr="00CC052C">
        <w:t>年</w:t>
      </w:r>
      <w:r w:rsidRPr="00CC052C">
        <w:t>6</w:t>
      </w:r>
      <w:r w:rsidRPr="00CC052C">
        <w:t>月</w:t>
      </w:r>
      <w:r w:rsidRPr="00CC052C">
        <w:t>5</w:t>
      </w:r>
      <w:r w:rsidRPr="00CC052C">
        <w:t>日第</w:t>
      </w:r>
      <w:r w:rsidRPr="00CC052C">
        <w:t>3263</w:t>
      </w:r>
      <w:r w:rsidRPr="00CC052C">
        <w:t>次会议上，审议了起草委员会的报告，并暂时通过第</w:t>
      </w:r>
      <w:r w:rsidRPr="00CC052C">
        <w:t>1</w:t>
      </w:r>
      <w:r w:rsidRPr="00CC052C">
        <w:t>、第</w:t>
      </w:r>
      <w:r w:rsidRPr="00CC052C">
        <w:t>2</w:t>
      </w:r>
      <w:r w:rsidRPr="00CC052C">
        <w:t>、第</w:t>
      </w:r>
      <w:r w:rsidRPr="00CC052C">
        <w:t>3</w:t>
      </w:r>
      <w:r w:rsidRPr="00CC052C">
        <w:t>和第</w:t>
      </w:r>
      <w:r w:rsidRPr="00CC052C">
        <w:t>4</w:t>
      </w:r>
      <w:r w:rsidRPr="00CC052C">
        <w:t>条草案</w:t>
      </w:r>
      <w:r w:rsidRPr="00CC052C">
        <w:t>(</w:t>
      </w:r>
      <w:r w:rsidRPr="00CC052C">
        <w:t>见下文</w:t>
      </w:r>
      <w:r w:rsidRPr="00CC052C">
        <w:t>C.1</w:t>
      </w:r>
      <w:r w:rsidRPr="00CC052C">
        <w:t>节</w:t>
      </w:r>
      <w:r w:rsidRPr="00CC052C">
        <w:t>)</w:t>
      </w:r>
      <w:r w:rsidRPr="00CC052C">
        <w:t>。</w:t>
      </w:r>
    </w:p>
    <w:p w:rsidR="007C3A88" w:rsidRPr="00CC052C" w:rsidRDefault="007C3A88" w:rsidP="007C3A88">
      <w:pPr>
        <w:pStyle w:val="SingleTxt"/>
      </w:pPr>
      <w:r w:rsidRPr="00CC052C">
        <w:rPr>
          <w:rFonts w:hint="eastAsia"/>
        </w:rPr>
        <w:t>114</w:t>
      </w:r>
      <w:r w:rsidRPr="00CC052C">
        <w:t xml:space="preserve">.  </w:t>
      </w:r>
      <w:r w:rsidRPr="00CC052C">
        <w:t>委员会在</w:t>
      </w:r>
      <w:r w:rsidRPr="00CC052C">
        <w:t>2015</w:t>
      </w:r>
      <w:r w:rsidRPr="00CC052C">
        <w:t>年</w:t>
      </w:r>
      <w:r w:rsidRPr="00CC052C">
        <w:rPr>
          <w:rFonts w:hint="eastAsia"/>
        </w:rPr>
        <w:t>8</w:t>
      </w:r>
      <w:r w:rsidRPr="00CC052C">
        <w:rPr>
          <w:rFonts w:hint="eastAsia"/>
        </w:rPr>
        <w:t>月</w:t>
      </w:r>
      <w:r w:rsidRPr="00CC052C">
        <w:rPr>
          <w:rFonts w:hint="eastAsia"/>
        </w:rPr>
        <w:t>3</w:t>
      </w:r>
      <w:r w:rsidRPr="00CC052C">
        <w:rPr>
          <w:rFonts w:hint="eastAsia"/>
        </w:rPr>
        <w:t>日和</w:t>
      </w:r>
      <w:r w:rsidRPr="00CC052C">
        <w:rPr>
          <w:rFonts w:hint="eastAsia"/>
        </w:rPr>
        <w:t>4</w:t>
      </w:r>
      <w:r w:rsidRPr="00CC052C">
        <w:rPr>
          <w:rFonts w:hint="eastAsia"/>
        </w:rPr>
        <w:t>日</w:t>
      </w:r>
      <w:r w:rsidRPr="00CC052C">
        <w:t>第</w:t>
      </w:r>
      <w:r w:rsidRPr="00CC052C">
        <w:rPr>
          <w:rFonts w:hint="eastAsia"/>
        </w:rPr>
        <w:t>3282</w:t>
      </w:r>
      <w:r w:rsidRPr="00CC052C">
        <w:t>次至第</w:t>
      </w:r>
      <w:r w:rsidRPr="00CC052C">
        <w:rPr>
          <w:rFonts w:hint="eastAsia"/>
        </w:rPr>
        <w:t>3284</w:t>
      </w:r>
      <w:r w:rsidRPr="00CC052C">
        <w:t>次会议上，通过了本届会议暂时通过的条款草案的评注</w:t>
      </w:r>
      <w:r w:rsidRPr="00CC052C">
        <w:t>(</w:t>
      </w:r>
      <w:r w:rsidRPr="00CC052C">
        <w:t>见下文</w:t>
      </w:r>
      <w:r w:rsidRPr="00CC052C">
        <w:t>C.2</w:t>
      </w:r>
      <w:r w:rsidRPr="00CC052C">
        <w:t>节</w:t>
      </w:r>
      <w:r w:rsidRPr="00CC052C">
        <w:t>)</w:t>
      </w:r>
      <w:r w:rsidRPr="00CC052C">
        <w:t>。</w:t>
      </w:r>
    </w:p>
    <w:p w:rsidR="007C3A88" w:rsidRPr="00CC052C" w:rsidRDefault="007C3A88" w:rsidP="007C3A88">
      <w:pPr>
        <w:pStyle w:val="SingleTxt"/>
      </w:pPr>
      <w:r w:rsidRPr="00CC052C">
        <w:lastRenderedPageBreak/>
        <w:t xml:space="preserve">115. </w:t>
      </w:r>
      <w:r w:rsidRPr="00CC052C">
        <w:rPr>
          <w:rFonts w:hint="eastAsia"/>
        </w:rPr>
        <w:t xml:space="preserve"> </w:t>
      </w:r>
      <w:r w:rsidRPr="00CC052C">
        <w:rPr>
          <w:rFonts w:hint="eastAsia"/>
        </w:rPr>
        <w:t>委员会</w:t>
      </w:r>
      <w:r w:rsidRPr="00CC052C">
        <w:t>在</w:t>
      </w:r>
      <w:r w:rsidRPr="00CC052C">
        <w:t>2015</w:t>
      </w:r>
      <w:r w:rsidRPr="00CC052C">
        <w:t>年</w:t>
      </w:r>
      <w:r w:rsidRPr="00CC052C">
        <w:rPr>
          <w:rFonts w:hint="eastAsia"/>
        </w:rPr>
        <w:t>8</w:t>
      </w:r>
      <w:r w:rsidRPr="00CC052C">
        <w:t>月</w:t>
      </w:r>
      <w:r w:rsidRPr="00CC052C">
        <w:rPr>
          <w:rFonts w:hint="eastAsia"/>
        </w:rPr>
        <w:t>3</w:t>
      </w:r>
      <w:r w:rsidRPr="00CC052C">
        <w:t>日第</w:t>
      </w:r>
      <w:r w:rsidRPr="00CC052C">
        <w:t>32</w:t>
      </w:r>
      <w:r w:rsidRPr="00CC052C">
        <w:rPr>
          <w:rFonts w:hint="eastAsia"/>
        </w:rPr>
        <w:t>82</w:t>
      </w:r>
      <w:r w:rsidRPr="00CC052C">
        <w:t>次会议上</w:t>
      </w:r>
      <w:r w:rsidRPr="00CC052C">
        <w:rPr>
          <w:rFonts w:hint="eastAsia"/>
        </w:rPr>
        <w:t>请秘书处编写一份备忘录，提供可能对今后此专题工作有关的关于现有基于条约的监测机制的资料。</w:t>
      </w:r>
      <w:r w:rsidRPr="00CC052C">
        <w:rPr>
          <w:w w:val="150"/>
          <w:vertAlign w:val="superscript"/>
        </w:rPr>
        <w:footnoteReference w:id="82"/>
      </w:r>
    </w:p>
    <w:p w:rsidR="007C3A88" w:rsidRPr="00CC052C" w:rsidRDefault="007C3A88" w:rsidP="007C3A88">
      <w:pPr>
        <w:pStyle w:val="SingleTxt"/>
        <w:spacing w:after="0" w:line="120" w:lineRule="exact"/>
        <w:rPr>
          <w:sz w:val="10"/>
        </w:rPr>
      </w:pPr>
    </w:p>
    <w:p w:rsidR="00EF7649" w:rsidRPr="00EF7649" w:rsidRDefault="00EF7649" w:rsidP="00EF764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C3A88" w:rsidRPr="00CC052C" w:rsidRDefault="007C3A88" w:rsidP="007C3A8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t>C.</w:t>
      </w:r>
      <w:r w:rsidRPr="00CC052C">
        <w:tab/>
        <w:t>委员会第六十七届会议暂时通过的</w:t>
      </w:r>
      <w:r w:rsidRPr="00CC052C">
        <w:rPr>
          <w:lang w:val="fr-FR"/>
        </w:rPr>
        <w:t>危害人类罪条款草案案文</w:t>
      </w:r>
    </w:p>
    <w:p w:rsidR="007C3A88" w:rsidRPr="00EF7649" w:rsidRDefault="007C3A88" w:rsidP="00EF7649">
      <w:pPr>
        <w:pStyle w:val="SingleTxt"/>
        <w:spacing w:after="0" w:line="120" w:lineRule="exact"/>
        <w:rPr>
          <w:sz w:val="10"/>
        </w:rPr>
      </w:pPr>
    </w:p>
    <w:p w:rsidR="00EF7649" w:rsidRPr="00CC052C" w:rsidRDefault="00EF7649" w:rsidP="007C3A88">
      <w:pPr>
        <w:pStyle w:val="SingleTxt"/>
        <w:spacing w:after="0" w:line="120" w:lineRule="exact"/>
        <w:rPr>
          <w:sz w:val="10"/>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C052C">
        <w:rPr>
          <w:rFonts w:hint="eastAsia"/>
          <w:lang w:val="en-GB"/>
        </w:rPr>
        <w:tab/>
      </w:r>
      <w:r w:rsidRPr="00CC052C">
        <w:rPr>
          <w:lang w:val="en-GB"/>
        </w:rPr>
        <w:t>1.</w:t>
      </w:r>
      <w:r w:rsidRPr="00CC052C">
        <w:rPr>
          <w:rFonts w:hint="eastAsia"/>
          <w:lang w:val="en-GB"/>
        </w:rPr>
        <w:tab/>
      </w:r>
      <w:r w:rsidRPr="00CC052C">
        <w:rPr>
          <w:lang w:val="en-GB"/>
        </w:rPr>
        <w:t>条款草案案文</w:t>
      </w:r>
    </w:p>
    <w:p w:rsidR="007C3A88" w:rsidRPr="00EF7649" w:rsidRDefault="007C3A88" w:rsidP="00EF7649">
      <w:pPr>
        <w:pStyle w:val="SingleTxt"/>
        <w:spacing w:after="0" w:line="120" w:lineRule="exact"/>
        <w:rPr>
          <w:sz w:val="10"/>
        </w:rPr>
      </w:pPr>
    </w:p>
    <w:p w:rsidR="00EF7649" w:rsidRPr="00CC052C" w:rsidRDefault="00EF7649" w:rsidP="007C3A88">
      <w:pPr>
        <w:pStyle w:val="SingleTxt"/>
        <w:spacing w:after="0" w:line="120" w:lineRule="exact"/>
        <w:rPr>
          <w:sz w:val="10"/>
        </w:rPr>
      </w:pPr>
    </w:p>
    <w:p w:rsidR="007C3A88" w:rsidRPr="00CC052C" w:rsidRDefault="007C3A88" w:rsidP="007C3A88">
      <w:pPr>
        <w:pStyle w:val="SingleTxt"/>
      </w:pPr>
      <w:r w:rsidRPr="00CC052C">
        <w:rPr>
          <w:rFonts w:hint="eastAsia"/>
        </w:rPr>
        <w:t>116</w:t>
      </w:r>
      <w:r w:rsidRPr="00CC052C">
        <w:t xml:space="preserve">. </w:t>
      </w:r>
      <w:r w:rsidRPr="00CC052C">
        <w:rPr>
          <w:rFonts w:hint="eastAsia"/>
        </w:rPr>
        <w:t xml:space="preserve"> </w:t>
      </w:r>
      <w:r w:rsidRPr="00CC052C">
        <w:t>委员会第六十七届会议暂时通过的条款草案案文载录如下。</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rPr>
          <w:bCs/>
        </w:rPr>
      </w:pPr>
      <w:r w:rsidRPr="00CC052C">
        <w:rPr>
          <w:rFonts w:hint="eastAsia"/>
        </w:rPr>
        <w:tab/>
      </w:r>
      <w:r w:rsidRPr="00CC052C">
        <w:rPr>
          <w:rFonts w:hint="eastAsia"/>
        </w:rPr>
        <w:tab/>
      </w:r>
      <w:r w:rsidRPr="00CC052C">
        <w:t>第</w:t>
      </w:r>
      <w:r w:rsidRPr="00373D8C">
        <w:rPr>
          <w:rFonts w:asciiTheme="majorBidi" w:hAnsiTheme="majorBidi" w:cstheme="majorBidi"/>
        </w:rPr>
        <w:t>1</w:t>
      </w:r>
      <w:r w:rsidRPr="00CC052C">
        <w:t>条</w:t>
      </w:r>
      <w:r w:rsidRPr="00CC052C">
        <w:br/>
      </w:r>
      <w:r w:rsidRPr="00373D8C">
        <w:rPr>
          <w:rFonts w:ascii="楷体_GB2312" w:eastAsia="楷体_GB2312"/>
          <w:b/>
        </w:rPr>
        <w:t>范围</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tab/>
      </w:r>
      <w:r w:rsidRPr="00CC052C">
        <w:t>本条款草案适用于防止和惩治危害人类罪。</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tab/>
      </w:r>
      <w:r w:rsidRPr="00CC052C">
        <w:tab/>
        <w:t>第</w:t>
      </w:r>
      <w:r w:rsidRPr="00373D8C">
        <w:rPr>
          <w:rFonts w:asciiTheme="majorBidi" w:hAnsiTheme="majorBidi" w:cstheme="majorBidi"/>
        </w:rPr>
        <w:t>2</w:t>
      </w:r>
      <w:r w:rsidRPr="00CC052C">
        <w:t>条</w:t>
      </w:r>
      <w:r w:rsidRPr="00CC052C">
        <w:br/>
      </w:r>
      <w:r w:rsidRPr="00373D8C">
        <w:rPr>
          <w:rFonts w:ascii="楷体_GB2312" w:eastAsia="楷体_GB2312"/>
          <w:b/>
          <w:bCs/>
        </w:rPr>
        <w:t>一般义务</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tab/>
      </w:r>
      <w:r w:rsidRPr="00CC052C">
        <w:t>危害人类罪，不论是否发生于武装冲突之时，均系国际法上的罪行，各国承允防止并惩治之。</w:t>
      </w:r>
    </w:p>
    <w:p w:rsidR="007C3A88" w:rsidRPr="00CC052C" w:rsidRDefault="007C3A88" w:rsidP="007C3A88">
      <w:pPr>
        <w:pStyle w:val="SingleTxt"/>
        <w:spacing w:after="0" w:line="120" w:lineRule="exact"/>
        <w:rPr>
          <w:sz w:val="10"/>
        </w:rPr>
      </w:pPr>
    </w:p>
    <w:p w:rsidR="007C3A88" w:rsidRPr="00373D8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rPr>
          <w:rFonts w:ascii="楷体_GB2312" w:eastAsia="楷体_GB2312"/>
          <w:b/>
          <w:bCs/>
        </w:rPr>
      </w:pPr>
      <w:r w:rsidRPr="00CC052C">
        <w:tab/>
      </w:r>
      <w:r w:rsidRPr="00CC052C">
        <w:tab/>
        <w:t>第</w:t>
      </w:r>
      <w:r w:rsidRPr="00373D8C">
        <w:rPr>
          <w:rFonts w:asciiTheme="majorBidi" w:hAnsiTheme="majorBidi" w:cstheme="majorBidi"/>
        </w:rPr>
        <w:t>3</w:t>
      </w:r>
      <w:r w:rsidRPr="00CC052C">
        <w:t>条</w:t>
      </w:r>
      <w:r w:rsidRPr="00CC052C">
        <w:br/>
      </w:r>
      <w:r w:rsidRPr="00373D8C">
        <w:rPr>
          <w:rFonts w:ascii="楷体_GB2312" w:eastAsia="楷体_GB2312"/>
          <w:b/>
          <w:bCs/>
        </w:rPr>
        <w:t>危害人类罪的定义</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t xml:space="preserve">1.  </w:t>
      </w:r>
      <w:r w:rsidRPr="00CC052C">
        <w:t>为了本条款草案的目的，</w:t>
      </w:r>
      <w:r w:rsidRPr="00CC052C">
        <w:rPr>
          <w:rFonts w:hint="eastAsia"/>
        </w:rPr>
        <w:t>“</w:t>
      </w:r>
      <w:r w:rsidRPr="00CC052C">
        <w:t>危害人类罪</w:t>
      </w:r>
      <w:r w:rsidRPr="00CC052C">
        <w:rPr>
          <w:rFonts w:hint="eastAsia"/>
        </w:rPr>
        <w:t>”</w:t>
      </w:r>
      <w:r w:rsidRPr="00CC052C">
        <w:t>是指在广泛或有系统地针对任何平民人口进行的攻击中，在明知这一攻击的情况下，作为攻击的一部分而实施的下列任何一种行为：</w:t>
      </w:r>
    </w:p>
    <w:p w:rsidR="007C3A88" w:rsidRPr="00CC052C" w:rsidRDefault="007C3A88" w:rsidP="007C3A88">
      <w:pPr>
        <w:pStyle w:val="SingleTxt"/>
        <w:ind w:left="1695"/>
      </w:pPr>
      <w:r w:rsidRPr="00CC052C">
        <w:tab/>
        <w:t>(a)</w:t>
      </w:r>
      <w:r w:rsidRPr="00CC052C">
        <w:tab/>
      </w:r>
      <w:r w:rsidRPr="00CC052C">
        <w:t>谋杀；</w:t>
      </w:r>
    </w:p>
    <w:p w:rsidR="007C3A88" w:rsidRPr="00CC052C" w:rsidRDefault="007C3A88" w:rsidP="007C3A88">
      <w:pPr>
        <w:pStyle w:val="SingleTxt"/>
        <w:ind w:left="1695"/>
      </w:pPr>
      <w:r w:rsidRPr="00CC052C">
        <w:tab/>
        <w:t>(b)</w:t>
      </w:r>
      <w:r w:rsidRPr="00CC052C">
        <w:tab/>
      </w:r>
      <w:r w:rsidRPr="00CC052C">
        <w:t>灭绝；</w:t>
      </w:r>
    </w:p>
    <w:p w:rsidR="007C3A88" w:rsidRPr="00CC052C" w:rsidRDefault="007C3A88" w:rsidP="007C3A88">
      <w:pPr>
        <w:pStyle w:val="SingleTxt"/>
        <w:ind w:left="1695"/>
      </w:pPr>
      <w:r w:rsidRPr="00CC052C">
        <w:tab/>
        <w:t>(c)</w:t>
      </w:r>
      <w:r w:rsidRPr="00CC052C">
        <w:tab/>
      </w:r>
      <w:r w:rsidRPr="00CC052C">
        <w:t>奴役；</w:t>
      </w:r>
    </w:p>
    <w:p w:rsidR="007C3A88" w:rsidRPr="00CC052C" w:rsidRDefault="007C3A88" w:rsidP="007C3A88">
      <w:pPr>
        <w:pStyle w:val="SingleTxt"/>
        <w:ind w:left="1695"/>
      </w:pPr>
      <w:r w:rsidRPr="00CC052C">
        <w:tab/>
        <w:t>(d)</w:t>
      </w:r>
      <w:r w:rsidRPr="00CC052C">
        <w:tab/>
      </w:r>
      <w:r w:rsidRPr="00CC052C">
        <w:t>驱逐出境或强行迁移人口；</w:t>
      </w:r>
    </w:p>
    <w:p w:rsidR="007C3A88" w:rsidRPr="00CC052C" w:rsidRDefault="007C3A88" w:rsidP="007C3A88">
      <w:pPr>
        <w:pStyle w:val="SingleTxt"/>
        <w:ind w:left="1695"/>
      </w:pPr>
      <w:r w:rsidRPr="00CC052C">
        <w:tab/>
        <w:t>(e)</w:t>
      </w:r>
      <w:r w:rsidRPr="00CC052C">
        <w:tab/>
      </w:r>
      <w:r w:rsidRPr="00CC052C">
        <w:t>违反国际法基本规则，监禁或以其他方式严重剥夺人身自由；</w:t>
      </w:r>
    </w:p>
    <w:p w:rsidR="007C3A88" w:rsidRPr="00CC052C" w:rsidRDefault="007C3A88" w:rsidP="007C3A88">
      <w:pPr>
        <w:pStyle w:val="SingleTxt"/>
        <w:ind w:left="1695"/>
      </w:pPr>
      <w:r w:rsidRPr="00CC052C">
        <w:tab/>
        <w:t>(f)</w:t>
      </w:r>
      <w:r w:rsidRPr="00CC052C">
        <w:tab/>
      </w:r>
      <w:r w:rsidRPr="00CC052C">
        <w:t>酷刑；</w:t>
      </w:r>
    </w:p>
    <w:p w:rsidR="007C3A88" w:rsidRPr="00CC052C" w:rsidRDefault="007C3A88" w:rsidP="007C3A88">
      <w:pPr>
        <w:pStyle w:val="SingleTxt"/>
        <w:ind w:left="1695"/>
      </w:pPr>
      <w:r w:rsidRPr="00CC052C">
        <w:tab/>
        <w:t>(g)</w:t>
      </w:r>
      <w:r w:rsidRPr="00CC052C">
        <w:tab/>
      </w:r>
      <w:r w:rsidRPr="00CC052C">
        <w:t>强奸、性奴役、强迫卖淫、强迫怀孕、强迫绝育或严重程度相当的任何其他形式的性暴力；</w:t>
      </w:r>
    </w:p>
    <w:p w:rsidR="007C3A88" w:rsidRPr="00CC052C" w:rsidRDefault="007C3A88" w:rsidP="007C3A88">
      <w:pPr>
        <w:pStyle w:val="SingleTxt"/>
        <w:ind w:left="1695"/>
      </w:pPr>
      <w:r w:rsidRPr="00CC052C">
        <w:tab/>
      </w:r>
      <w:r w:rsidRPr="00CC052C">
        <w:rPr>
          <w:rFonts w:hint="eastAsia"/>
        </w:rPr>
        <w:t>(</w:t>
      </w:r>
      <w:r w:rsidRPr="00CC052C">
        <w:t>h</w:t>
      </w:r>
      <w:r w:rsidRPr="00CC052C">
        <w:rPr>
          <w:rFonts w:hint="eastAsia"/>
        </w:rPr>
        <w:t>)</w:t>
      </w:r>
      <w:r w:rsidRPr="00CC052C">
        <w:tab/>
      </w:r>
      <w:r w:rsidRPr="00CC052C">
        <w:t>基于政治、种族、民族、族裔、文化、宗教、第三款所界定的性别或公认为国际法不容的其他理由，对任何可以识别的群体或集体进行的迫害，且与本款提及的任何一种行为有关，或与灭绝种族</w:t>
      </w:r>
      <w:r w:rsidRPr="00CC052C">
        <w:rPr>
          <w:rFonts w:hint="eastAsia"/>
        </w:rPr>
        <w:t>罪行</w:t>
      </w:r>
      <w:r w:rsidRPr="00CC052C">
        <w:t>或战争罪行有关；</w:t>
      </w:r>
    </w:p>
    <w:p w:rsidR="007C3A88" w:rsidRPr="00CC052C" w:rsidRDefault="007C3A88" w:rsidP="007C3A88">
      <w:pPr>
        <w:pStyle w:val="SingleTxt"/>
        <w:ind w:left="1695"/>
      </w:pPr>
      <w:r w:rsidRPr="00CC052C">
        <w:lastRenderedPageBreak/>
        <w:tab/>
        <w:t>(i)</w:t>
      </w:r>
      <w:r w:rsidRPr="00CC052C">
        <w:tab/>
      </w:r>
      <w:r w:rsidRPr="00CC052C">
        <w:t>强迫人员失踪；</w:t>
      </w:r>
    </w:p>
    <w:p w:rsidR="007C3A88" w:rsidRPr="00CC052C" w:rsidRDefault="007C3A88" w:rsidP="007C3A88">
      <w:pPr>
        <w:pStyle w:val="SingleTxt"/>
        <w:ind w:left="1695"/>
      </w:pPr>
      <w:r w:rsidRPr="00CC052C">
        <w:tab/>
        <w:t>(j)</w:t>
      </w:r>
      <w:r w:rsidRPr="00CC052C">
        <w:tab/>
      </w:r>
      <w:r w:rsidRPr="00CC052C">
        <w:t>种族隔离罪；</w:t>
      </w:r>
    </w:p>
    <w:p w:rsidR="007C3A88" w:rsidRPr="00CC052C" w:rsidRDefault="007C3A88" w:rsidP="007C3A88">
      <w:pPr>
        <w:pStyle w:val="SingleTxt"/>
        <w:ind w:left="1695"/>
      </w:pPr>
      <w:r w:rsidRPr="00CC052C">
        <w:tab/>
        <w:t>(k)</w:t>
      </w:r>
      <w:r w:rsidRPr="00CC052C">
        <w:tab/>
      </w:r>
      <w:r w:rsidRPr="00CC052C">
        <w:t>故意造成重大痛苦，或对人体或身心健康造成严重伤害的其他性质相同的不人道行为。</w:t>
      </w:r>
    </w:p>
    <w:p w:rsidR="007C3A88" w:rsidRPr="00CC052C" w:rsidRDefault="007C3A88" w:rsidP="007C3A88">
      <w:pPr>
        <w:pStyle w:val="SingleTxt"/>
        <w:ind w:left="1695"/>
      </w:pPr>
      <w:r w:rsidRPr="00CC052C">
        <w:t xml:space="preserve">2.  </w:t>
      </w:r>
      <w:r w:rsidRPr="00CC052C">
        <w:t>为了第</w:t>
      </w:r>
      <w:r w:rsidRPr="00CC052C">
        <w:t>1</w:t>
      </w:r>
      <w:r w:rsidRPr="00CC052C">
        <w:t>款的目的：</w:t>
      </w:r>
    </w:p>
    <w:p w:rsidR="007C3A88" w:rsidRPr="00CC052C" w:rsidRDefault="007C3A88" w:rsidP="007C3A88">
      <w:pPr>
        <w:pStyle w:val="SingleTxt"/>
        <w:ind w:left="1695"/>
      </w:pPr>
      <w:r w:rsidRPr="00CC052C">
        <w:tab/>
        <w:t>(a)</w:t>
      </w:r>
      <w:r w:rsidRPr="00CC052C">
        <w:tab/>
      </w:r>
      <w:r w:rsidRPr="00CC052C">
        <w:rPr>
          <w:rFonts w:hint="eastAsia"/>
        </w:rPr>
        <w:t>“</w:t>
      </w:r>
      <w:r w:rsidRPr="00CC052C">
        <w:t>针对任何平民人口进行的攻击</w:t>
      </w:r>
      <w:r w:rsidRPr="00CC052C">
        <w:rPr>
          <w:rFonts w:hint="eastAsia"/>
        </w:rPr>
        <w:t>”</w:t>
      </w:r>
      <w:r w:rsidRPr="00CC052C">
        <w:t>是指根据国家或组织攻击平民人口的政策，或为了推行这种政策，针对任何平民人口多次实施第一款所述行为的行为过程；</w:t>
      </w:r>
    </w:p>
    <w:p w:rsidR="007C3A88" w:rsidRPr="00CC052C" w:rsidRDefault="007C3A88" w:rsidP="007C3A88">
      <w:pPr>
        <w:pStyle w:val="SingleTxt"/>
        <w:ind w:left="1695"/>
      </w:pPr>
      <w:r w:rsidRPr="00CC052C">
        <w:tab/>
        <w:t>(b)</w:t>
      </w:r>
      <w:r w:rsidRPr="00CC052C">
        <w:tab/>
      </w:r>
      <w:r w:rsidRPr="00CC052C">
        <w:rPr>
          <w:rFonts w:hint="eastAsia"/>
        </w:rPr>
        <w:t>“</w:t>
      </w:r>
      <w:r w:rsidRPr="00CC052C">
        <w:t>灭绝</w:t>
      </w:r>
      <w:r w:rsidRPr="00CC052C">
        <w:rPr>
          <w:rFonts w:hint="eastAsia"/>
        </w:rPr>
        <w:t>”</w:t>
      </w:r>
      <w:r w:rsidRPr="00CC052C">
        <w:t>包括故意施加某种生活状况，如断绝粮食和药品来源，目的是毁灭部分的人口；</w:t>
      </w:r>
    </w:p>
    <w:p w:rsidR="007C3A88" w:rsidRPr="00CC052C" w:rsidRDefault="007C3A88" w:rsidP="007C3A88">
      <w:pPr>
        <w:pStyle w:val="SingleTxt"/>
        <w:ind w:left="1695"/>
      </w:pPr>
      <w:r w:rsidRPr="00CC052C">
        <w:tab/>
        <w:t>(c)</w:t>
      </w:r>
      <w:r w:rsidRPr="00CC052C">
        <w:tab/>
      </w:r>
      <w:r w:rsidRPr="00CC052C">
        <w:rPr>
          <w:rFonts w:hint="eastAsia"/>
        </w:rPr>
        <w:t>“</w:t>
      </w:r>
      <w:r w:rsidRPr="00CC052C">
        <w:t>奴役</w:t>
      </w:r>
      <w:r w:rsidRPr="00CC052C">
        <w:rPr>
          <w:rFonts w:hint="eastAsia"/>
        </w:rPr>
        <w:t>”</w:t>
      </w:r>
      <w:r w:rsidRPr="00CC052C">
        <w:t>是指对一人行使附属于所有权的任何或一切权力，包括在贩卖人口，特别是贩卖妇女和儿童的过程中行使这种权力；</w:t>
      </w:r>
    </w:p>
    <w:p w:rsidR="007C3A88" w:rsidRPr="00CC052C" w:rsidRDefault="007C3A88" w:rsidP="007C3A88">
      <w:pPr>
        <w:pStyle w:val="SingleTxt"/>
        <w:ind w:left="1695"/>
      </w:pPr>
      <w:r w:rsidRPr="00CC052C">
        <w:tab/>
        <w:t>(d)</w:t>
      </w:r>
      <w:r w:rsidRPr="00CC052C">
        <w:tab/>
      </w:r>
      <w:r w:rsidRPr="00CC052C">
        <w:rPr>
          <w:rFonts w:hint="eastAsia"/>
        </w:rPr>
        <w:t>“</w:t>
      </w:r>
      <w:r w:rsidRPr="00CC052C">
        <w:t>驱逐出境或强行迁移人口</w:t>
      </w:r>
      <w:r w:rsidRPr="00CC052C">
        <w:rPr>
          <w:rFonts w:hint="eastAsia"/>
        </w:rPr>
        <w:t>”</w:t>
      </w:r>
      <w:r w:rsidRPr="00CC052C">
        <w:t>是指在缺乏国际法容许的理由的情况下，以驱逐或其他胁迫行为，强迫有关的人迁离其合法留在的地区；</w:t>
      </w:r>
    </w:p>
    <w:p w:rsidR="007C3A88" w:rsidRPr="00CC052C" w:rsidRDefault="007C3A88" w:rsidP="007C3A88">
      <w:pPr>
        <w:pStyle w:val="SingleTxt"/>
        <w:ind w:left="1695"/>
      </w:pPr>
      <w:r w:rsidRPr="00CC052C">
        <w:tab/>
        <w:t>(e)</w:t>
      </w:r>
      <w:r w:rsidRPr="00CC052C">
        <w:tab/>
      </w:r>
      <w:r w:rsidRPr="00CC052C">
        <w:rPr>
          <w:rFonts w:hint="eastAsia"/>
        </w:rPr>
        <w:t>“</w:t>
      </w:r>
      <w:r w:rsidRPr="00CC052C">
        <w:t>酷刑</w:t>
      </w:r>
      <w:r w:rsidRPr="00CC052C">
        <w:rPr>
          <w:rFonts w:hint="eastAsia"/>
        </w:rPr>
        <w:t>”</w:t>
      </w:r>
      <w:r w:rsidRPr="00CC052C">
        <w:t>是指故意致使在被告人羁押或控制下的人的身体或精神遭受重大痛苦；但酷刑不应包括纯因合法制裁而引起的，或这种制裁所固有或附带的痛苦；</w:t>
      </w:r>
    </w:p>
    <w:p w:rsidR="007C3A88" w:rsidRPr="00CC052C" w:rsidRDefault="007C3A88" w:rsidP="007C3A88">
      <w:pPr>
        <w:pStyle w:val="SingleTxt"/>
        <w:ind w:left="1695"/>
      </w:pPr>
      <w:r w:rsidRPr="00CC052C">
        <w:tab/>
        <w:t>(f)</w:t>
      </w:r>
      <w:r w:rsidRPr="00CC052C">
        <w:tab/>
      </w:r>
      <w:r w:rsidRPr="00CC052C">
        <w:rPr>
          <w:rFonts w:hint="eastAsia"/>
        </w:rPr>
        <w:t>“</w:t>
      </w:r>
      <w:r w:rsidRPr="00CC052C">
        <w:t>强迫怀孕</w:t>
      </w:r>
      <w:r w:rsidRPr="00CC052C">
        <w:rPr>
          <w:rFonts w:hint="eastAsia"/>
        </w:rPr>
        <w:t>”</w:t>
      </w:r>
      <w:r w:rsidRPr="00CC052C">
        <w:t>是指以影响任何人口的族裔构成的目的，或以进行其他严重违反国际法的行为的目的，非法禁闭被强迫怀孕的妇女。本定义不得以任何方式解释为影响国内关于妊娠的法律；</w:t>
      </w:r>
    </w:p>
    <w:p w:rsidR="007C3A88" w:rsidRPr="00CC052C" w:rsidRDefault="007C3A88" w:rsidP="007C3A88">
      <w:pPr>
        <w:pStyle w:val="SingleTxt"/>
        <w:ind w:left="1695"/>
      </w:pPr>
      <w:r w:rsidRPr="00CC052C">
        <w:tab/>
        <w:t>(g)</w:t>
      </w:r>
      <w:r w:rsidRPr="00CC052C">
        <w:tab/>
      </w:r>
      <w:r w:rsidRPr="00CC052C">
        <w:rPr>
          <w:rFonts w:hint="eastAsia"/>
        </w:rPr>
        <w:t>“</w:t>
      </w:r>
      <w:r w:rsidRPr="00CC052C">
        <w:t>迫害</w:t>
      </w:r>
      <w:r w:rsidRPr="00CC052C">
        <w:rPr>
          <w:rFonts w:hint="eastAsia"/>
        </w:rPr>
        <w:t>”</w:t>
      </w:r>
      <w:r w:rsidRPr="00CC052C">
        <w:t>是指违反国际法规定，针对某一群体或集体的特性，故意和严重地剥夺基本权利；</w:t>
      </w:r>
    </w:p>
    <w:p w:rsidR="007C3A88" w:rsidRPr="00CC052C" w:rsidRDefault="007C3A88" w:rsidP="007C3A88">
      <w:pPr>
        <w:pStyle w:val="SingleTxt"/>
        <w:ind w:left="1695"/>
      </w:pPr>
      <w:r w:rsidRPr="00CC052C">
        <w:tab/>
        <w:t>(h)</w:t>
      </w:r>
      <w:r w:rsidRPr="00CC052C">
        <w:tab/>
      </w:r>
      <w:r w:rsidRPr="00CC052C">
        <w:rPr>
          <w:rFonts w:hint="eastAsia"/>
        </w:rPr>
        <w:t>“</w:t>
      </w:r>
      <w:r w:rsidRPr="00CC052C">
        <w:t>种族隔离罪</w:t>
      </w:r>
      <w:r w:rsidRPr="00CC052C">
        <w:rPr>
          <w:rFonts w:hint="eastAsia"/>
        </w:rPr>
        <w:t>”</w:t>
      </w:r>
      <w:r w:rsidRPr="00CC052C">
        <w:t>是指一个种族群体对任何其他一个或多个种族群体，在一个有计划地实行压迫和统治的体制化制度下，实施性质与第一款所述行为相同的不人道行为，目的是维持该制度的存在；</w:t>
      </w:r>
    </w:p>
    <w:p w:rsidR="007C3A88" w:rsidRPr="00CC052C" w:rsidRDefault="007C3A88" w:rsidP="007C3A88">
      <w:pPr>
        <w:pStyle w:val="SingleTxt"/>
        <w:ind w:left="1695"/>
      </w:pPr>
      <w:r w:rsidRPr="00CC052C">
        <w:tab/>
        <w:t>(i)</w:t>
      </w:r>
      <w:r w:rsidRPr="00CC052C">
        <w:tab/>
      </w:r>
      <w:r w:rsidRPr="00CC052C">
        <w:rPr>
          <w:rFonts w:hint="eastAsia"/>
        </w:rPr>
        <w:t>“</w:t>
      </w:r>
      <w:r w:rsidRPr="00CC052C">
        <w:t>强迫人员失踪</w:t>
      </w:r>
      <w:r w:rsidRPr="00CC052C">
        <w:rPr>
          <w:rFonts w:hint="eastAsia"/>
        </w:rPr>
        <w:t>”</w:t>
      </w:r>
      <w:r w:rsidRPr="00CC052C">
        <w:t>是指国家或政治组织直接地，或在其同意、支持或默许下，逮捕、羁押或绑架人员，继而拒绝承认这种剥夺自由的行为，或拒绝透露有关人员的命运或下落，目的是将其长期置于法律保护之外。</w:t>
      </w:r>
    </w:p>
    <w:p w:rsidR="007C3A88" w:rsidRPr="00CC052C" w:rsidRDefault="007C3A88" w:rsidP="007C3A88">
      <w:pPr>
        <w:pStyle w:val="SingleTxt"/>
        <w:ind w:left="1695"/>
      </w:pPr>
      <w:r w:rsidRPr="00CC052C">
        <w:t xml:space="preserve">3.  </w:t>
      </w:r>
      <w:r w:rsidRPr="00CC052C">
        <w:t>为了本条款草案的目的，</w:t>
      </w:r>
      <w:r w:rsidRPr="00CC052C">
        <w:rPr>
          <w:rFonts w:hint="eastAsia"/>
        </w:rPr>
        <w:t>“</w:t>
      </w:r>
      <w:r w:rsidRPr="00CC052C">
        <w:t>性别</w:t>
      </w:r>
      <w:r w:rsidRPr="00CC052C">
        <w:rPr>
          <w:rFonts w:hint="eastAsia"/>
        </w:rPr>
        <w:t>”</w:t>
      </w:r>
      <w:r w:rsidRPr="00CC052C">
        <w:t>一词应被理解为是指社会上的男女两性。</w:t>
      </w:r>
      <w:r w:rsidRPr="00CC052C">
        <w:rPr>
          <w:rFonts w:hint="eastAsia"/>
        </w:rPr>
        <w:t>“</w:t>
      </w:r>
      <w:r w:rsidRPr="00CC052C">
        <w:t>性别</w:t>
      </w:r>
      <w:r w:rsidRPr="00CC052C">
        <w:rPr>
          <w:rFonts w:hint="eastAsia"/>
        </w:rPr>
        <w:t>”</w:t>
      </w:r>
      <w:r w:rsidRPr="00CC052C">
        <w:t>一词仅反映上述意思。</w:t>
      </w:r>
    </w:p>
    <w:p w:rsidR="00EF7649" w:rsidRDefault="007C3A88" w:rsidP="007C3A88">
      <w:pPr>
        <w:pStyle w:val="SingleTxt"/>
        <w:ind w:left="1695"/>
      </w:pPr>
      <w:r w:rsidRPr="00CC052C">
        <w:t xml:space="preserve">4.  </w:t>
      </w:r>
      <w:r w:rsidRPr="00CC052C">
        <w:t>本条草案不妨碍任何国际文书或国内法规定的任何更为宽泛的定义。</w:t>
      </w:r>
    </w:p>
    <w:p w:rsidR="00EF7649" w:rsidRDefault="00EF7649">
      <w:pPr>
        <w:spacing w:line="240" w:lineRule="auto"/>
        <w:jc w:val="left"/>
      </w:pPr>
      <w:r>
        <w:br w:type="page"/>
      </w:r>
    </w:p>
    <w:p w:rsidR="007C3A88" w:rsidRPr="00373D8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rPr>
          <w:rFonts w:ascii="楷体" w:eastAsia="楷体" w:hAnsi="楷体"/>
          <w:b/>
          <w:bCs/>
        </w:rPr>
      </w:pPr>
      <w:r w:rsidRPr="00CC052C">
        <w:lastRenderedPageBreak/>
        <w:tab/>
      </w:r>
      <w:r w:rsidRPr="00CC052C">
        <w:tab/>
        <w:t>第</w:t>
      </w:r>
      <w:r w:rsidRPr="00373D8C">
        <w:rPr>
          <w:rFonts w:asciiTheme="majorBidi" w:hAnsiTheme="majorBidi" w:cstheme="majorBidi"/>
        </w:rPr>
        <w:t>4</w:t>
      </w:r>
      <w:r w:rsidRPr="00CC052C">
        <w:t>条</w:t>
      </w:r>
      <w:r w:rsidRPr="00CC052C">
        <w:br/>
      </w:r>
      <w:r w:rsidRPr="00373D8C">
        <w:rPr>
          <w:rFonts w:ascii="楷体" w:eastAsia="楷体" w:hAnsi="楷体"/>
          <w:b/>
          <w:bCs/>
        </w:rPr>
        <w:t>预防义务</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t xml:space="preserve">1.  </w:t>
      </w:r>
      <w:r w:rsidRPr="00CC052C">
        <w:t>每一国家承诺按照国际法防止危害人类罪，办法包括：</w:t>
      </w:r>
    </w:p>
    <w:p w:rsidR="007C3A88" w:rsidRPr="00CC052C" w:rsidRDefault="007C3A88" w:rsidP="007C3A88">
      <w:pPr>
        <w:pStyle w:val="SingleTxt"/>
        <w:ind w:left="1695"/>
      </w:pPr>
      <w:r w:rsidRPr="00CC052C">
        <w:rPr>
          <w:rFonts w:hint="eastAsia"/>
        </w:rPr>
        <w:tab/>
        <w:t>(a)</w:t>
      </w:r>
      <w:r w:rsidRPr="00CC052C">
        <w:rPr>
          <w:rFonts w:hint="eastAsia"/>
        </w:rPr>
        <w:tab/>
      </w:r>
      <w:r w:rsidRPr="00CC052C">
        <w:rPr>
          <w:rFonts w:hint="eastAsia"/>
        </w:rPr>
        <w:t>在其管辖或控制的任何领土内采取有效的立法、行政、司法或其他预防措施；</w:t>
      </w:r>
    </w:p>
    <w:p w:rsidR="007C3A88" w:rsidRPr="00CC052C" w:rsidRDefault="007C3A88" w:rsidP="007C3A88">
      <w:pPr>
        <w:pStyle w:val="SingleTxt"/>
        <w:ind w:left="1695"/>
      </w:pPr>
      <w:r w:rsidRPr="00CC052C">
        <w:rPr>
          <w:rFonts w:hint="eastAsia"/>
        </w:rPr>
        <w:tab/>
        <w:t>(b)</w:t>
      </w:r>
      <w:r w:rsidRPr="00CC052C">
        <w:rPr>
          <w:rFonts w:hint="eastAsia"/>
        </w:rPr>
        <w:tab/>
      </w:r>
      <w:r w:rsidRPr="00CC052C">
        <w:rPr>
          <w:rFonts w:hint="eastAsia"/>
        </w:rPr>
        <w:t>与其他国家和有关政府间组织合作，并酌情与其他组织合作。</w:t>
      </w:r>
    </w:p>
    <w:p w:rsidR="007C3A88" w:rsidRPr="00CC052C" w:rsidRDefault="007C3A88" w:rsidP="007C3A88">
      <w:pPr>
        <w:pStyle w:val="SingleTxt"/>
        <w:ind w:left="1695"/>
      </w:pPr>
      <w:r w:rsidRPr="00CC052C">
        <w:t xml:space="preserve">2.  </w:t>
      </w:r>
      <w:r w:rsidRPr="00CC052C">
        <w:t>任何特殊情况，</w:t>
      </w:r>
      <w:r w:rsidRPr="00CC052C">
        <w:rPr>
          <w:rFonts w:hint="eastAsia"/>
        </w:rPr>
        <w:t>诸如</w:t>
      </w:r>
      <w:r w:rsidRPr="00CC052C">
        <w:t>武装冲突、国内政局动荡</w:t>
      </w:r>
      <w:r w:rsidRPr="00CC052C">
        <w:rPr>
          <w:rFonts w:hint="eastAsia"/>
        </w:rPr>
        <w:t>、</w:t>
      </w:r>
      <w:r w:rsidRPr="00CC052C">
        <w:t>任何其他公共紧急状态</w:t>
      </w:r>
      <w:r w:rsidRPr="00CC052C">
        <w:rPr>
          <w:rFonts w:hint="eastAsia"/>
        </w:rPr>
        <w:t>等</w:t>
      </w:r>
      <w:r w:rsidRPr="00CC052C">
        <w:t>，均不得援引为施行危害人类罪的理由。</w:t>
      </w:r>
      <w:r w:rsidRPr="00CC052C">
        <w:rPr>
          <w:w w:val="150"/>
          <w:vertAlign w:val="superscript"/>
        </w:rPr>
        <w:footnoteReference w:id="83"/>
      </w:r>
    </w:p>
    <w:p w:rsidR="007C3A88" w:rsidRPr="00CC052C" w:rsidRDefault="007C3A88" w:rsidP="007C3A88">
      <w:pPr>
        <w:pStyle w:val="SingleTxt"/>
        <w:spacing w:after="0" w:line="120" w:lineRule="exact"/>
        <w:rPr>
          <w:sz w:val="10"/>
        </w:rPr>
      </w:pPr>
    </w:p>
    <w:p w:rsidR="00EF7649" w:rsidRPr="00EF7649" w:rsidRDefault="00EF7649" w:rsidP="00EF764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C052C">
        <w:rPr>
          <w:rFonts w:hint="eastAsia"/>
          <w:lang w:val="fr-CH"/>
        </w:rPr>
        <w:tab/>
        <w:t>2.</w:t>
      </w:r>
      <w:r w:rsidRPr="00CC052C">
        <w:rPr>
          <w:rFonts w:hint="eastAsia"/>
          <w:lang w:val="fr-CH"/>
        </w:rPr>
        <w:tab/>
        <w:t>委员会第六十七届会议暂时通过的条款草案案文及其评注</w:t>
      </w:r>
    </w:p>
    <w:p w:rsidR="007C3A88" w:rsidRPr="00CC052C" w:rsidRDefault="007C3A88" w:rsidP="007C3A88">
      <w:pPr>
        <w:pStyle w:val="SingleTxt"/>
        <w:spacing w:after="0" w:line="120" w:lineRule="exact"/>
        <w:rPr>
          <w:sz w:val="10"/>
        </w:rPr>
      </w:pPr>
    </w:p>
    <w:p w:rsidR="00EF7649" w:rsidRPr="00EF7649" w:rsidRDefault="00EF7649" w:rsidP="00EF7649">
      <w:pPr>
        <w:pStyle w:val="SingleTxt"/>
        <w:spacing w:after="0" w:line="120" w:lineRule="exact"/>
        <w:rPr>
          <w:sz w:val="10"/>
          <w:lang w:val="fr-CH"/>
        </w:rPr>
      </w:pPr>
    </w:p>
    <w:p w:rsidR="00EF7649" w:rsidRPr="00EF7649" w:rsidRDefault="00EF7649" w:rsidP="00EF7649">
      <w:pPr>
        <w:pStyle w:val="SingleTxt"/>
        <w:spacing w:after="0" w:line="120" w:lineRule="exact"/>
        <w:rPr>
          <w:sz w:val="10"/>
          <w:lang w:val="fr-CH"/>
        </w:rPr>
      </w:pPr>
    </w:p>
    <w:p w:rsidR="007C3A88" w:rsidRPr="00CC052C" w:rsidRDefault="007C3A88" w:rsidP="007C3A88">
      <w:pPr>
        <w:pStyle w:val="SingleTxt"/>
        <w:rPr>
          <w:lang w:val="fr-CH"/>
        </w:rPr>
      </w:pPr>
      <w:r w:rsidRPr="00CC052C">
        <w:rPr>
          <w:rFonts w:hint="eastAsia"/>
          <w:lang w:val="fr-CH"/>
        </w:rPr>
        <w:t xml:space="preserve">117. </w:t>
      </w:r>
      <w:r w:rsidRPr="00CC052C">
        <w:rPr>
          <w:rFonts w:hint="eastAsia"/>
          <w:lang w:val="fr-CH"/>
        </w:rPr>
        <w:t>委员会第六十七届会议暂时通过的条款草案案文及其评注载录如下。</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r>
      <w:r w:rsidRPr="00CC052C">
        <w:t>第</w:t>
      </w:r>
      <w:r w:rsidRPr="00373D8C">
        <w:rPr>
          <w:rFonts w:asciiTheme="majorBidi" w:hAnsiTheme="majorBidi" w:cstheme="majorBidi"/>
        </w:rPr>
        <w:t>1</w:t>
      </w:r>
      <w:r w:rsidRPr="00CC052C">
        <w:t>条</w:t>
      </w:r>
      <w:r w:rsidRPr="00CC052C">
        <w:rPr>
          <w:rFonts w:hint="eastAsia"/>
        </w:rPr>
        <w:br/>
        <w:t>范围</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rPr>
          <w:rFonts w:hint="eastAsia"/>
        </w:rPr>
        <w:tab/>
      </w:r>
      <w:r w:rsidRPr="00CC052C">
        <w:rPr>
          <w:rFonts w:hint="eastAsia"/>
        </w:rPr>
        <w:t>本条款草案适用于防止和惩治危害人类罪。</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rPr>
          <w:rFonts w:hint="eastAsia"/>
        </w:rPr>
        <w:tab/>
      </w:r>
      <w:r w:rsidRPr="00CC052C">
        <w:t>评注</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t>(1)</w:t>
      </w:r>
      <w:r w:rsidRPr="00CC052C">
        <w:rPr>
          <w:rFonts w:hint="eastAsia"/>
        </w:rPr>
        <w:t xml:space="preserve">  </w:t>
      </w:r>
      <w:r w:rsidRPr="00CC052C">
        <w:t>第</w:t>
      </w:r>
      <w:r w:rsidRPr="00CC052C">
        <w:t>1</w:t>
      </w:r>
      <w:r w:rsidRPr="00CC052C">
        <w:t>条草案</w:t>
      </w:r>
      <w:r w:rsidRPr="00CC052C">
        <w:rPr>
          <w:rFonts w:hint="eastAsia"/>
        </w:rPr>
        <w:t>确定本</w:t>
      </w:r>
      <w:r w:rsidRPr="00CC052C">
        <w:t>条款草案</w:t>
      </w:r>
      <w:r w:rsidRPr="00CC052C">
        <w:rPr>
          <w:rFonts w:hint="eastAsia"/>
        </w:rPr>
        <w:t>的范围，即，写明本条款草案适用于防止和惩治危害人类罪。防止危害人类罪所侧重的是排除这种罪行的发生，惩治</w:t>
      </w:r>
      <w:r w:rsidRPr="00CC052C">
        <w:t>危害人类罪</w:t>
      </w:r>
      <w:r w:rsidRPr="00CC052C">
        <w:rPr>
          <w:rFonts w:hint="eastAsia"/>
        </w:rPr>
        <w:t>所侧重的是发生这种行后或在这种行为发生过程中对行为人的刑事诉讼。</w:t>
      </w:r>
    </w:p>
    <w:p w:rsidR="007C3A88" w:rsidRPr="00CC052C" w:rsidRDefault="007C3A88" w:rsidP="007C3A88">
      <w:pPr>
        <w:pStyle w:val="SingleTxt"/>
      </w:pPr>
      <w:r w:rsidRPr="00CC052C">
        <w:t>(2)</w:t>
      </w:r>
      <w:r w:rsidRPr="00CC052C">
        <w:rPr>
          <w:rFonts w:hint="eastAsia"/>
        </w:rPr>
        <w:t xml:space="preserve">  </w:t>
      </w:r>
      <w:r w:rsidRPr="00CC052C">
        <w:rPr>
          <w:rFonts w:hint="eastAsia"/>
        </w:rPr>
        <w:t>本</w:t>
      </w:r>
      <w:r w:rsidRPr="00CC052C">
        <w:t>条款草案</w:t>
      </w:r>
      <w:r w:rsidRPr="00CC052C">
        <w:rPr>
          <w:rFonts w:hint="eastAsia"/>
        </w:rPr>
        <w:t>最主要的着重点就是惩治</w:t>
      </w:r>
      <w:r w:rsidRPr="00CC052C">
        <w:t>危害人类</w:t>
      </w:r>
      <w:r w:rsidRPr="00CC052C">
        <w:rPr>
          <w:rFonts w:hint="eastAsia"/>
        </w:rPr>
        <w:t>罪，这种罪行无论发生在何地都属严重国际罪行。</w:t>
      </w:r>
      <w:r w:rsidRPr="00CC052C">
        <w:t>本条款草案</w:t>
      </w:r>
      <w:r w:rsidRPr="00CC052C">
        <w:rPr>
          <w:rFonts w:hint="eastAsia"/>
        </w:rPr>
        <w:t>不处理其他严重国际罪行，诸如灭绝种族罪、战争罪或侵略罪。虽然有一种意见认为本专题或许也可包括这些罪行，但委员会决定此处的焦点应是</w:t>
      </w:r>
      <w:r w:rsidRPr="00CC052C">
        <w:t>危害人类罪</w:t>
      </w:r>
      <w:r w:rsidRPr="00CC052C">
        <w:rPr>
          <w:rFonts w:hint="eastAsia"/>
        </w:rPr>
        <w:t>。</w:t>
      </w:r>
    </w:p>
    <w:p w:rsidR="007C3A88" w:rsidRPr="00CC052C" w:rsidRDefault="007C3A88" w:rsidP="007C3A88">
      <w:pPr>
        <w:pStyle w:val="SingleTxt"/>
      </w:pPr>
      <w:r w:rsidRPr="00CC052C">
        <w:t xml:space="preserve">(3) </w:t>
      </w:r>
      <w:r w:rsidRPr="00CC052C">
        <w:rPr>
          <w:rFonts w:hint="eastAsia"/>
        </w:rPr>
        <w:t xml:space="preserve"> </w:t>
      </w:r>
      <w:r w:rsidRPr="00CC052C">
        <w:rPr>
          <w:rFonts w:hint="eastAsia"/>
        </w:rPr>
        <w:t>此外，本</w:t>
      </w:r>
      <w:r w:rsidRPr="00CC052C">
        <w:t>条款草案</w:t>
      </w:r>
      <w:r w:rsidRPr="00CC052C">
        <w:rPr>
          <w:rFonts w:hint="eastAsia"/>
        </w:rPr>
        <w:t>也将避免与相关的现有条约相冲突。例如，本</w:t>
      </w:r>
      <w:r w:rsidRPr="00CC052C">
        <w:t>条款草案</w:t>
      </w:r>
      <w:r w:rsidRPr="00CC052C">
        <w:rPr>
          <w:rFonts w:hint="eastAsia"/>
        </w:rPr>
        <w:t>将避免与有关时效法、难民、强迫失踪和涉及</w:t>
      </w:r>
      <w:r w:rsidRPr="00CC052C">
        <w:t>危害人类罪</w:t>
      </w:r>
      <w:r w:rsidRPr="00CC052C">
        <w:rPr>
          <w:rFonts w:hint="eastAsia"/>
        </w:rPr>
        <w:t>的其他事项的条约发生冲突。在适当的时候，将考虑通过一项或多项条款草案处理这种冲突。</w:t>
      </w:r>
    </w:p>
    <w:p w:rsidR="007C3A88" w:rsidRPr="00CC052C" w:rsidRDefault="007C3A88" w:rsidP="007C3A88">
      <w:pPr>
        <w:pStyle w:val="SingleTxt"/>
      </w:pPr>
      <w:r w:rsidRPr="00CC052C">
        <w:t xml:space="preserve">(4) </w:t>
      </w:r>
      <w:r w:rsidRPr="00CC052C">
        <w:rPr>
          <w:rFonts w:hint="eastAsia"/>
        </w:rPr>
        <w:t xml:space="preserve"> </w:t>
      </w:r>
      <w:r w:rsidRPr="00CC052C">
        <w:rPr>
          <w:rFonts w:hint="eastAsia"/>
        </w:rPr>
        <w:t>同样，本</w:t>
      </w:r>
      <w:r w:rsidRPr="00CC052C">
        <w:t>条款草案</w:t>
      </w:r>
      <w:r w:rsidRPr="00CC052C">
        <w:rPr>
          <w:rFonts w:hint="eastAsia"/>
        </w:rPr>
        <w:t>将避免与在国际或“混合”</w:t>
      </w:r>
      <w:r w:rsidRPr="00CC052C">
        <w:t>(</w:t>
      </w:r>
      <w:r w:rsidRPr="00CC052C">
        <w:rPr>
          <w:rFonts w:hint="eastAsia"/>
        </w:rPr>
        <w:t>兼有国际法和国内法要素</w:t>
      </w:r>
      <w:r w:rsidRPr="00CC052C">
        <w:t>)</w:t>
      </w:r>
      <w:r w:rsidRPr="00CC052C">
        <w:rPr>
          <w:rFonts w:hint="eastAsia"/>
        </w:rPr>
        <w:t>刑事法庭或裁判庭</w:t>
      </w:r>
      <w:r w:rsidRPr="00CE568E">
        <w:rPr>
          <w:rFonts w:hint="eastAsia"/>
          <w:spacing w:val="-50"/>
        </w:rPr>
        <w:t>―</w:t>
      </w:r>
      <w:r w:rsidRPr="00CC052C">
        <w:rPr>
          <w:rFonts w:hint="eastAsia"/>
        </w:rPr>
        <w:t>―包括国际刑事法院</w:t>
      </w:r>
      <w:r w:rsidRPr="00CC052C">
        <w:t>(</w:t>
      </w:r>
      <w:r w:rsidRPr="00CC052C">
        <w:rPr>
          <w:rFonts w:hint="eastAsia"/>
        </w:rPr>
        <w:t>下称“</w:t>
      </w:r>
      <w:r w:rsidRPr="00CC052C">
        <w:t>国际刑院</w:t>
      </w:r>
      <w:r w:rsidRPr="00CC052C">
        <w:rPr>
          <w:rFonts w:hint="eastAsia"/>
        </w:rPr>
        <w:t>”</w:t>
      </w:r>
      <w:r w:rsidRPr="00CC052C">
        <w:t>)</w:t>
      </w:r>
      <w:r w:rsidRPr="00CE568E">
        <w:rPr>
          <w:rFonts w:hint="eastAsia"/>
          <w:spacing w:val="-50"/>
        </w:rPr>
        <w:t>―</w:t>
      </w:r>
      <w:r w:rsidRPr="00CC052C">
        <w:rPr>
          <w:rFonts w:hint="eastAsia"/>
        </w:rPr>
        <w:t>―组织章程之下产生的国家义务发生冲突。设立国际刑院的《罗马规约》</w:t>
      </w:r>
      <w:bookmarkStart w:id="6" w:name="_Ref295828966"/>
      <w:r w:rsidRPr="00CC052C">
        <w:rPr>
          <w:w w:val="150"/>
          <w:vertAlign w:val="superscript"/>
        </w:rPr>
        <w:footnoteReference w:id="84"/>
      </w:r>
      <w:bookmarkEnd w:id="6"/>
      <w:r w:rsidRPr="00CC052C">
        <w:rPr>
          <w:rFonts w:hint="eastAsia"/>
        </w:rPr>
        <w:t xml:space="preserve"> </w:t>
      </w:r>
      <w:r w:rsidRPr="00CC052C">
        <w:rPr>
          <w:rFonts w:hint="eastAsia"/>
        </w:rPr>
        <w:t>规范</w:t>
      </w:r>
      <w:r w:rsidRPr="00CC052C">
        <w:t>国际刑院</w:t>
      </w:r>
      <w:r w:rsidRPr="00CC052C">
        <w:rPr>
          <w:rFonts w:hint="eastAsia"/>
        </w:rPr>
        <w:t>与缔约国的关系</w:t>
      </w:r>
      <w:r w:rsidRPr="00CC052C">
        <w:t>(</w:t>
      </w:r>
      <w:r w:rsidRPr="00CC052C">
        <w:rPr>
          <w:rFonts w:hint="eastAsia"/>
        </w:rPr>
        <w:t>“纵向”关系</w:t>
      </w:r>
      <w:r w:rsidRPr="00CC052C">
        <w:t>)</w:t>
      </w:r>
      <w:r w:rsidRPr="00CC052C">
        <w:rPr>
          <w:rFonts w:hint="eastAsia"/>
        </w:rPr>
        <w:t>，而</w:t>
      </w:r>
      <w:r w:rsidRPr="00CC052C">
        <w:t>条款草案</w:t>
      </w:r>
      <w:r w:rsidRPr="00CC052C">
        <w:rPr>
          <w:rFonts w:hint="eastAsia"/>
        </w:rPr>
        <w:t>的着重点则将是国内法的制定和国家间的合作</w:t>
      </w:r>
      <w:r w:rsidRPr="00CC052C">
        <w:t>(</w:t>
      </w:r>
      <w:r w:rsidRPr="00CC052C">
        <w:rPr>
          <w:rFonts w:hint="eastAsia"/>
        </w:rPr>
        <w:t>“横向”关系</w:t>
      </w:r>
      <w:r w:rsidRPr="00CC052C">
        <w:t>)</w:t>
      </w:r>
      <w:r w:rsidRPr="00CC052C">
        <w:rPr>
          <w:rFonts w:hint="eastAsia"/>
        </w:rPr>
        <w:t>。关于“国际合作和司法协助”的第九编默示承认，在处理国际刑院管辖范</w:t>
      </w:r>
      <w:r w:rsidRPr="00CC052C">
        <w:rPr>
          <w:rFonts w:hint="eastAsia"/>
        </w:rPr>
        <w:lastRenderedPageBreak/>
        <w:t>围内的罪行问题上的国家间合作将继续存在，而不妨碍《罗马规约》，但没有对这种合作作出规定。</w:t>
      </w:r>
      <w:r w:rsidRPr="00CC052C">
        <w:t>本条款草案</w:t>
      </w:r>
      <w:r w:rsidRPr="00CC052C">
        <w:rPr>
          <w:rFonts w:hint="eastAsia"/>
        </w:rPr>
        <w:t>既涉及在防止</w:t>
      </w:r>
      <w:r w:rsidRPr="00CC052C">
        <w:t>危害人类罪</w:t>
      </w:r>
      <w:r w:rsidRPr="00CC052C">
        <w:rPr>
          <w:rFonts w:hint="eastAsia"/>
        </w:rPr>
        <w:t>方面的国家间合作，也涉及在国家法律系统内调查、缉捕、起诉、引渡和处罚这种罪行的行为人，这是与《罗马规约》一致的目标。通过这样做，本</w:t>
      </w:r>
      <w:r w:rsidRPr="00CC052C">
        <w:t>条款草案</w:t>
      </w:r>
      <w:r w:rsidRPr="00CC052C">
        <w:rPr>
          <w:rFonts w:hint="eastAsia"/>
        </w:rPr>
        <w:t>将有助于实施《罗马规约》规定的补充作用原则。最后，国际或“混合”刑事法庭或裁判庭组织章程处理的是对其管辖内的犯罪人的起诉，不是国家为事先防止此类罪行或在此类罪行发生时而应采取的步骤。</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r>
      <w:r w:rsidRPr="00CC052C">
        <w:t>第</w:t>
      </w:r>
      <w:r w:rsidRPr="00373D8C">
        <w:rPr>
          <w:rFonts w:asciiTheme="majorBidi" w:hAnsiTheme="majorBidi" w:cstheme="majorBidi"/>
        </w:rPr>
        <w:t>2</w:t>
      </w:r>
      <w:r w:rsidRPr="00CC052C">
        <w:t>条</w:t>
      </w:r>
      <w:r w:rsidRPr="00CC052C">
        <w:rPr>
          <w:rFonts w:hint="eastAsia"/>
        </w:rPr>
        <w:br/>
        <w:t>一般义务</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rPr>
          <w:rFonts w:hint="eastAsia"/>
        </w:rPr>
        <w:tab/>
      </w:r>
      <w:r w:rsidRPr="00CC052C">
        <w:t>危害人类罪，不论是否发生于武装冲突之时，均系国际法上的罪行，</w:t>
      </w:r>
      <w:r w:rsidRPr="00CC052C">
        <w:rPr>
          <w:rFonts w:hint="eastAsia"/>
        </w:rPr>
        <w:t>各国</w:t>
      </w:r>
      <w:r w:rsidRPr="00CC052C">
        <w:t>承允防止并惩治之。</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rPr>
          <w:rFonts w:hint="eastAsia"/>
        </w:rPr>
        <w:tab/>
      </w:r>
      <w:r w:rsidRPr="00CC052C">
        <w:rPr>
          <w:rFonts w:hint="eastAsia"/>
        </w:rPr>
        <w:tab/>
      </w:r>
      <w:r w:rsidRPr="00CC052C">
        <w:t>评注</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t xml:space="preserve">(1) </w:t>
      </w:r>
      <w:r w:rsidRPr="00CC052C">
        <w:rPr>
          <w:rFonts w:hint="eastAsia"/>
        </w:rPr>
        <w:t xml:space="preserve"> </w:t>
      </w:r>
      <w:r w:rsidRPr="00CC052C">
        <w:t>第</w:t>
      </w:r>
      <w:r w:rsidRPr="00CC052C">
        <w:t>2</w:t>
      </w:r>
      <w:r w:rsidRPr="00CC052C">
        <w:t>条草案</w:t>
      </w:r>
      <w:r w:rsidRPr="00CC052C">
        <w:rPr>
          <w:rFonts w:hint="eastAsia"/>
        </w:rPr>
        <w:t>规定国家防止和惩治</w:t>
      </w:r>
      <w:r w:rsidRPr="00CC052C">
        <w:t>危害人类罪</w:t>
      </w:r>
      <w:r w:rsidRPr="00CC052C">
        <w:rPr>
          <w:rFonts w:hint="eastAsia"/>
        </w:rPr>
        <w:t>的一般义务。这个一般义务的内容将通过在随后从第</w:t>
      </w:r>
      <w:r w:rsidRPr="00CC052C">
        <w:t>4</w:t>
      </w:r>
      <w:r w:rsidRPr="00CC052C">
        <w:t>条草案</w:t>
      </w:r>
      <w:r w:rsidRPr="00CC052C">
        <w:rPr>
          <w:rFonts w:hint="eastAsia"/>
        </w:rPr>
        <w:t>开始的若干条款草案中规定各种更为具体的义务加以处理。这些具体义务将规定各国在自己国家法律系统内须采取的步骤，以及与其他国家合作、与有关政府间组织合作，并酌情与其他组织合作。</w:t>
      </w:r>
    </w:p>
    <w:p w:rsidR="007C3A88" w:rsidRPr="00CC052C" w:rsidRDefault="007C3A88" w:rsidP="007C3A88">
      <w:pPr>
        <w:pStyle w:val="SingleTxt"/>
      </w:pPr>
      <w:r w:rsidRPr="00CC052C">
        <w:t xml:space="preserve">(2) </w:t>
      </w:r>
      <w:r w:rsidRPr="00CC052C">
        <w:rPr>
          <w:rFonts w:hint="eastAsia"/>
        </w:rPr>
        <w:t xml:space="preserve"> </w:t>
      </w:r>
      <w:r w:rsidRPr="00CC052C">
        <w:t>第</w:t>
      </w:r>
      <w:r w:rsidRPr="00CC052C">
        <w:t>2</w:t>
      </w:r>
      <w:r w:rsidRPr="00CC052C">
        <w:t>条草案</w:t>
      </w:r>
      <w:r w:rsidRPr="00CC052C">
        <w:rPr>
          <w:rFonts w:hint="eastAsia"/>
        </w:rPr>
        <w:t>是陈述这个一般义务，承认</w:t>
      </w:r>
      <w:r w:rsidRPr="00CC052C">
        <w:t>危害人类罪</w:t>
      </w:r>
      <w:r w:rsidRPr="00CC052C">
        <w:rPr>
          <w:rFonts w:hint="eastAsia"/>
        </w:rPr>
        <w:t>是“国际法上的罪行”。在纽伦堡设立的国际军事法庭</w:t>
      </w:r>
      <w:r w:rsidRPr="00CC052C">
        <w:t>(</w:t>
      </w:r>
      <w:r w:rsidRPr="00CC052C">
        <w:rPr>
          <w:rFonts w:hint="eastAsia"/>
        </w:rPr>
        <w:t>下称“纽伦堡法庭”</w:t>
      </w:r>
      <w:r w:rsidRPr="00CC052C">
        <w:t>)</w:t>
      </w:r>
      <w:r w:rsidRPr="00CC052C">
        <w:rPr>
          <w:rFonts w:hint="eastAsia"/>
        </w:rPr>
        <w:t>的《组织法》</w:t>
      </w:r>
      <w:r w:rsidRPr="00CC052C">
        <w:t>(</w:t>
      </w:r>
      <w:r w:rsidRPr="00CC052C">
        <w:rPr>
          <w:rFonts w:hint="eastAsia"/>
        </w:rPr>
        <w:t>即“纽伦堡宪章”</w:t>
      </w:r>
      <w:r w:rsidRPr="00CC052C">
        <w:t>)</w:t>
      </w:r>
      <w:bookmarkStart w:id="7" w:name="_Ref295829819"/>
      <w:r w:rsidRPr="00CC052C">
        <w:rPr>
          <w:w w:val="150"/>
          <w:vertAlign w:val="superscript"/>
        </w:rPr>
        <w:footnoteReference w:id="85"/>
      </w:r>
      <w:r w:rsidRPr="00CC052C">
        <w:rPr>
          <w:rFonts w:hint="eastAsia"/>
        </w:rPr>
        <w:t xml:space="preserve"> </w:t>
      </w:r>
      <w:bookmarkEnd w:id="7"/>
      <w:r w:rsidRPr="00CC052C">
        <w:rPr>
          <w:rFonts w:hint="eastAsia"/>
        </w:rPr>
        <w:t>将“</w:t>
      </w:r>
      <w:r w:rsidRPr="00CC052C">
        <w:t>危害人</w:t>
      </w:r>
      <w:r w:rsidRPr="00CC052C">
        <w:rPr>
          <w:rFonts w:hint="eastAsia"/>
        </w:rPr>
        <w:t>类罪”列为纽伦堡法庭管辖的内容。除其他外，</w:t>
      </w:r>
      <w:r w:rsidRPr="00CC052C">
        <w:t>纽伦堡法庭</w:t>
      </w:r>
      <w:r w:rsidRPr="00CC052C">
        <w:rPr>
          <w:rFonts w:hint="eastAsia"/>
        </w:rPr>
        <w:t>指出，“个人可因违反国际法而受到惩治。违反国际法的罪行是由人而不是由抽象实体实施的，只有惩处实施这些罪行的个人，国际法的规定才能得到执行。”</w:t>
      </w:r>
      <w:bookmarkStart w:id="8" w:name="_Ref422813423"/>
      <w:r w:rsidRPr="00CC052C">
        <w:rPr>
          <w:w w:val="150"/>
          <w:vertAlign w:val="superscript"/>
        </w:rPr>
        <w:footnoteReference w:id="86"/>
      </w:r>
      <w:bookmarkEnd w:id="8"/>
      <w:r w:rsidRPr="00CC052C">
        <w:t xml:space="preserve"> </w:t>
      </w:r>
      <w:r w:rsidRPr="00CC052C">
        <w:t>危害人类罪</w:t>
      </w:r>
      <w:r w:rsidRPr="00CC052C">
        <w:rPr>
          <w:rFonts w:hint="eastAsia"/>
        </w:rPr>
        <w:t>也在</w:t>
      </w:r>
      <w:r w:rsidRPr="00CC052C">
        <w:t>东京法庭</w:t>
      </w:r>
      <w:r w:rsidRPr="00CC052C">
        <w:rPr>
          <w:rFonts w:hint="eastAsia"/>
        </w:rPr>
        <w:t>的管辖之内。</w:t>
      </w:r>
      <w:r w:rsidRPr="00CC052C">
        <w:rPr>
          <w:w w:val="150"/>
          <w:vertAlign w:val="superscript"/>
        </w:rPr>
        <w:footnoteReference w:id="87"/>
      </w:r>
      <w:r w:rsidRPr="00CC052C">
        <w:t xml:space="preserve"> </w:t>
      </w:r>
    </w:p>
    <w:p w:rsidR="007C3A88" w:rsidRPr="00CC052C" w:rsidRDefault="007C3A88" w:rsidP="007C3A88">
      <w:pPr>
        <w:pStyle w:val="SingleTxt"/>
      </w:pPr>
      <w:r w:rsidRPr="00CC052C">
        <w:t xml:space="preserve">(3) </w:t>
      </w:r>
      <w:r w:rsidRPr="00CC052C">
        <w:rPr>
          <w:rFonts w:hint="eastAsia"/>
        </w:rPr>
        <w:t xml:space="preserve"> </w:t>
      </w:r>
      <w:r w:rsidRPr="00CC052C">
        <w:rPr>
          <w:rFonts w:hint="eastAsia"/>
        </w:rPr>
        <w:t>联合国大会在</w:t>
      </w:r>
      <w:r w:rsidRPr="00CC052C">
        <w:rPr>
          <w:rFonts w:hint="eastAsia"/>
        </w:rPr>
        <w:t>1946</w:t>
      </w:r>
      <w:r w:rsidRPr="00CC052C">
        <w:rPr>
          <w:rFonts w:hint="eastAsia"/>
        </w:rPr>
        <w:t>年提到并重申了《纽伦堡宪章》所确认的国际法原则。</w:t>
      </w:r>
      <w:r w:rsidRPr="00CC052C">
        <w:rPr>
          <w:w w:val="150"/>
          <w:vertAlign w:val="superscript"/>
        </w:rPr>
        <w:footnoteReference w:id="88"/>
      </w:r>
      <w:r w:rsidRPr="00CC052C">
        <w:t xml:space="preserve"> </w:t>
      </w:r>
      <w:r w:rsidRPr="00CC052C">
        <w:rPr>
          <w:rFonts w:hint="eastAsia"/>
        </w:rPr>
        <w:t>大会还指示国际法委员会“编订”《纽伦堡宪章》原则并拟订一个治罪法草案。</w:t>
      </w:r>
      <w:r w:rsidRPr="00CC052C">
        <w:rPr>
          <w:w w:val="150"/>
          <w:vertAlign w:val="superscript"/>
        </w:rPr>
        <w:footnoteReference w:id="89"/>
      </w:r>
      <w:r w:rsidRPr="00CC052C">
        <w:t xml:space="preserve"> </w:t>
      </w:r>
      <w:r w:rsidRPr="00CC052C">
        <w:rPr>
          <w:rFonts w:hint="eastAsia"/>
        </w:rPr>
        <w:t>委员会于</w:t>
      </w:r>
      <w:r w:rsidRPr="00CC052C">
        <w:rPr>
          <w:rFonts w:hint="eastAsia"/>
        </w:rPr>
        <w:t>1950</w:t>
      </w:r>
      <w:r w:rsidRPr="00CC052C">
        <w:rPr>
          <w:rFonts w:hint="eastAsia"/>
        </w:rPr>
        <w:t>年拟出了“纽伦堡法庭组织法及法庭判决中所确认之国际法原则”，说明</w:t>
      </w:r>
      <w:r w:rsidRPr="00CC052C">
        <w:t>危害人类罪</w:t>
      </w:r>
      <w:r w:rsidRPr="00CC052C">
        <w:rPr>
          <w:rFonts w:hint="eastAsia"/>
        </w:rPr>
        <w:t>为“违反国际法应受处罚的罪行。”</w:t>
      </w:r>
      <w:r w:rsidRPr="00CC052C">
        <w:rPr>
          <w:w w:val="150"/>
          <w:vertAlign w:val="superscript"/>
        </w:rPr>
        <w:footnoteReference w:id="90"/>
      </w:r>
      <w:r w:rsidRPr="00CC052C">
        <w:t xml:space="preserve"> </w:t>
      </w:r>
      <w:r w:rsidRPr="00CC052C">
        <w:rPr>
          <w:rFonts w:hint="eastAsia"/>
        </w:rPr>
        <w:t>此外，委员会于</w:t>
      </w:r>
      <w:r w:rsidRPr="00CC052C">
        <w:rPr>
          <w:rFonts w:hint="eastAsia"/>
        </w:rPr>
        <w:t>1954</w:t>
      </w:r>
      <w:r w:rsidRPr="00CC052C">
        <w:rPr>
          <w:rFonts w:hint="eastAsia"/>
        </w:rPr>
        <w:t>年完成了《危害人类和平及安全治罪法草案》，其第二条第</w:t>
      </w:r>
      <w:r w:rsidRPr="00CC052C">
        <w:rPr>
          <w:rFonts w:hint="eastAsia"/>
        </w:rPr>
        <w:t>11</w:t>
      </w:r>
      <w:r w:rsidRPr="00CC052C">
        <w:rPr>
          <w:rFonts w:hint="eastAsia"/>
        </w:rPr>
        <w:t>款中列出了视为罪行的一系</w:t>
      </w:r>
      <w:r w:rsidRPr="00CC052C">
        <w:rPr>
          <w:rFonts w:hint="eastAsia"/>
        </w:rPr>
        <w:lastRenderedPageBreak/>
        <w:t>列不人道行为，这些行为今天均视为</w:t>
      </w:r>
      <w:r w:rsidRPr="00CC052C">
        <w:t>危害人类罪</w:t>
      </w:r>
      <w:r w:rsidRPr="00CC052C">
        <w:rPr>
          <w:rFonts w:hint="eastAsia"/>
        </w:rPr>
        <w:t>。该草案在第一条中写明：“本法所定之危害人类和平及安全的罪行系国际法上的罪行，其责任人应受惩罚。”</w:t>
      </w:r>
      <w:r w:rsidRPr="00CC052C">
        <w:rPr>
          <w:w w:val="150"/>
          <w:vertAlign w:val="superscript"/>
        </w:rPr>
        <w:footnoteReference w:id="91"/>
      </w:r>
      <w:r w:rsidRPr="00CC052C">
        <w:t xml:space="preserve"> </w:t>
      </w:r>
    </w:p>
    <w:p w:rsidR="007C3A88" w:rsidRPr="00CC052C" w:rsidRDefault="007C3A88" w:rsidP="007C3A88">
      <w:pPr>
        <w:pStyle w:val="SingleTxt"/>
      </w:pPr>
      <w:r w:rsidRPr="00CC052C">
        <w:t>(4)</w:t>
      </w:r>
      <w:r w:rsidRPr="00CC052C">
        <w:rPr>
          <w:rFonts w:hint="eastAsia"/>
        </w:rPr>
        <w:t xml:space="preserve">  </w:t>
      </w:r>
      <w:r w:rsidRPr="00CC052C">
        <w:rPr>
          <w:rFonts w:hint="eastAsia"/>
        </w:rPr>
        <w:t>将</w:t>
      </w:r>
      <w:r w:rsidRPr="00CC052C">
        <w:t>危害人类罪</w:t>
      </w:r>
      <w:r w:rsidRPr="00CC052C">
        <w:rPr>
          <w:rFonts w:hint="eastAsia"/>
        </w:rPr>
        <w:t>定性为“国际法上的罪行”，表明这种罪行是自然成立的，不论相关行为在国内法之下是否被定为罪行都一样。《纽伦堡宪章》界定</w:t>
      </w:r>
      <w:r w:rsidRPr="00CC052C">
        <w:t>危害人类罪</w:t>
      </w:r>
      <w:r w:rsidRPr="00CC052C">
        <w:rPr>
          <w:rFonts w:hint="eastAsia"/>
        </w:rPr>
        <w:t>是实施某些行为“，不论是否违反此等行为所在地的国内法。”</w:t>
      </w:r>
      <w:r w:rsidRPr="00CC052C">
        <w:rPr>
          <w:w w:val="150"/>
          <w:vertAlign w:val="superscript"/>
        </w:rPr>
        <w:footnoteReference w:id="92"/>
      </w:r>
      <w:r w:rsidRPr="00CC052C">
        <w:t xml:space="preserve"> 1996</w:t>
      </w:r>
      <w:r w:rsidRPr="00CC052C">
        <w:rPr>
          <w:rFonts w:hint="eastAsia"/>
        </w:rPr>
        <w:t>年，委员会完成了《危害人类和平及安全治罪法草案》，其中除其他外规定</w:t>
      </w:r>
      <w:r w:rsidRPr="00CC052C">
        <w:t>危害人类罪</w:t>
      </w:r>
      <w:r w:rsidRPr="00CC052C">
        <w:rPr>
          <w:rFonts w:hint="eastAsia"/>
        </w:rPr>
        <w:t>是“在国际法范围内、就此而论可予惩罚、而不论是否可依国内法予以惩罚的罪行。”</w:t>
      </w:r>
      <w:r w:rsidRPr="00CC052C">
        <w:rPr>
          <w:w w:val="150"/>
          <w:vertAlign w:val="superscript"/>
        </w:rPr>
        <w:footnoteReference w:id="93"/>
      </w:r>
      <w:r w:rsidRPr="00CC052C">
        <w:rPr>
          <w:rFonts w:hint="eastAsia"/>
        </w:rPr>
        <w:t xml:space="preserve"> </w:t>
      </w:r>
      <w:r w:rsidRPr="00CC052C">
        <w:rPr>
          <w:rFonts w:hint="eastAsia"/>
        </w:rPr>
        <w:t>这种罪行的严重性是很清楚的；委员会以前就指出过，禁止</w:t>
      </w:r>
      <w:r w:rsidRPr="00CC052C">
        <w:t>危害人类罪</w:t>
      </w:r>
      <w:r w:rsidRPr="00CC052C">
        <w:rPr>
          <w:rFonts w:hint="eastAsia"/>
        </w:rPr>
        <w:t>“被明确接受和承认</w:t>
      </w:r>
      <w:bookmarkStart w:id="9" w:name="_Ref284942900"/>
      <w:bookmarkEnd w:id="9"/>
      <w:r w:rsidRPr="00CC052C">
        <w:rPr>
          <w:rFonts w:hint="eastAsia"/>
        </w:rPr>
        <w:t>”为强制性国际法规范。</w:t>
      </w:r>
      <w:r w:rsidRPr="00CC052C">
        <w:rPr>
          <w:w w:val="150"/>
          <w:vertAlign w:val="superscript"/>
        </w:rPr>
        <w:footnoteReference w:id="94"/>
      </w:r>
    </w:p>
    <w:p w:rsidR="007C3A88" w:rsidRPr="00CC052C" w:rsidRDefault="007C3A88" w:rsidP="007C3A88">
      <w:pPr>
        <w:pStyle w:val="SingleTxt"/>
      </w:pPr>
      <w:r w:rsidRPr="00CC052C">
        <w:t xml:space="preserve">(5) </w:t>
      </w:r>
      <w:r w:rsidRPr="00CC052C">
        <w:rPr>
          <w:rFonts w:hint="eastAsia"/>
        </w:rPr>
        <w:t xml:space="preserve"> </w:t>
      </w:r>
      <w:r w:rsidRPr="00CC052C">
        <w:t>第</w:t>
      </w:r>
      <w:r w:rsidRPr="00CC052C">
        <w:t>2</w:t>
      </w:r>
      <w:r w:rsidRPr="00CC052C">
        <w:t>条草案</w:t>
      </w:r>
      <w:r w:rsidRPr="00CC052C">
        <w:rPr>
          <w:rFonts w:hint="eastAsia"/>
        </w:rPr>
        <w:t>还确定</w:t>
      </w:r>
      <w:r w:rsidRPr="00CC052C">
        <w:t>危害人类罪</w:t>
      </w:r>
      <w:r w:rsidRPr="00CC052C">
        <w:rPr>
          <w:rFonts w:hint="eastAsia"/>
        </w:rPr>
        <w:t>“</w:t>
      </w:r>
      <w:r w:rsidRPr="00CC052C">
        <w:t>不论是否发生于武装冲突之时</w:t>
      </w:r>
      <w:r w:rsidRPr="00CC052C">
        <w:rPr>
          <w:rFonts w:hint="eastAsia"/>
        </w:rPr>
        <w:t>，”都是国际法上的罪行。提及“武装冲突”应理解为包括国际和非国际武装冲突。经《柏林议定书》</w:t>
      </w:r>
      <w:r w:rsidRPr="00CC052C">
        <w:rPr>
          <w:w w:val="150"/>
          <w:vertAlign w:val="superscript"/>
        </w:rPr>
        <w:footnoteReference w:id="95"/>
      </w:r>
      <w:r w:rsidRPr="00CC052C">
        <w:rPr>
          <w:rFonts w:hint="eastAsia"/>
        </w:rPr>
        <w:t xml:space="preserve"> </w:t>
      </w:r>
      <w:r w:rsidRPr="00CC052C">
        <w:rPr>
          <w:rFonts w:hint="eastAsia"/>
        </w:rPr>
        <w:t>修正的《纽伦堡宪章》关于</w:t>
      </w:r>
      <w:r w:rsidRPr="00CC052C">
        <w:t>危害人类罪</w:t>
      </w:r>
      <w:r w:rsidRPr="00CC052C">
        <w:rPr>
          <w:rFonts w:hint="eastAsia"/>
        </w:rPr>
        <w:t>的定义与国际武装冲突的存在相联系，所涉行为构成国际法上的罪行的条件是，其发生“系随实施”</w:t>
      </w:r>
      <w:r w:rsidRPr="00CC052C">
        <w:t>纽伦堡法庭</w:t>
      </w:r>
      <w:r w:rsidRPr="00CC052C">
        <w:rPr>
          <w:rFonts w:hint="eastAsia"/>
        </w:rPr>
        <w:t>管辖范围内“任何罪行”</w:t>
      </w:r>
      <w:r w:rsidRPr="00CC052C">
        <w:rPr>
          <w:rFonts w:hint="eastAsia"/>
          <w:spacing w:val="-50"/>
        </w:rPr>
        <w:t>―</w:t>
      </w:r>
      <w:r w:rsidRPr="00CC052C">
        <w:rPr>
          <w:rFonts w:hint="eastAsia"/>
        </w:rPr>
        <w:t>―即危害和平罪或战争罪</w:t>
      </w:r>
      <w:r w:rsidRPr="00CC052C">
        <w:rPr>
          <w:rFonts w:hint="eastAsia"/>
          <w:spacing w:val="-50"/>
        </w:rPr>
        <w:t>―</w:t>
      </w:r>
      <w:r w:rsidRPr="00CC052C">
        <w:rPr>
          <w:rFonts w:hint="eastAsia"/>
        </w:rPr>
        <w:t>―“而起或与之有关者”。在这个意义上，处理传统上属一国国内管辖范围的事项的依据在于罪行与国家间冲突的联</w:t>
      </w:r>
      <w:r w:rsidRPr="00CE568E">
        <w:rPr>
          <w:rFonts w:hint="eastAsia"/>
          <w:spacing w:val="4"/>
        </w:rPr>
        <w:t>系。而这种联系又意味着大规模发生最严重罪行，或许作为某种行为形态的一部分。</w:t>
      </w:r>
      <w:r w:rsidRPr="00CE568E">
        <w:rPr>
          <w:spacing w:val="4"/>
          <w:w w:val="150"/>
          <w:vertAlign w:val="superscript"/>
        </w:rPr>
        <w:footnoteReference w:id="96"/>
      </w:r>
      <w:r w:rsidRPr="00CE568E">
        <w:rPr>
          <w:spacing w:val="4"/>
        </w:rPr>
        <w:t xml:space="preserve"> </w:t>
      </w:r>
      <w:r w:rsidRPr="00CC052C">
        <w:rPr>
          <w:rFonts w:hint="eastAsia"/>
        </w:rPr>
        <w:t>负责审判第三帝国高级政治和军事领导人的</w:t>
      </w:r>
      <w:r w:rsidRPr="00CC052C">
        <w:t>纽伦堡法庭</w:t>
      </w:r>
      <w:r w:rsidRPr="00CC052C">
        <w:rPr>
          <w:rFonts w:hint="eastAsia"/>
        </w:rPr>
        <w:t>判定若干被告在战争期间犯</w:t>
      </w:r>
      <w:r w:rsidRPr="00CC052C">
        <w:t>危害人类罪</w:t>
      </w:r>
      <w:r w:rsidRPr="00CC052C">
        <w:rPr>
          <w:rFonts w:hint="eastAsia"/>
        </w:rPr>
        <w:t>，只是有些情况下这些罪行与</w:t>
      </w:r>
      <w:r w:rsidRPr="00CC052C">
        <w:t>纽伦堡法庭</w:t>
      </w:r>
      <w:r w:rsidRPr="00CC052C">
        <w:rPr>
          <w:rFonts w:hint="eastAsia"/>
        </w:rPr>
        <w:t>管辖范围内的其他罪行之间的关系不够明确。</w:t>
      </w:r>
      <w:bookmarkStart w:id="10" w:name="_Ref295834131"/>
      <w:r w:rsidRPr="00CC052C">
        <w:rPr>
          <w:w w:val="150"/>
          <w:vertAlign w:val="superscript"/>
        </w:rPr>
        <w:footnoteReference w:id="97"/>
      </w:r>
      <w:bookmarkEnd w:id="10"/>
    </w:p>
    <w:p w:rsidR="007C3A88" w:rsidRPr="00CE568E" w:rsidRDefault="007C3A88" w:rsidP="007C3A88">
      <w:pPr>
        <w:pStyle w:val="SingleTxt"/>
        <w:rPr>
          <w:spacing w:val="6"/>
        </w:rPr>
      </w:pPr>
      <w:r w:rsidRPr="00CC052C">
        <w:lastRenderedPageBreak/>
        <w:t xml:space="preserve">(6) </w:t>
      </w:r>
      <w:r w:rsidRPr="00CC052C">
        <w:rPr>
          <w:rFonts w:hint="eastAsia"/>
        </w:rPr>
        <w:t xml:space="preserve"> </w:t>
      </w:r>
      <w:r w:rsidRPr="00CC052C">
        <w:rPr>
          <w:rFonts w:hint="eastAsia"/>
        </w:rPr>
        <w:t>然而，委员会</w:t>
      </w:r>
      <w:r w:rsidRPr="00CC052C">
        <w:t>1950</w:t>
      </w:r>
      <w:r w:rsidRPr="00CC052C">
        <w:rPr>
          <w:rFonts w:hint="eastAsia"/>
        </w:rPr>
        <w:t>年“</w:t>
      </w:r>
      <w:r w:rsidRPr="00CC052C">
        <w:rPr>
          <w:rFonts w:hint="eastAsia"/>
          <w:iCs/>
        </w:rPr>
        <w:t>纽伦堡法庭组织法及法庭判决中所确认之原则”</w:t>
      </w:r>
      <w:r w:rsidRPr="00CC052C">
        <w:rPr>
          <w:rFonts w:hint="eastAsia"/>
        </w:rPr>
        <w:t>在原则六</w:t>
      </w:r>
      <w:r w:rsidRPr="00CC052C">
        <w:t>(</w:t>
      </w:r>
      <w:r w:rsidRPr="00CC052C">
        <w:rPr>
          <w:rFonts w:hint="eastAsia"/>
        </w:rPr>
        <w:t>三</w:t>
      </w:r>
      <w:r w:rsidRPr="00CC052C">
        <w:t>)</w:t>
      </w:r>
      <w:r w:rsidRPr="00CC052C">
        <w:rPr>
          <w:rFonts w:hint="eastAsia"/>
        </w:rPr>
        <w:t>中界定</w:t>
      </w:r>
      <w:r w:rsidRPr="00CC052C">
        <w:t>危害人类罪</w:t>
      </w:r>
      <w:r w:rsidRPr="00CC052C">
        <w:rPr>
          <w:rFonts w:hint="eastAsia"/>
        </w:rPr>
        <w:t>的方式却并不要求存在与武装冲突的联系。</w:t>
      </w:r>
      <w:r w:rsidRPr="00CC052C">
        <w:rPr>
          <w:w w:val="150"/>
          <w:vertAlign w:val="superscript"/>
        </w:rPr>
        <w:footnoteReference w:id="98"/>
      </w:r>
      <w:r w:rsidRPr="00CC052C">
        <w:t xml:space="preserve"> </w:t>
      </w:r>
      <w:r w:rsidRPr="00CC052C">
        <w:rPr>
          <w:rFonts w:hint="eastAsia"/>
        </w:rPr>
        <w:t>在该原则的</w:t>
      </w:r>
      <w:r w:rsidRPr="00CC052C">
        <w:t>评注</w:t>
      </w:r>
      <w:r w:rsidRPr="00CC052C">
        <w:rPr>
          <w:rFonts w:hint="eastAsia"/>
        </w:rPr>
        <w:t>中，委员会强调罪行并非必需是战争期间所发生，但对于战前罪行则主张必须存在与危害和平罪的联系。</w:t>
      </w:r>
      <w:r w:rsidRPr="00CC052C">
        <w:rPr>
          <w:w w:val="150"/>
          <w:vertAlign w:val="superscript"/>
        </w:rPr>
        <w:footnoteReference w:id="99"/>
      </w:r>
      <w:r w:rsidRPr="00CC052C">
        <w:t xml:space="preserve"> </w:t>
      </w:r>
      <w:r w:rsidRPr="00CC052C">
        <w:rPr>
          <w:rFonts w:hint="eastAsia"/>
        </w:rPr>
        <w:t>与此同时，委员会主张“行为仍可属</w:t>
      </w:r>
      <w:r w:rsidRPr="00CC052C">
        <w:t>危害人类罪</w:t>
      </w:r>
      <w:r w:rsidRPr="00CC052C">
        <w:rPr>
          <w:rFonts w:hint="eastAsia"/>
        </w:rPr>
        <w:t>，即便该行为是行为人针对本国人口所为。”</w:t>
      </w:r>
      <w:r w:rsidRPr="00CC052C">
        <w:rPr>
          <w:w w:val="150"/>
          <w:vertAlign w:val="superscript"/>
        </w:rPr>
        <w:footnoteReference w:id="100"/>
      </w:r>
      <w:r w:rsidRPr="00CC052C">
        <w:t xml:space="preserve"> 1968</w:t>
      </w:r>
      <w:r w:rsidRPr="00CC052C">
        <w:rPr>
          <w:rFonts w:hint="eastAsia"/>
        </w:rPr>
        <w:t>年《战争罪及危害人类罪不适用法定时效公约》在第一条</w:t>
      </w:r>
      <w:r w:rsidRPr="00CC052C">
        <w:rPr>
          <w:rFonts w:hint="eastAsia"/>
        </w:rPr>
        <w:t>(</w:t>
      </w:r>
      <w:r w:rsidRPr="00CC052C">
        <w:rPr>
          <w:rFonts w:hint="eastAsia"/>
        </w:rPr>
        <w:t>乙</w:t>
      </w:r>
      <w:r w:rsidRPr="00CC052C">
        <w:rPr>
          <w:rFonts w:hint="eastAsia"/>
        </w:rPr>
        <w:t>)</w:t>
      </w:r>
      <w:r w:rsidRPr="00CC052C">
        <w:rPr>
          <w:rFonts w:hint="eastAsia"/>
        </w:rPr>
        <w:t>项中写明，“一九四五年八月八日纽伦堡国际军事法庭组织法明定并经联合国大会一九四六年二月十三日第</w:t>
      </w:r>
      <w:r w:rsidRPr="00CC052C">
        <w:rPr>
          <w:rFonts w:hint="eastAsia"/>
        </w:rPr>
        <w:t>3(I)</w:t>
      </w:r>
      <w:r w:rsidRPr="00CC052C">
        <w:rPr>
          <w:rFonts w:hint="eastAsia"/>
        </w:rPr>
        <w:t>号决议及一九四六年十</w:t>
      </w:r>
      <w:r w:rsidRPr="00CE568E">
        <w:rPr>
          <w:rFonts w:hint="eastAsia"/>
          <w:spacing w:val="6"/>
        </w:rPr>
        <w:t>二月十一日第</w:t>
      </w:r>
      <w:r w:rsidRPr="00CE568E">
        <w:rPr>
          <w:rFonts w:hint="eastAsia"/>
          <w:spacing w:val="6"/>
        </w:rPr>
        <w:t>95(I)</w:t>
      </w:r>
      <w:r w:rsidRPr="00CE568E">
        <w:rPr>
          <w:rFonts w:hint="eastAsia"/>
          <w:spacing w:val="6"/>
        </w:rPr>
        <w:t>号决议确认的危害人类罪，无论犯罪系在战时抑在平时……。”</w:t>
      </w:r>
      <w:r w:rsidRPr="00CE568E">
        <w:rPr>
          <w:spacing w:val="6"/>
          <w:w w:val="150"/>
          <w:vertAlign w:val="superscript"/>
        </w:rPr>
        <w:footnoteReference w:id="101"/>
      </w:r>
    </w:p>
    <w:p w:rsidR="007C3A88" w:rsidRPr="00CC052C" w:rsidRDefault="007C3A88" w:rsidP="007C3A88">
      <w:pPr>
        <w:pStyle w:val="SingleTxt"/>
      </w:pPr>
      <w:r w:rsidRPr="00CC052C">
        <w:t>(7)</w:t>
      </w:r>
      <w:r w:rsidRPr="00CC052C">
        <w:rPr>
          <w:rFonts w:hint="eastAsia"/>
        </w:rPr>
        <w:t xml:space="preserve">  </w:t>
      </w:r>
      <w:r w:rsidRPr="00CC052C">
        <w:rPr>
          <w:rFonts w:hint="eastAsia"/>
        </w:rPr>
        <w:t>前南斯拉夫问题国际刑事法庭</w:t>
      </w:r>
      <w:r w:rsidRPr="00CC052C">
        <w:t>(</w:t>
      </w:r>
      <w:r w:rsidRPr="00CC052C">
        <w:rPr>
          <w:rFonts w:hint="eastAsia"/>
        </w:rPr>
        <w:t>下称“前南刑庭”</w:t>
      </w:r>
      <w:r w:rsidRPr="00CC052C">
        <w:t>)</w:t>
      </w:r>
      <w:r w:rsidRPr="00CC052C">
        <w:rPr>
          <w:rFonts w:hint="eastAsia"/>
        </w:rPr>
        <w:t>的管辖范围内包括“</w:t>
      </w:r>
      <w:r w:rsidRPr="00CC052C">
        <w:t>危害人类罪</w:t>
      </w:r>
      <w:r w:rsidRPr="00CC052C">
        <w:rPr>
          <w:rFonts w:hint="eastAsia"/>
        </w:rPr>
        <w:t>”。</w:t>
      </w:r>
      <w:r w:rsidRPr="00CC052C">
        <w:t>《前南刑庭规约》</w:t>
      </w:r>
      <w:r w:rsidRPr="00CC052C">
        <w:rPr>
          <w:rFonts w:hint="eastAsia"/>
        </w:rPr>
        <w:t>第</w:t>
      </w:r>
      <w:r w:rsidRPr="00CC052C">
        <w:rPr>
          <w:rFonts w:hint="eastAsia"/>
        </w:rPr>
        <w:t>5</w:t>
      </w:r>
      <w:r w:rsidRPr="00CC052C">
        <w:rPr>
          <w:rFonts w:hint="eastAsia"/>
        </w:rPr>
        <w:t>条规定，该法庭可对“国际或国内武装冲突中犯下”一系列“针对平民的”行为</w:t>
      </w:r>
      <w:r w:rsidRPr="00CC052C">
        <w:t>(</w:t>
      </w:r>
      <w:r w:rsidRPr="00CC052C">
        <w:rPr>
          <w:rFonts w:hint="eastAsia"/>
        </w:rPr>
        <w:t>诸如谋杀、酷刑或强奸</w:t>
      </w:r>
      <w:r w:rsidRPr="00CC052C">
        <w:t>)</w:t>
      </w:r>
      <w:r w:rsidRPr="00CC052C">
        <w:rPr>
          <w:rFonts w:hint="eastAsia"/>
        </w:rPr>
        <w:t>负有责任的人</w:t>
      </w:r>
      <w:bookmarkStart w:id="11" w:name="_Ref295892362"/>
      <w:r w:rsidRPr="00CC052C">
        <w:rPr>
          <w:rFonts w:hint="eastAsia"/>
        </w:rPr>
        <w:t>提起诉讼。</w:t>
      </w:r>
      <w:bookmarkEnd w:id="11"/>
      <w:r w:rsidRPr="00CC052C">
        <w:rPr>
          <w:w w:val="150"/>
          <w:vertAlign w:val="superscript"/>
        </w:rPr>
        <w:footnoteReference w:id="102"/>
      </w:r>
      <w:r w:rsidRPr="00CC052C">
        <w:t xml:space="preserve"> </w:t>
      </w:r>
      <w:r w:rsidRPr="00CC052C">
        <w:rPr>
          <w:rFonts w:hint="eastAsia"/>
        </w:rPr>
        <w:t>所以，第</w:t>
      </w:r>
      <w:r w:rsidRPr="00CC052C">
        <w:rPr>
          <w:rFonts w:hint="eastAsia"/>
        </w:rPr>
        <w:t>5</w:t>
      </w:r>
      <w:r w:rsidRPr="00CC052C">
        <w:rPr>
          <w:rFonts w:hint="eastAsia"/>
        </w:rPr>
        <w:t>条所用的措词保留了与武装冲突的联系，但</w:t>
      </w:r>
      <w:r w:rsidRPr="00CC052C">
        <w:t>结合</w:t>
      </w:r>
      <w:r w:rsidRPr="00CC052C">
        <w:rPr>
          <w:rFonts w:hint="eastAsia"/>
        </w:rPr>
        <w:t>相关</w:t>
      </w:r>
      <w:r w:rsidRPr="00CC052C">
        <w:t>背景很容易理解</w:t>
      </w:r>
      <w:r w:rsidRPr="00CC052C">
        <w:rPr>
          <w:rFonts w:hint="eastAsia"/>
        </w:rPr>
        <w:t>：</w:t>
      </w:r>
      <w:r w:rsidRPr="00CC052C">
        <w:t>《前南刑庭规约》</w:t>
      </w:r>
      <w:r w:rsidRPr="00CC052C">
        <w:rPr>
          <w:rFonts w:hint="eastAsia"/>
        </w:rPr>
        <w:t>是</w:t>
      </w:r>
      <w:r w:rsidRPr="00CC052C">
        <w:rPr>
          <w:rFonts w:hint="eastAsia"/>
        </w:rPr>
        <w:t>1993</w:t>
      </w:r>
      <w:r w:rsidRPr="00CC052C">
        <w:rPr>
          <w:rFonts w:hint="eastAsia"/>
        </w:rPr>
        <w:t>年拟订的，当时的理解是，前南斯拉夫境内实际存在着武装冲突；联合国安全理事会已经确定局势构成对国际和平与安全的威胁，导致安全理事会行使《联合国宪章》第七章之下的行动权。就此而言，第</w:t>
      </w:r>
      <w:r w:rsidRPr="00CC052C">
        <w:rPr>
          <w:rFonts w:hint="eastAsia"/>
        </w:rPr>
        <w:t>5</w:t>
      </w:r>
      <w:r w:rsidRPr="00CC052C">
        <w:rPr>
          <w:rFonts w:hint="eastAsia"/>
        </w:rPr>
        <w:t>条所用的措词</w:t>
      </w:r>
      <w:r w:rsidRPr="00CC052C">
        <w:t>(</w:t>
      </w:r>
      <w:r w:rsidRPr="00CC052C">
        <w:rPr>
          <w:rFonts w:hint="eastAsia"/>
        </w:rPr>
        <w:t>“武装冲突”</w:t>
      </w:r>
      <w:r w:rsidRPr="00CC052C">
        <w:t>)</w:t>
      </w:r>
      <w:r w:rsidRPr="00CC052C">
        <w:rPr>
          <w:rFonts w:hint="eastAsia"/>
        </w:rPr>
        <w:t>主要是为了消除一种认为危害人类罪须与“国际武装冲突”存在联系的概念。鉴于这种措词可能被解读为习惯国际法要求须存在与武装冲突的联系，</w:t>
      </w:r>
      <w:r w:rsidRPr="00CC052C">
        <w:t>前南刑庭</w:t>
      </w:r>
      <w:r w:rsidRPr="00CC052C">
        <w:rPr>
          <w:rFonts w:hint="eastAsia"/>
        </w:rPr>
        <w:t>上诉分庭后来澄清说，保留与武装冲突的联系“没有逻辑或法律基础”，因为自纽伦堡审判以来，在国家实践中</w:t>
      </w:r>
      <w:r w:rsidRPr="00CC052C">
        <w:t>这种联系</w:t>
      </w:r>
      <w:r w:rsidRPr="00CC052C">
        <w:rPr>
          <w:rFonts w:hint="eastAsia"/>
        </w:rPr>
        <w:t>“</w:t>
      </w:r>
      <w:r w:rsidRPr="00CC052C">
        <w:t>已被放弃</w:t>
      </w:r>
      <w:r w:rsidRPr="00CC052C">
        <w:rPr>
          <w:rFonts w:hint="eastAsia"/>
        </w:rPr>
        <w:t>”。</w:t>
      </w:r>
      <w:r w:rsidRPr="00CC052C">
        <w:rPr>
          <w:w w:val="150"/>
          <w:vertAlign w:val="superscript"/>
        </w:rPr>
        <w:footnoteReference w:id="103"/>
      </w:r>
      <w:r w:rsidRPr="00CC052C">
        <w:rPr>
          <w:rFonts w:hint="eastAsia"/>
        </w:rPr>
        <w:t xml:space="preserve"> </w:t>
      </w:r>
      <w:r w:rsidRPr="00CC052C">
        <w:rPr>
          <w:rFonts w:hint="eastAsia"/>
        </w:rPr>
        <w:t>上诉分庭还指出，“关于种族灭绝和种族隔离的国际公约显示，联系要求已经过时，这两项公约都禁止某些种类的危害人类罪而不论是否与武装冲突有联系”。</w:t>
      </w:r>
      <w:r w:rsidRPr="00CC052C">
        <w:rPr>
          <w:w w:val="150"/>
          <w:vertAlign w:val="superscript"/>
        </w:rPr>
        <w:footnoteReference w:id="104"/>
      </w:r>
      <w:r w:rsidRPr="00CC052C">
        <w:t xml:space="preserve"> </w:t>
      </w:r>
      <w:r w:rsidRPr="00CC052C">
        <w:rPr>
          <w:rFonts w:hint="eastAsia"/>
        </w:rPr>
        <w:t>事实上，上诉分庭此后还表示认为，</w:t>
      </w:r>
      <w:r w:rsidRPr="00CC052C">
        <w:t>《前南刑庭规约》</w:t>
      </w:r>
      <w:r w:rsidRPr="00CC052C">
        <w:rPr>
          <w:rFonts w:hint="eastAsia"/>
        </w:rPr>
        <w:t>中的这种联系只是限定</w:t>
      </w:r>
      <w:r w:rsidRPr="00CC052C">
        <w:t>前南刑庭</w:t>
      </w:r>
      <w:r w:rsidRPr="00CC052C">
        <w:rPr>
          <w:rFonts w:hint="eastAsia"/>
        </w:rPr>
        <w:t>的属事管辖，并非习惯国际法的编纂。</w:t>
      </w:r>
      <w:bookmarkStart w:id="12" w:name="_Ref387105579"/>
      <w:r w:rsidRPr="00CC052C">
        <w:rPr>
          <w:w w:val="150"/>
          <w:vertAlign w:val="superscript"/>
        </w:rPr>
        <w:footnoteReference w:id="105"/>
      </w:r>
      <w:bookmarkEnd w:id="12"/>
      <w:r w:rsidRPr="00CC052C">
        <w:t xml:space="preserve"> </w:t>
      </w:r>
    </w:p>
    <w:p w:rsidR="007C3A88" w:rsidRPr="00CC052C" w:rsidRDefault="007C3A88" w:rsidP="007C3A88">
      <w:pPr>
        <w:pStyle w:val="SingleTxt"/>
      </w:pPr>
      <w:r w:rsidRPr="00CC052C">
        <w:lastRenderedPageBreak/>
        <w:t xml:space="preserve">(8) </w:t>
      </w:r>
      <w:r w:rsidRPr="00CC052C">
        <w:rPr>
          <w:rFonts w:hint="eastAsia"/>
        </w:rPr>
        <w:t xml:space="preserve"> </w:t>
      </w:r>
      <w:r w:rsidRPr="00CC052C">
        <w:t>1994</w:t>
      </w:r>
      <w:r w:rsidRPr="00CC052C">
        <w:rPr>
          <w:rFonts w:hint="eastAsia"/>
        </w:rPr>
        <w:t>年，安全理事会设立了卢旺达问题国际刑事法庭</w:t>
      </w:r>
      <w:r w:rsidRPr="00CC052C">
        <w:t>(</w:t>
      </w:r>
      <w:r w:rsidRPr="00CC052C">
        <w:rPr>
          <w:rFonts w:hint="eastAsia"/>
        </w:rPr>
        <w:t>下称“</w:t>
      </w:r>
      <w:r w:rsidRPr="00CC052C">
        <w:t>卢刑庭</w:t>
      </w:r>
      <w:r w:rsidRPr="00CC052C">
        <w:rPr>
          <w:rFonts w:hint="eastAsia"/>
        </w:rPr>
        <w:t>”</w:t>
      </w:r>
      <w:r w:rsidRPr="00CC052C">
        <w:t>)</w:t>
      </w:r>
      <w:r w:rsidRPr="00CC052C">
        <w:rPr>
          <w:rFonts w:hint="eastAsia"/>
        </w:rPr>
        <w:t>并规定了它对“</w:t>
      </w:r>
      <w:r w:rsidRPr="00CC052C">
        <w:t>危害人类罪</w:t>
      </w:r>
      <w:r w:rsidRPr="00CC052C">
        <w:rPr>
          <w:rFonts w:hint="eastAsia"/>
        </w:rPr>
        <w:t>”的管辖权。虽然</w:t>
      </w:r>
      <w:r w:rsidRPr="00CC052C">
        <w:t>《卢刑庭规约》</w:t>
      </w:r>
      <w:r w:rsidRPr="00CC052C">
        <w:rPr>
          <w:rFonts w:hint="eastAsia"/>
        </w:rPr>
        <w:t>第</w:t>
      </w:r>
      <w:r w:rsidRPr="00CC052C">
        <w:rPr>
          <w:rFonts w:hint="eastAsia"/>
        </w:rPr>
        <w:t>3</w:t>
      </w:r>
      <w:r w:rsidRPr="00CC052C">
        <w:rPr>
          <w:rFonts w:hint="eastAsia"/>
        </w:rPr>
        <w:t>条保留了</w:t>
      </w:r>
      <w:r w:rsidRPr="00CC052C">
        <w:t>《前南刑庭规约》</w:t>
      </w:r>
      <w:r w:rsidRPr="00CC052C">
        <w:rPr>
          <w:rFonts w:hint="eastAsia"/>
        </w:rPr>
        <w:t>中的同样一系列行为，但起首部分没有保留武装冲突的提法。</w:t>
      </w:r>
      <w:bookmarkStart w:id="13" w:name="_Ref295892756"/>
      <w:r w:rsidRPr="00CC052C">
        <w:rPr>
          <w:w w:val="150"/>
          <w:vertAlign w:val="superscript"/>
        </w:rPr>
        <w:footnoteReference w:id="106"/>
      </w:r>
      <w:bookmarkEnd w:id="13"/>
      <w:r w:rsidRPr="00CC052C">
        <w:t xml:space="preserve"> </w:t>
      </w:r>
      <w:r w:rsidRPr="00CC052C">
        <w:rPr>
          <w:rFonts w:hint="eastAsia"/>
        </w:rPr>
        <w:t>同样，</w:t>
      </w:r>
      <w:r w:rsidRPr="00CC052C">
        <w:rPr>
          <w:rFonts w:hint="eastAsia"/>
        </w:rPr>
        <w:t>1998</w:t>
      </w:r>
      <w:r w:rsidRPr="00CC052C">
        <w:rPr>
          <w:rFonts w:hint="eastAsia"/>
        </w:rPr>
        <w:t>年通过的《罗马规约》第七条也没有再提及武装冲突。</w:t>
      </w:r>
    </w:p>
    <w:p w:rsidR="007C3A88" w:rsidRPr="00CC052C" w:rsidRDefault="007C3A88" w:rsidP="007C3A88">
      <w:pPr>
        <w:pStyle w:val="SingleTxt"/>
      </w:pPr>
      <w:r w:rsidRPr="00CC052C">
        <w:t xml:space="preserve">(9) </w:t>
      </w:r>
      <w:r w:rsidRPr="00CC052C">
        <w:rPr>
          <w:rFonts w:hint="eastAsia"/>
        </w:rPr>
        <w:t xml:space="preserve"> </w:t>
      </w:r>
      <w:r w:rsidRPr="00CC052C">
        <w:rPr>
          <w:rFonts w:hint="eastAsia"/>
        </w:rPr>
        <w:t>就此而言，虽然</w:t>
      </w:r>
      <w:r w:rsidRPr="00CC052C">
        <w:t>危害人类罪</w:t>
      </w:r>
      <w:r w:rsidRPr="00CC052C">
        <w:rPr>
          <w:rFonts w:hint="eastAsia"/>
        </w:rPr>
        <w:t>的早期定义要求相关行为须与武装冲突有联系，但这种联系已不再见诸于包括《罗马规约》在内的当代国际刑事法庭和裁判庭规约。如以下关于第</w:t>
      </w:r>
      <w:r w:rsidRPr="00CC052C">
        <w:rPr>
          <w:rFonts w:hint="eastAsia"/>
        </w:rPr>
        <w:t>3</w:t>
      </w:r>
      <w:r w:rsidRPr="00CC052C">
        <w:t>条草案</w:t>
      </w:r>
      <w:r w:rsidRPr="00CC052C">
        <w:rPr>
          <w:rFonts w:hint="eastAsia"/>
        </w:rPr>
        <w:t>的讨论所述，取代这种联系的是“起首部分”要求，即，须是为了推行国家或组织政策，针对平民实施广泛或有系统的攻击这个背景下发生的罪行。</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第</w:t>
      </w:r>
      <w:r w:rsidRPr="00CE568E">
        <w:rPr>
          <w:rFonts w:asciiTheme="majorBidi" w:eastAsia="楷体_GB2312" w:hAnsiTheme="majorBidi" w:cstheme="majorBidi"/>
        </w:rPr>
        <w:t>3</w:t>
      </w:r>
      <w:r w:rsidRPr="00CC052C">
        <w:rPr>
          <w:rFonts w:hint="eastAsia"/>
        </w:rPr>
        <w:t>条</w:t>
      </w:r>
      <w:r w:rsidRPr="00CC052C">
        <w:rPr>
          <w:rFonts w:hint="eastAsia"/>
        </w:rPr>
        <w:br/>
        <w:t>危害人类罪的定义</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t>1.</w:t>
      </w:r>
      <w:r w:rsidRPr="00CC052C">
        <w:rPr>
          <w:rFonts w:hint="eastAsia"/>
        </w:rPr>
        <w:t xml:space="preserve">  </w:t>
      </w:r>
      <w:r w:rsidRPr="00CC052C">
        <w:rPr>
          <w:rFonts w:hint="eastAsia"/>
        </w:rPr>
        <w:t>为了本条款草案目的，“危害人类罪”是指在广泛或有系统地针对任何平民人口进行的攻击中，在明知这一攻击的情况下，作为攻击的一部分而实施的下列任何一种行为：</w:t>
      </w:r>
    </w:p>
    <w:p w:rsidR="007C3A88" w:rsidRPr="00CC052C" w:rsidRDefault="007C3A88" w:rsidP="007C3A88">
      <w:pPr>
        <w:pStyle w:val="SingleTxt"/>
        <w:ind w:left="1695"/>
      </w:pPr>
      <w:r w:rsidRPr="00CC052C">
        <w:rPr>
          <w:rFonts w:hint="eastAsia"/>
        </w:rPr>
        <w:tab/>
        <w:t>(a)</w:t>
      </w:r>
      <w:r w:rsidRPr="00CC052C">
        <w:rPr>
          <w:rFonts w:hint="eastAsia"/>
        </w:rPr>
        <w:tab/>
      </w:r>
      <w:r w:rsidRPr="00CC052C">
        <w:rPr>
          <w:rFonts w:hint="eastAsia"/>
        </w:rPr>
        <w:t>谋杀；</w:t>
      </w:r>
    </w:p>
    <w:p w:rsidR="007C3A88" w:rsidRPr="00CC052C" w:rsidRDefault="007C3A88" w:rsidP="007C3A88">
      <w:pPr>
        <w:pStyle w:val="SingleTxt"/>
        <w:ind w:left="1695"/>
      </w:pPr>
      <w:r w:rsidRPr="00CC052C">
        <w:rPr>
          <w:rFonts w:hint="eastAsia"/>
        </w:rPr>
        <w:tab/>
        <w:t>(b)</w:t>
      </w:r>
      <w:r w:rsidRPr="00CC052C">
        <w:rPr>
          <w:rFonts w:hint="eastAsia"/>
        </w:rPr>
        <w:tab/>
      </w:r>
      <w:r w:rsidRPr="00CC052C">
        <w:rPr>
          <w:rFonts w:hint="eastAsia"/>
        </w:rPr>
        <w:t>灭绝；</w:t>
      </w:r>
    </w:p>
    <w:p w:rsidR="007C3A88" w:rsidRPr="00CC052C" w:rsidRDefault="007C3A88" w:rsidP="007C3A88">
      <w:pPr>
        <w:pStyle w:val="SingleTxt"/>
        <w:ind w:left="1695"/>
      </w:pPr>
      <w:r w:rsidRPr="00CC052C">
        <w:rPr>
          <w:rFonts w:hint="eastAsia"/>
        </w:rPr>
        <w:tab/>
        <w:t>(c)</w:t>
      </w:r>
      <w:r w:rsidRPr="00CC052C">
        <w:rPr>
          <w:rFonts w:hint="eastAsia"/>
        </w:rPr>
        <w:tab/>
      </w:r>
      <w:r w:rsidRPr="00CC052C">
        <w:rPr>
          <w:rFonts w:hint="eastAsia"/>
        </w:rPr>
        <w:t>奴役；</w:t>
      </w:r>
    </w:p>
    <w:p w:rsidR="007C3A88" w:rsidRPr="00CC052C" w:rsidRDefault="007C3A88" w:rsidP="007C3A88">
      <w:pPr>
        <w:pStyle w:val="SingleTxt"/>
        <w:ind w:left="1695"/>
      </w:pPr>
      <w:r w:rsidRPr="00CC052C">
        <w:rPr>
          <w:rFonts w:hint="eastAsia"/>
        </w:rPr>
        <w:tab/>
        <w:t>(d)</w:t>
      </w:r>
      <w:r w:rsidRPr="00CC052C">
        <w:rPr>
          <w:rFonts w:hint="eastAsia"/>
        </w:rPr>
        <w:tab/>
      </w:r>
      <w:r w:rsidRPr="00CC052C">
        <w:rPr>
          <w:rFonts w:hint="eastAsia"/>
        </w:rPr>
        <w:t>驱逐出境或强行迁移人口；</w:t>
      </w:r>
    </w:p>
    <w:p w:rsidR="007C3A88" w:rsidRPr="00CC052C" w:rsidRDefault="007C3A88" w:rsidP="007C3A88">
      <w:pPr>
        <w:pStyle w:val="SingleTxt"/>
        <w:ind w:left="1695"/>
      </w:pPr>
      <w:r w:rsidRPr="00CC052C">
        <w:rPr>
          <w:rFonts w:hint="eastAsia"/>
        </w:rPr>
        <w:tab/>
        <w:t>(e)</w:t>
      </w:r>
      <w:r w:rsidRPr="00CC052C">
        <w:rPr>
          <w:rFonts w:hint="eastAsia"/>
        </w:rPr>
        <w:tab/>
      </w:r>
      <w:r w:rsidRPr="00CC052C">
        <w:rPr>
          <w:rFonts w:hint="eastAsia"/>
        </w:rPr>
        <w:t>违反国际法基本规则，监禁或以其他方式严重剥夺人身自由；</w:t>
      </w:r>
    </w:p>
    <w:p w:rsidR="007C3A88" w:rsidRPr="00CC052C" w:rsidRDefault="007C3A88" w:rsidP="007C3A88">
      <w:pPr>
        <w:pStyle w:val="SingleTxt"/>
        <w:ind w:left="1695"/>
      </w:pPr>
      <w:r w:rsidRPr="00CC052C">
        <w:rPr>
          <w:rFonts w:hint="eastAsia"/>
        </w:rPr>
        <w:tab/>
        <w:t>(f)</w:t>
      </w:r>
      <w:r w:rsidRPr="00CC052C">
        <w:rPr>
          <w:rFonts w:hint="eastAsia"/>
        </w:rPr>
        <w:tab/>
      </w:r>
      <w:r w:rsidRPr="00CC052C">
        <w:rPr>
          <w:rFonts w:hint="eastAsia"/>
        </w:rPr>
        <w:t>酷刑；</w:t>
      </w:r>
    </w:p>
    <w:p w:rsidR="007C3A88" w:rsidRPr="00CC052C" w:rsidRDefault="007C3A88" w:rsidP="007C3A88">
      <w:pPr>
        <w:pStyle w:val="SingleTxt"/>
        <w:ind w:left="1695"/>
      </w:pPr>
      <w:r w:rsidRPr="00CC052C">
        <w:rPr>
          <w:rFonts w:hint="eastAsia"/>
        </w:rPr>
        <w:tab/>
        <w:t>(g)</w:t>
      </w:r>
      <w:r w:rsidRPr="00CC052C">
        <w:rPr>
          <w:rFonts w:hint="eastAsia"/>
        </w:rPr>
        <w:tab/>
      </w:r>
      <w:r w:rsidRPr="00CC052C">
        <w:rPr>
          <w:rFonts w:hint="eastAsia"/>
        </w:rPr>
        <w:t>强奸、性奴役、强迫卖淫、强迫怀孕、强迫绝育或严重程度相当的任何其他形式的性暴力；</w:t>
      </w:r>
    </w:p>
    <w:p w:rsidR="007C3A88" w:rsidRPr="00CC052C" w:rsidRDefault="007C3A88" w:rsidP="007C3A88">
      <w:pPr>
        <w:pStyle w:val="SingleTxt"/>
        <w:ind w:left="1695"/>
      </w:pPr>
      <w:r w:rsidRPr="00CC052C">
        <w:rPr>
          <w:rFonts w:hint="eastAsia"/>
        </w:rPr>
        <w:tab/>
        <w:t>(h)</w:t>
      </w:r>
      <w:r w:rsidRPr="00CC052C">
        <w:rPr>
          <w:rFonts w:hint="eastAsia"/>
        </w:rPr>
        <w:tab/>
      </w:r>
      <w:r w:rsidRPr="00CC052C">
        <w:rPr>
          <w:rFonts w:hint="eastAsia"/>
        </w:rPr>
        <w:t>基于政治、种族、民族、族裔、文化、宗教、第三款所界定的性别或公认为国际法不容的其他理由，对任何可以识别的群体或集体进行的迫害，且与本款提及的任何一种行为有关，或与灭绝种族或战争罪行为有关；</w:t>
      </w:r>
    </w:p>
    <w:p w:rsidR="007C3A88" w:rsidRPr="00CC052C" w:rsidRDefault="007C3A88" w:rsidP="007C3A88">
      <w:pPr>
        <w:pStyle w:val="SingleTxt"/>
        <w:ind w:left="1695"/>
      </w:pPr>
      <w:r w:rsidRPr="00CC052C">
        <w:rPr>
          <w:rFonts w:hint="eastAsia"/>
        </w:rPr>
        <w:tab/>
        <w:t>(i)</w:t>
      </w:r>
      <w:r w:rsidRPr="00CC052C">
        <w:rPr>
          <w:rFonts w:hint="eastAsia"/>
        </w:rPr>
        <w:tab/>
      </w:r>
      <w:r w:rsidRPr="00CC052C">
        <w:rPr>
          <w:rFonts w:hint="eastAsia"/>
        </w:rPr>
        <w:t>强迫人员失踪；</w:t>
      </w:r>
    </w:p>
    <w:p w:rsidR="007C3A88" w:rsidRPr="00CC052C" w:rsidRDefault="007C3A88" w:rsidP="007C3A88">
      <w:pPr>
        <w:pStyle w:val="SingleTxt"/>
        <w:ind w:left="1695"/>
      </w:pPr>
      <w:r w:rsidRPr="00CC052C">
        <w:rPr>
          <w:rFonts w:hint="eastAsia"/>
        </w:rPr>
        <w:tab/>
        <w:t>(j)</w:t>
      </w:r>
      <w:r w:rsidRPr="00CC052C">
        <w:rPr>
          <w:rFonts w:hint="eastAsia"/>
        </w:rPr>
        <w:tab/>
      </w:r>
      <w:r w:rsidRPr="00CC052C">
        <w:rPr>
          <w:rFonts w:hint="eastAsia"/>
        </w:rPr>
        <w:t>种族隔离罪；</w:t>
      </w:r>
    </w:p>
    <w:p w:rsidR="007C3A88" w:rsidRPr="00CC052C" w:rsidRDefault="007C3A88" w:rsidP="007C3A88">
      <w:pPr>
        <w:pStyle w:val="SingleTxt"/>
        <w:ind w:left="1695"/>
      </w:pPr>
      <w:r w:rsidRPr="00CC052C">
        <w:rPr>
          <w:rFonts w:hint="eastAsia"/>
        </w:rPr>
        <w:tab/>
        <w:t>(k)</w:t>
      </w:r>
      <w:r w:rsidRPr="00CC052C">
        <w:rPr>
          <w:rFonts w:hint="eastAsia"/>
        </w:rPr>
        <w:tab/>
      </w:r>
      <w:r w:rsidRPr="00CC052C">
        <w:rPr>
          <w:rFonts w:hint="eastAsia"/>
        </w:rPr>
        <w:t>故意造成重大痛苦，或对人体或身心健康造成严重伤害的其他性质相同的不人道行为。</w:t>
      </w:r>
    </w:p>
    <w:p w:rsidR="007C3A88" w:rsidRPr="00CC052C" w:rsidRDefault="007C3A88" w:rsidP="007C3A88">
      <w:pPr>
        <w:pStyle w:val="SingleTxt"/>
        <w:ind w:left="1695"/>
      </w:pPr>
      <w:r w:rsidRPr="00CC052C">
        <w:t>2.</w:t>
      </w:r>
      <w:r w:rsidRPr="00CC052C">
        <w:rPr>
          <w:rFonts w:hint="eastAsia"/>
        </w:rPr>
        <w:t xml:space="preserve">  </w:t>
      </w:r>
      <w:r w:rsidRPr="00CC052C">
        <w:t>为了第</w:t>
      </w:r>
      <w:r w:rsidRPr="00CC052C">
        <w:t>1</w:t>
      </w:r>
      <w:r w:rsidRPr="00CC052C">
        <w:t>款的目的：</w:t>
      </w:r>
    </w:p>
    <w:p w:rsidR="007C3A88" w:rsidRPr="00CC052C" w:rsidRDefault="007C3A88" w:rsidP="007C3A88">
      <w:pPr>
        <w:pStyle w:val="SingleTxt"/>
        <w:ind w:left="1695"/>
      </w:pPr>
      <w:r>
        <w:rPr>
          <w:rFonts w:hint="eastAsia"/>
        </w:rPr>
        <w:lastRenderedPageBreak/>
        <w:tab/>
      </w:r>
      <w:r w:rsidRPr="00CC052C">
        <w:t>(a)</w:t>
      </w:r>
      <w:r w:rsidRPr="00CC052C">
        <w:tab/>
      </w:r>
      <w:r w:rsidRPr="00CC052C">
        <w:rPr>
          <w:rFonts w:hint="eastAsia"/>
        </w:rPr>
        <w:t>“针对任何平民人口进行的攻击”是指根据国家或组织攻击平民人口的政策，或为了推行这种政策，针对任何平民人口多次实施第一款所述行为的行为过程；</w:t>
      </w:r>
    </w:p>
    <w:p w:rsidR="007C3A88" w:rsidRPr="00CC052C" w:rsidRDefault="007C3A88" w:rsidP="007C3A88">
      <w:pPr>
        <w:pStyle w:val="SingleTxt"/>
        <w:ind w:left="1695"/>
      </w:pPr>
      <w:r>
        <w:rPr>
          <w:rFonts w:hint="eastAsia"/>
        </w:rPr>
        <w:tab/>
      </w:r>
      <w:r w:rsidRPr="00CC052C">
        <w:t>(b)</w:t>
      </w:r>
      <w:r w:rsidRPr="00CC052C">
        <w:tab/>
      </w:r>
      <w:r w:rsidRPr="00CC052C">
        <w:rPr>
          <w:rFonts w:hint="eastAsia"/>
        </w:rPr>
        <w:t>“灭绝”包括故意施加某种生活状况，如断绝粮食和药品来源，目的是毁灭部分的人口；</w:t>
      </w:r>
    </w:p>
    <w:p w:rsidR="007C3A88" w:rsidRPr="00CC052C" w:rsidRDefault="007C3A88" w:rsidP="007C3A88">
      <w:pPr>
        <w:pStyle w:val="SingleTxt"/>
        <w:ind w:left="1695"/>
      </w:pPr>
      <w:r>
        <w:rPr>
          <w:rFonts w:hint="eastAsia"/>
        </w:rPr>
        <w:tab/>
      </w:r>
      <w:r w:rsidRPr="00CC052C">
        <w:t>(c)</w:t>
      </w:r>
      <w:r w:rsidRPr="00CC052C">
        <w:tab/>
      </w:r>
      <w:r w:rsidRPr="00CC052C">
        <w:rPr>
          <w:rFonts w:hint="eastAsia"/>
        </w:rPr>
        <w:t>“奴役”是指对一人行使附属于所有权的任何或一切权力，包括在贩卖人口，特别是贩卖妇女和儿童的过程中行使这种权力；</w:t>
      </w:r>
    </w:p>
    <w:p w:rsidR="007C3A88" w:rsidRPr="00CC052C" w:rsidRDefault="007C3A88" w:rsidP="007C3A88">
      <w:pPr>
        <w:pStyle w:val="SingleTxt"/>
        <w:ind w:left="1695"/>
      </w:pPr>
      <w:r>
        <w:rPr>
          <w:rFonts w:hint="eastAsia"/>
        </w:rPr>
        <w:tab/>
      </w:r>
      <w:r w:rsidRPr="00CC052C">
        <w:t>(d)</w:t>
      </w:r>
      <w:r w:rsidRPr="00CC052C">
        <w:tab/>
      </w:r>
      <w:r w:rsidRPr="00CC052C">
        <w:rPr>
          <w:rFonts w:hint="eastAsia"/>
        </w:rPr>
        <w:t>“驱逐出境或强行迁移人口”是指在缺乏国际法容许的理由的情况下，以驱逐或其他胁迫行为，强迫有关的人迁离其合法留在的地区；</w:t>
      </w:r>
    </w:p>
    <w:p w:rsidR="007C3A88" w:rsidRPr="00CC052C" w:rsidRDefault="007C3A88" w:rsidP="007C3A88">
      <w:pPr>
        <w:pStyle w:val="SingleTxt"/>
        <w:ind w:left="1695"/>
      </w:pPr>
      <w:r>
        <w:rPr>
          <w:rFonts w:hint="eastAsia"/>
        </w:rPr>
        <w:tab/>
      </w:r>
      <w:r w:rsidRPr="00CC052C">
        <w:t>(e)</w:t>
      </w:r>
      <w:r w:rsidRPr="00CC052C">
        <w:tab/>
      </w:r>
      <w:r w:rsidRPr="00CC052C">
        <w:rPr>
          <w:rFonts w:hint="eastAsia"/>
        </w:rPr>
        <w:t>“酷刑”是指故意致使在被告人羁押或控制下的人的身体或精神遭受重大痛苦；但酷刑不应包括纯因合法制裁而引起的，或这种制裁所固有或附带的痛苦；</w:t>
      </w:r>
    </w:p>
    <w:p w:rsidR="007C3A88" w:rsidRPr="00CC052C" w:rsidRDefault="007C3A88" w:rsidP="007C3A88">
      <w:pPr>
        <w:pStyle w:val="SingleTxt"/>
        <w:ind w:left="1695"/>
      </w:pPr>
      <w:r>
        <w:rPr>
          <w:rFonts w:hint="eastAsia"/>
        </w:rPr>
        <w:tab/>
      </w:r>
      <w:r w:rsidRPr="00CC052C">
        <w:t>(f)</w:t>
      </w:r>
      <w:r w:rsidRPr="00CC052C">
        <w:tab/>
      </w:r>
      <w:r w:rsidRPr="00CC052C">
        <w:rPr>
          <w:rFonts w:hint="eastAsia"/>
        </w:rPr>
        <w:t>“强迫怀孕”是指以影响任何人口的族裔构成的目的，或以进行其他严重违反国际法的行为的目的，非法禁闭被强迫怀孕的妇女。本定义不得以任何方式解释为影响国内关于妊娠的法律；</w:t>
      </w:r>
    </w:p>
    <w:p w:rsidR="007C3A88" w:rsidRPr="00CC052C" w:rsidRDefault="007C3A88" w:rsidP="007C3A88">
      <w:pPr>
        <w:pStyle w:val="SingleTxt"/>
        <w:ind w:left="1695"/>
      </w:pPr>
      <w:r>
        <w:rPr>
          <w:rFonts w:hint="eastAsia"/>
        </w:rPr>
        <w:tab/>
      </w:r>
      <w:r w:rsidRPr="00CC052C">
        <w:t>(g)</w:t>
      </w:r>
      <w:r w:rsidRPr="00CC052C">
        <w:tab/>
      </w:r>
      <w:r w:rsidRPr="00CC052C">
        <w:rPr>
          <w:rFonts w:hint="eastAsia"/>
        </w:rPr>
        <w:t>“迫害”是指违反国际法规定，针对某一群体或集体的特性，故意和严重地剥夺基本权利；</w:t>
      </w:r>
    </w:p>
    <w:p w:rsidR="007C3A88" w:rsidRPr="00CC052C" w:rsidRDefault="007C3A88" w:rsidP="007C3A88">
      <w:pPr>
        <w:pStyle w:val="SingleTxt"/>
        <w:ind w:left="1695"/>
      </w:pPr>
      <w:r>
        <w:rPr>
          <w:rFonts w:hint="eastAsia"/>
        </w:rPr>
        <w:tab/>
      </w:r>
      <w:r w:rsidRPr="00CC052C">
        <w:t>(h)</w:t>
      </w:r>
      <w:r w:rsidRPr="00CC052C">
        <w:tab/>
      </w:r>
      <w:r w:rsidRPr="00CC052C">
        <w:rPr>
          <w:rFonts w:hint="eastAsia"/>
        </w:rPr>
        <w:t>“种族隔离罪”是指一个种族群体对任何其他一个或多个种族群体，在一个有计划地实行压迫和统治的体制化制度下，实施性质与第一款所述行为相同的不人道行为，目的是维持该制度的存在；</w:t>
      </w:r>
    </w:p>
    <w:p w:rsidR="007C3A88" w:rsidRPr="00CC052C" w:rsidRDefault="007C3A88" w:rsidP="007C3A88">
      <w:pPr>
        <w:pStyle w:val="SingleTxt"/>
        <w:ind w:left="1695"/>
      </w:pPr>
      <w:r>
        <w:rPr>
          <w:rFonts w:hint="eastAsia"/>
        </w:rPr>
        <w:tab/>
      </w:r>
      <w:r w:rsidRPr="00CC052C">
        <w:t>(i)</w:t>
      </w:r>
      <w:r w:rsidRPr="00CC052C">
        <w:tab/>
      </w:r>
      <w:r w:rsidRPr="00CC052C">
        <w:rPr>
          <w:rFonts w:hint="eastAsia"/>
        </w:rPr>
        <w:t>“强迫人员失踪”是指国家或政治组织直接地，或在其同意、支持或默许下，逮捕、羁押或绑架人员，继而拒绝承认这种剥夺自由的行为，或拒绝透露有关人员的命运或下落，目的是将其长期置于法律保护之外。</w:t>
      </w:r>
    </w:p>
    <w:p w:rsidR="007C3A88" w:rsidRPr="00CC052C" w:rsidRDefault="007C3A88" w:rsidP="007C3A88">
      <w:pPr>
        <w:pStyle w:val="SingleTxt"/>
        <w:ind w:left="1695"/>
      </w:pPr>
      <w:r w:rsidRPr="00CC052C">
        <w:t>3.</w:t>
      </w:r>
      <w:r>
        <w:rPr>
          <w:rFonts w:hint="eastAsia"/>
        </w:rPr>
        <w:t xml:space="preserve">  </w:t>
      </w:r>
      <w:r w:rsidRPr="00CC052C">
        <w:rPr>
          <w:rFonts w:hint="eastAsia"/>
        </w:rPr>
        <w:t>为了本条款草案目的，“性别”一词应被理解为是指社会上的男女两性。“性别”一词仅反映上述意思。</w:t>
      </w:r>
    </w:p>
    <w:p w:rsidR="007C3A88" w:rsidRPr="00CC052C" w:rsidRDefault="007C3A88" w:rsidP="007C3A88">
      <w:pPr>
        <w:pStyle w:val="SingleTxt"/>
        <w:ind w:left="1695"/>
      </w:pPr>
      <w:r w:rsidRPr="00CC052C">
        <w:t>4.</w:t>
      </w:r>
      <w:r>
        <w:rPr>
          <w:rFonts w:hint="eastAsia"/>
        </w:rPr>
        <w:t xml:space="preserve">  </w:t>
      </w:r>
      <w:r w:rsidRPr="00CC052C">
        <w:rPr>
          <w:rFonts w:hint="eastAsia"/>
        </w:rPr>
        <w:t>本条草案不妨碍任何国际文书或国内法规定的任何更为宽泛的定义。</w:t>
      </w:r>
    </w:p>
    <w:p w:rsidR="007C3A88" w:rsidRPr="00EF7649" w:rsidRDefault="007C3A88" w:rsidP="007C3A88">
      <w:pPr>
        <w:pStyle w:val="SingleTxt"/>
        <w:spacing w:after="0" w:line="120" w:lineRule="exact"/>
        <w:rPr>
          <w:sz w:val="10"/>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tab/>
      </w:r>
      <w:r w:rsidRPr="00CC052C">
        <w:rPr>
          <w:rFonts w:hint="eastAsia"/>
        </w:rPr>
        <w:tab/>
        <w:t>评注</w:t>
      </w:r>
    </w:p>
    <w:p w:rsidR="007C3A88" w:rsidRPr="00CC052C" w:rsidRDefault="007C3A88" w:rsidP="007C3A88">
      <w:pPr>
        <w:pStyle w:val="SingleTxt"/>
        <w:spacing w:after="0" w:line="120" w:lineRule="exact"/>
        <w:rPr>
          <w:sz w:val="10"/>
        </w:rPr>
      </w:pPr>
    </w:p>
    <w:p w:rsidR="00B613C8" w:rsidRDefault="007C3A88" w:rsidP="00B613C8">
      <w:pPr>
        <w:pStyle w:val="SingleTxt"/>
      </w:pPr>
      <w:r w:rsidRPr="00CC052C">
        <w:t>(1)</w:t>
      </w:r>
      <w:r w:rsidRPr="00CC052C">
        <w:rPr>
          <w:rFonts w:hint="eastAsia"/>
        </w:rPr>
        <w:t xml:space="preserve">  </w:t>
      </w:r>
      <w:r w:rsidRPr="00CC052C">
        <w:rPr>
          <w:rFonts w:hint="eastAsia"/>
        </w:rPr>
        <w:t>第</w:t>
      </w:r>
      <w:r w:rsidRPr="00CC052C">
        <w:rPr>
          <w:rFonts w:hint="eastAsia"/>
        </w:rPr>
        <w:t>3</w:t>
      </w:r>
      <w:r w:rsidRPr="00CC052C">
        <w:rPr>
          <w:rFonts w:hint="eastAsia"/>
        </w:rPr>
        <w:t>条草案的头三款为了本条款草案的目的，确定了“危害人类罪”的定义。这三款的案文逐字采用了《罗马规约》第七条的案文，只有三处非实质性改动</w:t>
      </w:r>
      <w:r w:rsidRPr="00CC052C">
        <w:rPr>
          <w:rFonts w:hint="eastAsia"/>
        </w:rPr>
        <w:t>(</w:t>
      </w:r>
      <w:r w:rsidRPr="00CC052C">
        <w:rPr>
          <w:rFonts w:hint="eastAsia"/>
        </w:rPr>
        <w:t>下文讨论</w:t>
      </w:r>
      <w:r w:rsidRPr="00CC052C">
        <w:rPr>
          <w:rFonts w:hint="eastAsia"/>
        </w:rPr>
        <w:t>)</w:t>
      </w:r>
      <w:r w:rsidRPr="00CC052C">
        <w:rPr>
          <w:rFonts w:hint="eastAsia"/>
        </w:rPr>
        <w:t>，鉴于有关定义的使用语境不同，这些改动是必要的。第</w:t>
      </w:r>
      <w:r w:rsidRPr="00CC052C">
        <w:rPr>
          <w:rFonts w:hint="eastAsia"/>
        </w:rPr>
        <w:t>3</w:t>
      </w:r>
      <w:r w:rsidRPr="00CC052C">
        <w:rPr>
          <w:rFonts w:hint="eastAsia"/>
        </w:rPr>
        <w:t>条第</w:t>
      </w:r>
      <w:r w:rsidRPr="00CC052C">
        <w:rPr>
          <w:rFonts w:hint="eastAsia"/>
        </w:rPr>
        <w:t>4</w:t>
      </w:r>
      <w:r w:rsidRPr="00CC052C">
        <w:rPr>
          <w:rFonts w:hint="eastAsia"/>
        </w:rPr>
        <w:t>款草案是一项“不妨碍”条款，表明这一定义不影响国际文书和国内法规定的任何更为宽泛的定义。</w:t>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其他文书中的定义</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lastRenderedPageBreak/>
        <w:t xml:space="preserve">(2) </w:t>
      </w:r>
      <w:r w:rsidRPr="00CC052C">
        <w:rPr>
          <w:rFonts w:hint="eastAsia"/>
        </w:rPr>
        <w:t xml:space="preserve"> 1945</w:t>
      </w:r>
      <w:r w:rsidRPr="00CC052C">
        <w:rPr>
          <w:rFonts w:hint="eastAsia"/>
        </w:rPr>
        <w:t>年以来使用的“危害人类罪”的定义有多种，既见于国际文书，也见于将该罪编纂入法的国内法。《纽伦堡宪章》将“危害人类罪”定义为：</w:t>
      </w:r>
    </w:p>
    <w:p w:rsidR="007C3A88" w:rsidRPr="00CC052C" w:rsidRDefault="007C3A88" w:rsidP="007C3A88">
      <w:pPr>
        <w:pStyle w:val="SingleTxt"/>
        <w:ind w:left="1695"/>
      </w:pPr>
      <w:r w:rsidRPr="00CC052C">
        <w:rPr>
          <w:rFonts w:hint="eastAsia"/>
        </w:rPr>
        <w:tab/>
      </w:r>
      <w:r w:rsidRPr="00CC052C">
        <w:rPr>
          <w:rFonts w:hint="eastAsia"/>
        </w:rPr>
        <w:t>“</w:t>
      </w:r>
      <w:r w:rsidRPr="00CC052C">
        <w:t>在战前或战时对任何一地平民之谋杀、灭绝、奴役、放逐及其他不人道之行为，或基于政治、人种或宗教原因之迫害，而此种行为之发生或迫害之实施，系随实施本法庭管辖范围内任何罪行而起或与之有关者。</w:t>
      </w:r>
      <w:r w:rsidRPr="00CC052C">
        <w:rPr>
          <w:rFonts w:hint="eastAsia"/>
        </w:rPr>
        <w:t>”</w:t>
      </w:r>
      <w:r w:rsidRPr="00CC052C">
        <w:rPr>
          <w:w w:val="150"/>
          <w:vertAlign w:val="superscript"/>
        </w:rPr>
        <w:footnoteReference w:id="107"/>
      </w:r>
    </w:p>
    <w:p w:rsidR="007C3A88" w:rsidRPr="00CC052C" w:rsidRDefault="007C3A88" w:rsidP="007C3A88">
      <w:pPr>
        <w:pStyle w:val="SingleTxt"/>
      </w:pPr>
      <w:r w:rsidRPr="00CC052C">
        <w:t>(3)</w:t>
      </w:r>
      <w:r w:rsidRPr="00CC052C">
        <w:rPr>
          <w:rFonts w:hint="eastAsia"/>
        </w:rPr>
        <w:t xml:space="preserve">  </w:t>
      </w:r>
      <w:r w:rsidRPr="00CC052C">
        <w:rPr>
          <w:rFonts w:hint="eastAsia"/>
        </w:rPr>
        <w:t>委员会</w:t>
      </w:r>
      <w:r w:rsidRPr="00CC052C">
        <w:t>1950</w:t>
      </w:r>
      <w:r w:rsidRPr="00CC052C">
        <w:rPr>
          <w:rFonts w:hint="eastAsia"/>
        </w:rPr>
        <w:t>年“</w:t>
      </w:r>
      <w:r w:rsidRPr="00CC052C">
        <w:rPr>
          <w:rFonts w:hint="eastAsia"/>
          <w:iCs/>
        </w:rPr>
        <w:t>纽伦堡法庭组织法及法庭判决中所确认之原则</w:t>
      </w:r>
      <w:r w:rsidRPr="00CC052C">
        <w:rPr>
          <w:rFonts w:hint="eastAsia"/>
        </w:rPr>
        <w:t>”原则六</w:t>
      </w:r>
      <w:r w:rsidRPr="00CC052C">
        <w:rPr>
          <w:rFonts w:hint="eastAsia"/>
        </w:rPr>
        <w:t>(</w:t>
      </w:r>
      <w:r w:rsidRPr="00CC052C">
        <w:rPr>
          <w:rFonts w:hint="eastAsia"/>
        </w:rPr>
        <w:t>三</w:t>
      </w:r>
      <w:r w:rsidRPr="00CC052C">
        <w:rPr>
          <w:rFonts w:hint="eastAsia"/>
        </w:rPr>
        <w:t>)</w:t>
      </w:r>
      <w:r w:rsidRPr="00CC052C">
        <w:rPr>
          <w:rFonts w:hint="eastAsia"/>
        </w:rPr>
        <w:t>对危害人类罪的界定是：“对任何一地平民之谋杀、灭绝、奴役、放逐及其他不人道之行为，基于政治、人种或宗教原因之迫害，而此种行为之发生或迫害之实施，系随实施任何危害和平罪或战争罪而起或与之有关者。”</w:t>
      </w:r>
      <w:r w:rsidRPr="00CC052C">
        <w:rPr>
          <w:w w:val="150"/>
          <w:vertAlign w:val="superscript"/>
        </w:rPr>
        <w:footnoteReference w:id="108"/>
      </w:r>
    </w:p>
    <w:p w:rsidR="007C3A88" w:rsidRPr="00CC052C" w:rsidRDefault="007C3A88" w:rsidP="007C3A88">
      <w:pPr>
        <w:pStyle w:val="SingleTxt"/>
      </w:pPr>
      <w:r w:rsidRPr="00CC052C">
        <w:t xml:space="preserve">(4) </w:t>
      </w:r>
      <w:r w:rsidRPr="00CC052C">
        <w:rPr>
          <w:rFonts w:hint="eastAsia"/>
        </w:rPr>
        <w:t xml:space="preserve"> </w:t>
      </w:r>
      <w:r w:rsidRPr="00044BB2">
        <w:rPr>
          <w:rFonts w:hint="eastAsia"/>
          <w:spacing w:val="-4"/>
        </w:rPr>
        <w:t>此外，委员会</w:t>
      </w:r>
      <w:r w:rsidRPr="00044BB2">
        <w:rPr>
          <w:spacing w:val="-4"/>
        </w:rPr>
        <w:t>1954</w:t>
      </w:r>
      <w:r w:rsidRPr="00044BB2">
        <w:rPr>
          <w:rFonts w:hint="eastAsia"/>
          <w:spacing w:val="-4"/>
        </w:rPr>
        <w:t>年《危害人类和平及安全治罪法草案》其中确定的一项罪行是：“某国当局或个人在国家当局的唆使或容忍下，基于社会、政治、种族、宗教或文化理由，对任何平民人口犯下的谋杀、灭绝、奴役、放逐或迫害等不人道行为。”</w:t>
      </w:r>
      <w:r w:rsidRPr="00044BB2">
        <w:rPr>
          <w:spacing w:val="-4"/>
          <w:w w:val="150"/>
          <w:vertAlign w:val="superscript"/>
        </w:rPr>
        <w:footnoteReference w:id="109"/>
      </w:r>
    </w:p>
    <w:p w:rsidR="007C3A88" w:rsidRPr="00CC052C" w:rsidRDefault="007C3A88" w:rsidP="007C3A88">
      <w:pPr>
        <w:pStyle w:val="SingleTxt"/>
      </w:pPr>
      <w:r w:rsidRPr="00CC052C">
        <w:t>(5)</w:t>
      </w:r>
      <w:r w:rsidRPr="00CC052C">
        <w:rPr>
          <w:rFonts w:hint="eastAsia"/>
        </w:rPr>
        <w:t xml:space="preserve">  </w:t>
      </w:r>
      <w:r w:rsidRPr="00CC052C">
        <w:rPr>
          <w:rFonts w:hint="eastAsia"/>
        </w:rPr>
        <w:t>《</w:t>
      </w:r>
      <w:r w:rsidRPr="00CC052C">
        <w:t>前南刑庭规约》</w:t>
      </w:r>
      <w:r w:rsidRPr="00CC052C">
        <w:rPr>
          <w:rFonts w:hint="eastAsia"/>
        </w:rPr>
        <w:t>第</w:t>
      </w:r>
      <w:r w:rsidRPr="00CC052C">
        <w:rPr>
          <w:rFonts w:hint="eastAsia"/>
        </w:rPr>
        <w:t>5</w:t>
      </w:r>
      <w:r w:rsidRPr="00CC052C">
        <w:rPr>
          <w:rFonts w:hint="eastAsia"/>
        </w:rPr>
        <w:t>条规定，法庭“应有权对国际或国内武装冲突中犯下……针对平民的”</w:t>
      </w:r>
      <w:r w:rsidRPr="00CC052C">
        <w:rPr>
          <w:rFonts w:hint="eastAsia"/>
        </w:rPr>
        <w:t>(</w:t>
      </w:r>
      <w:r w:rsidRPr="00CC052C">
        <w:rPr>
          <w:rFonts w:hint="eastAsia"/>
        </w:rPr>
        <w:t>谋杀、酷刑和强奸等</w:t>
      </w:r>
      <w:r w:rsidRPr="00CC052C">
        <w:rPr>
          <w:rFonts w:hint="eastAsia"/>
        </w:rPr>
        <w:t>)</w:t>
      </w:r>
      <w:r w:rsidRPr="00CC052C">
        <w:rPr>
          <w:rFonts w:hint="eastAsia"/>
        </w:rPr>
        <w:t>一系列行为“负有责任的人予以起诉”。</w:t>
      </w:r>
      <w:r w:rsidRPr="00CC052C">
        <w:rPr>
          <w:w w:val="150"/>
          <w:vertAlign w:val="superscript"/>
        </w:rPr>
        <w:footnoteReference w:id="110"/>
      </w:r>
      <w:r w:rsidRPr="00CC052C">
        <w:t xml:space="preserve"> </w:t>
      </w:r>
      <w:r w:rsidRPr="00CC052C">
        <w:rPr>
          <w:rFonts w:hint="eastAsia"/>
        </w:rPr>
        <w:t>虽然联合国秘书长提出该条的报告指出，危害人类罪“指非常严重的不人道行为……基于民族、政治、人种、种族或宗教原因在大规模或有计划的攻击平民中……”，</w:t>
      </w:r>
      <w:r w:rsidRPr="00CC052C">
        <w:rPr>
          <w:w w:val="150"/>
          <w:vertAlign w:val="superscript"/>
        </w:rPr>
        <w:footnoteReference w:id="111"/>
      </w:r>
      <w:r w:rsidRPr="00CC052C">
        <w:t xml:space="preserve"> </w:t>
      </w:r>
      <w:r w:rsidRPr="00CC052C">
        <w:rPr>
          <w:rFonts w:hint="eastAsia"/>
        </w:rPr>
        <w:t>但这个特定的用语并未写入第</w:t>
      </w:r>
      <w:r w:rsidRPr="00CC052C">
        <w:rPr>
          <w:rFonts w:hint="eastAsia"/>
        </w:rPr>
        <w:t>5</w:t>
      </w:r>
      <w:r w:rsidRPr="00CC052C">
        <w:rPr>
          <w:rFonts w:hint="eastAsia"/>
        </w:rPr>
        <w:t>条的案文。</w:t>
      </w:r>
    </w:p>
    <w:p w:rsidR="007C3A88" w:rsidRPr="00CE568E" w:rsidRDefault="007C3A88" w:rsidP="007C3A88">
      <w:pPr>
        <w:pStyle w:val="SingleTxt"/>
        <w:rPr>
          <w:spacing w:val="4"/>
        </w:rPr>
      </w:pPr>
      <w:r w:rsidRPr="00CC052C">
        <w:t xml:space="preserve">(6) </w:t>
      </w:r>
      <w:r w:rsidRPr="00CC052C">
        <w:rPr>
          <w:rFonts w:hint="eastAsia"/>
        </w:rPr>
        <w:t xml:space="preserve"> </w:t>
      </w:r>
      <w:r w:rsidRPr="00CC052C">
        <w:rPr>
          <w:rFonts w:hint="eastAsia"/>
        </w:rPr>
        <w:t>相反，</w:t>
      </w:r>
      <w:r w:rsidRPr="00CC052C">
        <w:t>1994</w:t>
      </w:r>
      <w:r w:rsidRPr="00CC052C">
        <w:rPr>
          <w:rFonts w:hint="eastAsia"/>
        </w:rPr>
        <w:t>年</w:t>
      </w:r>
      <w:r w:rsidRPr="00CC052C">
        <w:t>《卢刑庭规约》</w:t>
      </w:r>
      <w:r w:rsidRPr="00CC052C">
        <w:rPr>
          <w:rFonts w:hint="eastAsia"/>
        </w:rPr>
        <w:t>第</w:t>
      </w:r>
      <w:r w:rsidRPr="00CC052C">
        <w:rPr>
          <w:rFonts w:hint="eastAsia"/>
        </w:rPr>
        <w:t>3</w:t>
      </w:r>
      <w:r w:rsidRPr="00CC052C">
        <w:rPr>
          <w:rFonts w:hint="eastAsia"/>
        </w:rPr>
        <w:t>条保留了上述的一系列行为，但起首语采用了</w:t>
      </w:r>
      <w:r w:rsidRPr="00CC052C">
        <w:rPr>
          <w:rFonts w:hint="eastAsia"/>
        </w:rPr>
        <w:t>1993</w:t>
      </w:r>
      <w:r w:rsidRPr="00CC052C">
        <w:rPr>
          <w:rFonts w:hint="eastAsia"/>
        </w:rPr>
        <w:t>年秘书长报告的用词“在广泛的或有计划的攻击平民中……罪行”，该条中还写明：“出于民族、政治、人种、种族或宗教原因……”。</w:t>
      </w:r>
      <w:r w:rsidRPr="00CC052C">
        <w:rPr>
          <w:w w:val="150"/>
          <w:vertAlign w:val="superscript"/>
        </w:rPr>
        <w:footnoteReference w:id="112"/>
      </w:r>
      <w:r w:rsidRPr="00CC052C">
        <w:t xml:space="preserve"> </w:t>
      </w:r>
      <w:r w:rsidRPr="00CC052C">
        <w:rPr>
          <w:rFonts w:hint="eastAsia"/>
        </w:rPr>
        <w:t>如此，</w:t>
      </w:r>
      <w:r w:rsidRPr="00CC052C">
        <w:t>《卢刑庭规约》</w:t>
      </w:r>
      <w:r w:rsidRPr="00CC052C">
        <w:rPr>
          <w:rFonts w:hint="eastAsia"/>
        </w:rPr>
        <w:t>就明确规定了，只有具备歧视性意图，此罪方能成立。委员会</w:t>
      </w:r>
      <w:r w:rsidRPr="00CC052C">
        <w:t>1996</w:t>
      </w:r>
      <w:r w:rsidRPr="00CC052C">
        <w:rPr>
          <w:rFonts w:hint="eastAsia"/>
        </w:rPr>
        <w:t>年《危害人类和平及安全治罪法草案》还将“危害人类罪”定义为“有计划或大规模实行由某一政府或任何组织或团体唆使或指挥的”的一系列所指明的行为，但没有包括</w:t>
      </w:r>
      <w:r w:rsidRPr="00CE568E">
        <w:rPr>
          <w:rFonts w:hint="eastAsia"/>
          <w:spacing w:val="4"/>
        </w:rPr>
        <w:t>关于歧视性意图的表述。</w:t>
      </w:r>
      <w:r w:rsidRPr="00CE568E">
        <w:rPr>
          <w:spacing w:val="4"/>
          <w:w w:val="150"/>
          <w:vertAlign w:val="superscript"/>
        </w:rPr>
        <w:footnoteReference w:id="113"/>
      </w:r>
      <w:r w:rsidRPr="00CE568E">
        <w:rPr>
          <w:rFonts w:hint="eastAsia"/>
          <w:spacing w:val="4"/>
        </w:rPr>
        <w:t xml:space="preserve"> </w:t>
      </w:r>
      <w:r w:rsidRPr="00CE568E">
        <w:rPr>
          <w:rFonts w:hint="eastAsia"/>
          <w:spacing w:val="4"/>
        </w:rPr>
        <w:t>混合刑事法院或法庭的判例也对危害人类罪下过定义。</w:t>
      </w:r>
      <w:r w:rsidRPr="00CE568E">
        <w:rPr>
          <w:spacing w:val="4"/>
          <w:w w:val="150"/>
          <w:vertAlign w:val="superscript"/>
        </w:rPr>
        <w:footnoteReference w:id="114"/>
      </w:r>
    </w:p>
    <w:p w:rsidR="007C3A88" w:rsidRPr="00CC052C" w:rsidRDefault="007C3A88" w:rsidP="007C3A88">
      <w:pPr>
        <w:pStyle w:val="SingleTxt"/>
      </w:pPr>
      <w:r w:rsidRPr="00D02F5C">
        <w:rPr>
          <w:spacing w:val="6"/>
        </w:rPr>
        <w:lastRenderedPageBreak/>
        <w:t xml:space="preserve">(7) </w:t>
      </w:r>
      <w:r w:rsidRPr="00D02F5C">
        <w:rPr>
          <w:rFonts w:hint="eastAsia"/>
          <w:spacing w:val="6"/>
        </w:rPr>
        <w:t xml:space="preserve"> </w:t>
      </w:r>
      <w:r w:rsidRPr="00D02F5C">
        <w:rPr>
          <w:rFonts w:hint="eastAsia"/>
          <w:spacing w:val="6"/>
        </w:rPr>
        <w:t>《罗马规约》第五条第</w:t>
      </w:r>
      <w:r w:rsidRPr="00D02F5C">
        <w:rPr>
          <w:rFonts w:hint="eastAsia"/>
          <w:spacing w:val="6"/>
        </w:rPr>
        <w:t>(</w:t>
      </w:r>
      <w:r w:rsidRPr="00D02F5C">
        <w:rPr>
          <w:rFonts w:hint="eastAsia"/>
          <w:spacing w:val="6"/>
        </w:rPr>
        <w:t>一</w:t>
      </w:r>
      <w:r w:rsidRPr="00D02F5C">
        <w:rPr>
          <w:rFonts w:hint="eastAsia"/>
          <w:spacing w:val="6"/>
        </w:rPr>
        <w:t>)</w:t>
      </w:r>
      <w:r w:rsidRPr="00D02F5C">
        <w:rPr>
          <w:rFonts w:hint="eastAsia"/>
          <w:spacing w:val="6"/>
        </w:rPr>
        <w:t>款第</w:t>
      </w:r>
      <w:r w:rsidRPr="00D02F5C">
        <w:rPr>
          <w:rFonts w:hint="eastAsia"/>
          <w:spacing w:val="6"/>
        </w:rPr>
        <w:t>2</w:t>
      </w:r>
      <w:r w:rsidRPr="00D02F5C">
        <w:rPr>
          <w:rFonts w:hint="eastAsia"/>
          <w:spacing w:val="6"/>
        </w:rPr>
        <w:t>项将危害人类罪纳入了国际刑院的管辖范围。</w:t>
      </w:r>
      <w:r w:rsidRPr="00D02F5C">
        <w:rPr>
          <w:spacing w:val="6"/>
          <w:w w:val="150"/>
          <w:vertAlign w:val="superscript"/>
        </w:rPr>
        <w:footnoteReference w:id="115"/>
      </w:r>
      <w:r w:rsidRPr="00D02F5C">
        <w:rPr>
          <w:spacing w:val="6"/>
        </w:rPr>
        <w:t xml:space="preserve"> </w:t>
      </w:r>
      <w:r w:rsidRPr="00CC052C">
        <w:rPr>
          <w:rFonts w:hint="eastAsia"/>
        </w:rPr>
        <w:t>第七条第</w:t>
      </w:r>
      <w:r w:rsidRPr="00CC052C">
        <w:rPr>
          <w:rFonts w:hint="eastAsia"/>
        </w:rPr>
        <w:t>(</w:t>
      </w:r>
      <w:r w:rsidRPr="00CC052C">
        <w:rPr>
          <w:rFonts w:hint="eastAsia"/>
        </w:rPr>
        <w:t>一</w:t>
      </w:r>
      <w:r w:rsidRPr="00CC052C">
        <w:rPr>
          <w:rFonts w:hint="eastAsia"/>
        </w:rPr>
        <w:t>)</w:t>
      </w:r>
      <w:r w:rsidRPr="00CC052C">
        <w:rPr>
          <w:rFonts w:hint="eastAsia"/>
        </w:rPr>
        <w:t>款将“危害人类罪”定义为“在广泛或有系统地针对任何平民人口进行的攻击中，在明知这一攻击的情况下，作为攻击的一部分而实施的”一系列行为中的任何一种。</w:t>
      </w:r>
      <w:bookmarkStart w:id="14" w:name="_Ref281303777"/>
      <w:r w:rsidRPr="00CC052C">
        <w:rPr>
          <w:w w:val="150"/>
          <w:vertAlign w:val="superscript"/>
        </w:rPr>
        <w:footnoteReference w:id="116"/>
      </w:r>
      <w:bookmarkEnd w:id="14"/>
      <w:r w:rsidRPr="00CC052C">
        <w:t xml:space="preserve"> </w:t>
      </w:r>
      <w:r w:rsidRPr="00CC052C">
        <w:rPr>
          <w:rFonts w:hint="eastAsia"/>
        </w:rPr>
        <w:t>第七条第</w:t>
      </w:r>
      <w:r w:rsidRPr="00CC052C">
        <w:rPr>
          <w:rFonts w:hint="eastAsia"/>
        </w:rPr>
        <w:t>(</w:t>
      </w:r>
      <w:r w:rsidRPr="00CC052C">
        <w:rPr>
          <w:rFonts w:hint="eastAsia"/>
        </w:rPr>
        <w:t>二</w:t>
      </w:r>
      <w:r w:rsidRPr="00CC052C">
        <w:rPr>
          <w:rFonts w:hint="eastAsia"/>
        </w:rPr>
        <w:t>)</w:t>
      </w:r>
      <w:r w:rsidRPr="00CC052C">
        <w:rPr>
          <w:rFonts w:hint="eastAsia"/>
        </w:rPr>
        <w:t>款载有一系列定义，除其他外，澄清了针对任何平民人口进行的攻击“指根据国家或组织攻击平民人口的政策，或为了推行这种政策，针对任何平民人口多次实施第一款所述行为的行为过程。”</w:t>
      </w:r>
      <w:r w:rsidRPr="00CC052C">
        <w:rPr>
          <w:w w:val="150"/>
          <w:vertAlign w:val="superscript"/>
        </w:rPr>
        <w:footnoteReference w:id="117"/>
      </w:r>
      <w:r w:rsidRPr="00CC052C">
        <w:t xml:space="preserve"> </w:t>
      </w:r>
      <w:r w:rsidRPr="00CC052C">
        <w:rPr>
          <w:rFonts w:hint="eastAsia"/>
        </w:rPr>
        <w:t>第七条第</w:t>
      </w:r>
      <w:r w:rsidRPr="00CC052C">
        <w:rPr>
          <w:rFonts w:hint="eastAsia"/>
        </w:rPr>
        <w:t>(</w:t>
      </w:r>
      <w:r w:rsidRPr="00CC052C">
        <w:rPr>
          <w:rFonts w:hint="eastAsia"/>
        </w:rPr>
        <w:t>三</w:t>
      </w:r>
      <w:r w:rsidRPr="00CC052C">
        <w:rPr>
          <w:rFonts w:hint="eastAsia"/>
        </w:rPr>
        <w:t>)</w:t>
      </w:r>
      <w:r w:rsidRPr="00CC052C">
        <w:rPr>
          <w:rFonts w:hint="eastAsia"/>
        </w:rPr>
        <w:t>款规定，“‘性别’一词应被理解为是指社会上的男女两性。‘性别’一词仅反映上述意思。”</w:t>
      </w:r>
      <w:r w:rsidRPr="00CC052C">
        <w:rPr>
          <w:w w:val="150"/>
          <w:vertAlign w:val="superscript"/>
        </w:rPr>
        <w:footnoteReference w:id="118"/>
      </w:r>
      <w:r w:rsidRPr="00CC052C">
        <w:t xml:space="preserve"> </w:t>
      </w:r>
      <w:r w:rsidRPr="00CC052C">
        <w:rPr>
          <w:rFonts w:hint="eastAsia"/>
        </w:rPr>
        <w:t>第七条并未保留</w:t>
      </w:r>
      <w:r w:rsidRPr="00CC052C">
        <w:t>《前南刑庭规约》</w:t>
      </w:r>
      <w:r w:rsidRPr="00CC052C">
        <w:rPr>
          <w:rFonts w:hint="eastAsia"/>
        </w:rPr>
        <w:t>所下定义中特有的与武装冲突的联系，也未保留</w:t>
      </w:r>
      <w:r w:rsidRPr="00CC052C">
        <w:t>《卢刑庭规约》</w:t>
      </w:r>
      <w:r w:rsidRPr="00CC052C">
        <w:rPr>
          <w:rFonts w:hint="eastAsia"/>
        </w:rPr>
        <w:t>特有的歧视性意图条件</w:t>
      </w:r>
      <w:r w:rsidRPr="00CC052C">
        <w:rPr>
          <w:rFonts w:hint="eastAsia"/>
        </w:rPr>
        <w:t>(</w:t>
      </w:r>
      <w:r w:rsidRPr="00CC052C">
        <w:rPr>
          <w:rFonts w:hint="eastAsia"/>
        </w:rPr>
        <w:t>关于迫害行为的规定除外</w:t>
      </w:r>
      <w:r w:rsidRPr="00CC052C">
        <w:rPr>
          <w:rFonts w:hint="eastAsia"/>
        </w:rPr>
        <w:t>)</w:t>
      </w:r>
      <w:r w:rsidRPr="00CC052C">
        <w:rPr>
          <w:w w:val="150"/>
          <w:vertAlign w:val="superscript"/>
        </w:rPr>
        <w:footnoteReference w:id="119"/>
      </w:r>
      <w:r w:rsidRPr="00CC052C">
        <w:rPr>
          <w:rFonts w:hint="eastAsia"/>
        </w:rPr>
        <w:t>。</w:t>
      </w:r>
    </w:p>
    <w:p w:rsidR="007C3A88" w:rsidRDefault="007C3A88" w:rsidP="007C3A88">
      <w:pPr>
        <w:pStyle w:val="SingleTxt"/>
      </w:pPr>
      <w:r w:rsidRPr="00CC052C">
        <w:t>(8)</w:t>
      </w:r>
      <w:r w:rsidRPr="00CC052C">
        <w:rPr>
          <w:rFonts w:hint="eastAsia"/>
        </w:rPr>
        <w:t xml:space="preserve">  </w:t>
      </w:r>
      <w:r w:rsidRPr="00CC052C">
        <w:rPr>
          <w:rFonts w:hint="eastAsia"/>
        </w:rPr>
        <w:t>《罗马规约》第七条的“危害人类罪”定义已被该规约的</w:t>
      </w:r>
      <w:r w:rsidRPr="00CC052C">
        <w:rPr>
          <w:rFonts w:hint="eastAsia"/>
        </w:rPr>
        <w:t>120</w:t>
      </w:r>
      <w:r w:rsidRPr="00CC052C">
        <w:rPr>
          <w:rFonts w:hint="eastAsia"/>
        </w:rPr>
        <w:t>多个缔约国所接受，其中许多国家在通过和修正国内法时，正在使用这一定义。委员会认为《罗马规约》第七条是第</w:t>
      </w:r>
      <w:r w:rsidRPr="00CC052C">
        <w:rPr>
          <w:rFonts w:hint="eastAsia"/>
        </w:rPr>
        <w:t>3</w:t>
      </w:r>
      <w:r w:rsidRPr="00CC052C">
        <w:rPr>
          <w:rFonts w:hint="eastAsia"/>
        </w:rPr>
        <w:t>条第</w:t>
      </w:r>
      <w:r w:rsidRPr="00CC052C">
        <w:rPr>
          <w:rFonts w:hint="eastAsia"/>
        </w:rPr>
        <w:t>1</w:t>
      </w:r>
      <w:r w:rsidRPr="00CC052C">
        <w:rPr>
          <w:rFonts w:hint="eastAsia"/>
        </w:rPr>
        <w:t>至第</w:t>
      </w:r>
      <w:r w:rsidRPr="00CC052C">
        <w:rPr>
          <w:rFonts w:hint="eastAsia"/>
        </w:rPr>
        <w:t>3</w:t>
      </w:r>
      <w:r w:rsidRPr="00CC052C">
        <w:rPr>
          <w:rFonts w:hint="eastAsia"/>
        </w:rPr>
        <w:t>款草案定义此类罪行的适当基础。事实上也确实逐字采用了第七条的案文，仅有三处非实质性改动。鉴于有关定义的使用语境不同，这些改动是必要的。第一处是，第</w:t>
      </w:r>
      <w:r w:rsidRPr="00CC052C">
        <w:rPr>
          <w:rFonts w:hint="eastAsia"/>
        </w:rPr>
        <w:t>1</w:t>
      </w:r>
      <w:r w:rsidRPr="00CC052C">
        <w:rPr>
          <w:rFonts w:hint="eastAsia"/>
        </w:rPr>
        <w:t>款起首语改为“为了本条款草案目的”，而非“为了本规约的目的”。第二处是对第</w:t>
      </w:r>
      <w:r w:rsidRPr="00CC052C">
        <w:rPr>
          <w:rFonts w:hint="eastAsia"/>
        </w:rPr>
        <w:t>3</w:t>
      </w:r>
      <w:r w:rsidRPr="00CC052C">
        <w:rPr>
          <w:rFonts w:hint="eastAsia"/>
        </w:rPr>
        <w:t>款的起首语作了相同的改动。第三处是，《罗马规约》第七条第</w:t>
      </w:r>
      <w:r w:rsidRPr="00CC052C">
        <w:rPr>
          <w:rFonts w:hint="eastAsia"/>
        </w:rPr>
        <w:t>(</w:t>
      </w:r>
      <w:r w:rsidRPr="00CC052C">
        <w:rPr>
          <w:rFonts w:hint="eastAsia"/>
        </w:rPr>
        <w:t>一</w:t>
      </w:r>
      <w:r w:rsidRPr="00CC052C">
        <w:rPr>
          <w:rFonts w:hint="eastAsia"/>
        </w:rPr>
        <w:t>)</w:t>
      </w:r>
      <w:r w:rsidRPr="00CC052C">
        <w:rPr>
          <w:rFonts w:hint="eastAsia"/>
        </w:rPr>
        <w:t>款第</w:t>
      </w:r>
      <w:r w:rsidRPr="00CC052C">
        <w:rPr>
          <w:rFonts w:hint="eastAsia"/>
        </w:rPr>
        <w:t>8</w:t>
      </w:r>
      <w:r w:rsidRPr="00CC052C">
        <w:rPr>
          <w:rFonts w:hint="eastAsia"/>
        </w:rPr>
        <w:t>项规定属于犯罪的是“与任何一种本款提及的行为或任何一种本法院管辖权内的犯罪结合发生”的迫害行为。仍是为了适应不同语境，第</w:t>
      </w:r>
      <w:r w:rsidRPr="00CC052C">
        <w:rPr>
          <w:rFonts w:hint="eastAsia"/>
        </w:rPr>
        <w:t>3</w:t>
      </w:r>
      <w:r w:rsidRPr="00CC052C">
        <w:rPr>
          <w:rFonts w:hint="eastAsia"/>
        </w:rPr>
        <w:t>条草案中的这一短语改为“</w:t>
      </w:r>
      <w:r w:rsidRPr="00CC052C">
        <w:t>与本款提及的任何一种行为有关，或与灭绝种族或战争罪行为有关</w:t>
      </w:r>
      <w:r w:rsidRPr="00CC052C">
        <w:rPr>
          <w:rFonts w:hint="eastAsia"/>
        </w:rPr>
        <w:t>”。在适当时候，当坎帕拉会议规定的条件得到满足时，国际刑院可能对侵略罪行使管辖权，在这种情况下，委员会可重新审定这一款措辞。</w:t>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第</w:t>
      </w:r>
      <w:r w:rsidRPr="00D02F5C">
        <w:rPr>
          <w:rFonts w:asciiTheme="majorBidi" w:hAnsiTheme="majorBidi" w:cstheme="majorBidi"/>
        </w:rPr>
        <w:t>1</w:t>
      </w:r>
      <w:r w:rsidRPr="00D02F5C">
        <w:rPr>
          <w:rFonts w:asciiTheme="majorBidi" w:hAnsiTheme="majorBidi" w:cstheme="majorBidi"/>
        </w:rPr>
        <w:t>至第</w:t>
      </w:r>
      <w:r w:rsidRPr="00D02F5C">
        <w:rPr>
          <w:rFonts w:asciiTheme="majorBidi" w:hAnsiTheme="majorBidi" w:cstheme="majorBidi"/>
        </w:rPr>
        <w:t>3</w:t>
      </w:r>
      <w:r w:rsidRPr="00CC052C">
        <w:rPr>
          <w:rFonts w:hint="eastAsia"/>
        </w:rPr>
        <w:t>款</w:t>
      </w:r>
    </w:p>
    <w:p w:rsidR="007C3A88" w:rsidRPr="00CC052C" w:rsidRDefault="007C3A88" w:rsidP="007C3A88">
      <w:pPr>
        <w:pStyle w:val="SingleTxt"/>
        <w:spacing w:after="0" w:line="120" w:lineRule="exact"/>
        <w:rPr>
          <w:sz w:val="10"/>
        </w:rPr>
      </w:pPr>
    </w:p>
    <w:p w:rsidR="007C3A88" w:rsidRPr="00CC052C" w:rsidRDefault="007C3A88" w:rsidP="007C3A88">
      <w:pPr>
        <w:pStyle w:val="SingleTxt"/>
        <w:rPr>
          <w:iCs/>
        </w:rPr>
      </w:pPr>
      <w:r w:rsidRPr="00CC052C">
        <w:t>(9)</w:t>
      </w:r>
      <w:r w:rsidRPr="00CC052C">
        <w:rPr>
          <w:rFonts w:hint="eastAsia"/>
        </w:rPr>
        <w:t xml:space="preserve"> </w:t>
      </w:r>
      <w:r w:rsidRPr="00CC052C">
        <w:t xml:space="preserve"> </w:t>
      </w:r>
      <w:r w:rsidRPr="00CC052C">
        <w:rPr>
          <w:rFonts w:hint="eastAsia"/>
          <w:iCs/>
        </w:rPr>
        <w:t>第</w:t>
      </w:r>
      <w:r w:rsidRPr="00CC052C">
        <w:rPr>
          <w:rFonts w:hint="eastAsia"/>
          <w:iCs/>
        </w:rPr>
        <w:t>3</w:t>
      </w:r>
      <w:r w:rsidRPr="00CC052C">
        <w:rPr>
          <w:rFonts w:hint="eastAsia"/>
          <w:iCs/>
        </w:rPr>
        <w:t>条第</w:t>
      </w:r>
      <w:r w:rsidRPr="00CC052C">
        <w:rPr>
          <w:rFonts w:hint="eastAsia"/>
          <w:iCs/>
        </w:rPr>
        <w:t>1</w:t>
      </w:r>
      <w:r w:rsidRPr="00CC052C">
        <w:rPr>
          <w:rFonts w:hint="eastAsia"/>
          <w:iCs/>
        </w:rPr>
        <w:t>至</w:t>
      </w:r>
      <w:r w:rsidRPr="00CC052C">
        <w:rPr>
          <w:rFonts w:hint="eastAsia"/>
          <w:iCs/>
        </w:rPr>
        <w:t>3</w:t>
      </w:r>
      <w:r w:rsidRPr="00CC052C">
        <w:rPr>
          <w:rFonts w:hint="eastAsia"/>
          <w:iCs/>
        </w:rPr>
        <w:t>款草案所列“危害人类罪”的定义含有三项应予讨论的总体条件。这些条件均出现于第</w:t>
      </w:r>
      <w:r w:rsidRPr="00CC052C">
        <w:rPr>
          <w:rFonts w:hint="eastAsia"/>
          <w:iCs/>
        </w:rPr>
        <w:t>1</w:t>
      </w:r>
      <w:r w:rsidRPr="00CC052C">
        <w:rPr>
          <w:rFonts w:hint="eastAsia"/>
          <w:iCs/>
        </w:rPr>
        <w:t>款，已经通过国际刑院和其他国际或混合法院和法庭的判例法得到了说明。定义还列出了危害人类罪项下禁止的各种行为，并界定了在这一定义之内使用的若干术语</w:t>
      </w:r>
      <w:r w:rsidRPr="00CC052C">
        <w:rPr>
          <w:rFonts w:hint="eastAsia"/>
          <w:iCs/>
        </w:rPr>
        <w:t>(</w:t>
      </w:r>
      <w:r w:rsidRPr="00CC052C">
        <w:rPr>
          <w:rFonts w:hint="eastAsia"/>
          <w:iCs/>
        </w:rPr>
        <w:t>亦即在定义内提供定义</w:t>
      </w:r>
      <w:r w:rsidRPr="00CC052C">
        <w:rPr>
          <w:rFonts w:hint="eastAsia"/>
          <w:iCs/>
        </w:rPr>
        <w:t>)</w:t>
      </w:r>
      <w:r w:rsidRPr="00CC052C">
        <w:rPr>
          <w:rFonts w:hint="eastAsia"/>
          <w:iCs/>
        </w:rPr>
        <w:t>。无疑，国际刑院和其他国际或混合法院和法庭不断演变的判例将继续帮助包括法院在内的国内当局了解这一定义的含义，从而促进国家层面处理方法的协调。委员会注意到，相关的判例法仍在随时间而发展，因此以下讨论仅是为了说明截至</w:t>
      </w:r>
      <w:r w:rsidRPr="00CC052C">
        <w:rPr>
          <w:rFonts w:hint="eastAsia"/>
          <w:iCs/>
        </w:rPr>
        <w:t>2015</w:t>
      </w:r>
      <w:r w:rsidRPr="00CC052C">
        <w:rPr>
          <w:rFonts w:hint="eastAsia"/>
          <w:iCs/>
        </w:rPr>
        <w:t>年这些术语的一些限制要素。</w:t>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“广泛或有系统的攻击”</w:t>
      </w:r>
    </w:p>
    <w:p w:rsidR="007C3A88" w:rsidRPr="00CC052C" w:rsidRDefault="007C3A88" w:rsidP="007C3A88">
      <w:pPr>
        <w:pStyle w:val="SingleTxt"/>
        <w:spacing w:after="0" w:line="120" w:lineRule="exact"/>
        <w:rPr>
          <w:sz w:val="10"/>
        </w:rPr>
      </w:pPr>
      <w:bookmarkStart w:id="15" w:name="_Ref339976928"/>
      <w:bookmarkStart w:id="16" w:name="_Ref216252240"/>
    </w:p>
    <w:p w:rsidR="007C3A88" w:rsidRPr="00CC052C" w:rsidRDefault="007C3A88" w:rsidP="007C3A88">
      <w:pPr>
        <w:pStyle w:val="SingleTxt"/>
      </w:pPr>
      <w:r w:rsidRPr="00CC052C">
        <w:lastRenderedPageBreak/>
        <w:t xml:space="preserve">(10) </w:t>
      </w:r>
      <w:r w:rsidRPr="00CC052C">
        <w:rPr>
          <w:rFonts w:hint="eastAsia"/>
        </w:rPr>
        <w:t xml:space="preserve"> </w:t>
      </w:r>
      <w:r w:rsidRPr="00CC052C">
        <w:rPr>
          <w:rFonts w:hint="eastAsia"/>
        </w:rPr>
        <w:t>第一项总体条件是，有关行为必须是在“广泛或有系统”的攻击中实施的。这一条件最初出现于</w:t>
      </w:r>
      <w:r w:rsidRPr="00CC052C">
        <w:t>《卢刑庭规约》</w:t>
      </w:r>
      <w:bookmarkStart w:id="17" w:name="_Ref295894171"/>
      <w:r w:rsidRPr="00CC052C">
        <w:rPr>
          <w:rFonts w:hint="eastAsia"/>
        </w:rPr>
        <w:t>，</w:t>
      </w:r>
      <w:bookmarkEnd w:id="17"/>
      <w:r w:rsidRPr="00CC052C">
        <w:rPr>
          <w:w w:val="150"/>
          <w:vertAlign w:val="superscript"/>
        </w:rPr>
        <w:footnoteReference w:id="120"/>
      </w:r>
      <w:r w:rsidRPr="00CC052C">
        <w:t xml:space="preserve"> </w:t>
      </w:r>
      <w:r w:rsidRPr="00CC052C">
        <w:rPr>
          <w:rFonts w:hint="eastAsia"/>
        </w:rPr>
        <w:t>不过</w:t>
      </w:r>
      <w:r w:rsidRPr="00CC052C">
        <w:t>前南刑庭</w:t>
      </w:r>
      <w:r w:rsidRPr="00CC052C">
        <w:rPr>
          <w:rFonts w:hint="eastAsia"/>
        </w:rPr>
        <w:t>的一些裁决认为</w:t>
      </w:r>
      <w:r w:rsidRPr="00CC052C">
        <w:t>《前南刑</w:t>
      </w:r>
      <w:r w:rsidRPr="00CE568E">
        <w:rPr>
          <w:spacing w:val="-4"/>
        </w:rPr>
        <w:t>庭规约》</w:t>
      </w:r>
      <w:r w:rsidRPr="00CE568E">
        <w:rPr>
          <w:rFonts w:hint="eastAsia"/>
          <w:spacing w:val="-4"/>
        </w:rPr>
        <w:t>也已隐含这一条件，因为秘书长提出该规约的报告中也包括了这一用语。</w:t>
      </w:r>
      <w:bookmarkStart w:id="18" w:name="_Ref295894839"/>
      <w:r w:rsidRPr="00CE568E">
        <w:rPr>
          <w:spacing w:val="-4"/>
          <w:w w:val="150"/>
          <w:vertAlign w:val="superscript"/>
        </w:rPr>
        <w:footnoteReference w:id="121"/>
      </w:r>
      <w:bookmarkEnd w:id="18"/>
      <w:r w:rsidRPr="00CE568E">
        <w:rPr>
          <w:rFonts w:hint="eastAsia"/>
          <w:spacing w:val="-4"/>
        </w:rPr>
        <w:t xml:space="preserve"> </w:t>
      </w:r>
      <w:r w:rsidRPr="00CC052C">
        <w:t>前南刑庭</w:t>
      </w:r>
      <w:r w:rsidRPr="00CC052C">
        <w:rPr>
          <w:rFonts w:hint="eastAsia"/>
        </w:rPr>
        <w:t>和</w:t>
      </w:r>
      <w:r w:rsidRPr="00CC052C">
        <w:t>卢刑庭</w:t>
      </w:r>
      <w:r w:rsidRPr="00CC052C">
        <w:rPr>
          <w:rFonts w:hint="eastAsia"/>
        </w:rPr>
        <w:t>的判例均主张，“广泛”和“有系统”这两个条件是择一条件而非联合条件；达到其中任意一个，即能认定犯罪成立。</w:t>
      </w:r>
      <w:bookmarkStart w:id="19" w:name="_Ref216086313"/>
      <w:bookmarkStart w:id="20" w:name="_Ref216086757"/>
      <w:r w:rsidRPr="00CC052C">
        <w:rPr>
          <w:w w:val="150"/>
          <w:vertAlign w:val="superscript"/>
        </w:rPr>
        <w:footnoteReference w:id="122"/>
      </w:r>
      <w:bookmarkEnd w:id="19"/>
      <w:bookmarkEnd w:id="20"/>
      <w:r w:rsidRPr="00CC052C">
        <w:t xml:space="preserve"> </w:t>
      </w:r>
      <w:r w:rsidRPr="00CC052C">
        <w:rPr>
          <w:rFonts w:hint="eastAsia"/>
        </w:rPr>
        <w:t>对广泛</w:t>
      </w:r>
      <w:r w:rsidRPr="00CC052C">
        <w:rPr>
          <w:rFonts w:hint="eastAsia"/>
        </w:rPr>
        <w:t>/</w:t>
      </w:r>
      <w:r w:rsidRPr="00CC052C">
        <w:rPr>
          <w:rFonts w:hint="eastAsia"/>
        </w:rPr>
        <w:t>有系统条件的这一解读也反映在委员会对</w:t>
      </w:r>
      <w:r w:rsidRPr="00CC052C">
        <w:t>1996</w:t>
      </w:r>
      <w:r w:rsidRPr="00CC052C">
        <w:rPr>
          <w:rFonts w:hint="eastAsia"/>
        </w:rPr>
        <w:t>年《治罪法草案》的评注中，委员会在其中指出，“如果某一行为合乎其中</w:t>
      </w:r>
      <w:r w:rsidRPr="00CC052C">
        <w:rPr>
          <w:rFonts w:hint="eastAsia"/>
        </w:rPr>
        <w:t>[</w:t>
      </w:r>
      <w:r w:rsidRPr="00CC052C">
        <w:rPr>
          <w:rFonts w:hint="eastAsia"/>
        </w:rPr>
        <w:t>规模或系统性</w:t>
      </w:r>
      <w:r w:rsidRPr="00CC052C">
        <w:rPr>
          <w:rFonts w:hint="eastAsia"/>
        </w:rPr>
        <w:t>]</w:t>
      </w:r>
      <w:r w:rsidRPr="00CC052C">
        <w:rPr>
          <w:rFonts w:hint="eastAsia"/>
        </w:rPr>
        <w:t>任一条件，即构成危害人类罪行。</w:t>
      </w:r>
      <w:bookmarkStart w:id="21" w:name="_Ref216150270"/>
      <w:r w:rsidRPr="00CC052C">
        <w:rPr>
          <w:rFonts w:hint="eastAsia"/>
        </w:rPr>
        <w:t>”</w:t>
      </w:r>
      <w:bookmarkEnd w:id="21"/>
      <w:r w:rsidRPr="00CC052C">
        <w:rPr>
          <w:w w:val="150"/>
          <w:vertAlign w:val="superscript"/>
        </w:rPr>
        <w:footnoteReference w:id="123"/>
      </w:r>
    </w:p>
    <w:p w:rsidR="007C3A88" w:rsidRPr="00CC052C" w:rsidRDefault="007C3A88" w:rsidP="007C3A88">
      <w:pPr>
        <w:pStyle w:val="SingleTxt"/>
      </w:pPr>
      <w:r w:rsidRPr="00CC052C">
        <w:t>(11)</w:t>
      </w:r>
      <w:bookmarkStart w:id="22" w:name="_Ref216244806"/>
      <w:r w:rsidRPr="00CC052C">
        <w:rPr>
          <w:rFonts w:hint="eastAsia"/>
        </w:rPr>
        <w:t xml:space="preserve">  </w:t>
      </w:r>
      <w:r w:rsidRPr="00CC052C">
        <w:rPr>
          <w:rFonts w:hint="eastAsia"/>
        </w:rPr>
        <w:t>在为《罗马规约》审议这一标准时，一些国家表示认为，“广泛”和“有系统”这两个条件应当是联合条件，只有二者皆达到，才能确认罪行存在，否则这一标准的覆盖面将过宽。</w:t>
      </w:r>
      <w:bookmarkEnd w:id="22"/>
      <w:r w:rsidRPr="00CC052C">
        <w:rPr>
          <w:w w:val="150"/>
          <w:vertAlign w:val="superscript"/>
        </w:rPr>
        <w:footnoteReference w:id="124"/>
      </w:r>
      <w:r w:rsidRPr="00CC052C">
        <w:t xml:space="preserve"> </w:t>
      </w:r>
      <w:r w:rsidRPr="00CC052C">
        <w:rPr>
          <w:rFonts w:hint="eastAsia"/>
        </w:rPr>
        <w:t>这些国家认为，如果仅仅“广泛”实施有关行为就足够，则同时发生的广泛但无关联的犯罪行为也会构成危害人类罪。</w:t>
      </w:r>
      <w:bookmarkEnd w:id="15"/>
      <w:bookmarkEnd w:id="16"/>
      <w:r w:rsidRPr="00CC052C">
        <w:rPr>
          <w:rFonts w:hint="eastAsia"/>
        </w:rPr>
        <w:t>出于这一关切，拟出的是折中的案文，将这些条件仍列为择一条件，</w:t>
      </w:r>
      <w:bookmarkStart w:id="23" w:name="_Ref295898872"/>
      <w:r w:rsidRPr="00CC052C">
        <w:rPr>
          <w:w w:val="150"/>
          <w:vertAlign w:val="superscript"/>
        </w:rPr>
        <w:footnoteReference w:id="125"/>
      </w:r>
      <w:bookmarkEnd w:id="23"/>
      <w:r w:rsidRPr="00CC052C">
        <w:rPr>
          <w:rFonts w:hint="eastAsia"/>
        </w:rPr>
        <w:t xml:space="preserve"> </w:t>
      </w:r>
      <w:r w:rsidRPr="00CC052C">
        <w:rPr>
          <w:rFonts w:hint="eastAsia"/>
        </w:rPr>
        <w:t>但在《罗马规约》第七条第</w:t>
      </w:r>
      <w:r w:rsidRPr="00CC052C">
        <w:rPr>
          <w:rFonts w:hint="eastAsia"/>
        </w:rPr>
        <w:t>(</w:t>
      </w:r>
      <w:r w:rsidRPr="00CC052C">
        <w:rPr>
          <w:rFonts w:hint="eastAsia"/>
        </w:rPr>
        <w:t>二</w:t>
      </w:r>
      <w:r w:rsidRPr="00CC052C">
        <w:rPr>
          <w:rFonts w:hint="eastAsia"/>
        </w:rPr>
        <w:t>)</w:t>
      </w:r>
      <w:r w:rsidRPr="00CC052C">
        <w:rPr>
          <w:rFonts w:hint="eastAsia"/>
        </w:rPr>
        <w:lastRenderedPageBreak/>
        <w:t>款第</w:t>
      </w:r>
      <w:r w:rsidRPr="00CC052C">
        <w:rPr>
          <w:rFonts w:hint="eastAsia"/>
        </w:rPr>
        <w:t>1</w:t>
      </w:r>
      <w:r w:rsidRPr="00CC052C">
        <w:rPr>
          <w:rFonts w:hint="eastAsia"/>
        </w:rPr>
        <w:t>项中增加了对“攻击”的定义，正如下文所讨论的，该定义中加入了一项政策要件。</w:t>
      </w:r>
    </w:p>
    <w:p w:rsidR="007C3A88" w:rsidRPr="00CC052C" w:rsidRDefault="007C3A88" w:rsidP="007C3A88">
      <w:pPr>
        <w:pStyle w:val="SingleTxt"/>
      </w:pPr>
      <w:r w:rsidRPr="003608E8">
        <w:rPr>
          <w:spacing w:val="-2"/>
        </w:rPr>
        <w:t xml:space="preserve">(12) </w:t>
      </w:r>
      <w:r w:rsidRPr="003608E8">
        <w:rPr>
          <w:rFonts w:hint="eastAsia"/>
          <w:spacing w:val="-2"/>
        </w:rPr>
        <w:t xml:space="preserve"> </w:t>
      </w:r>
      <w:r w:rsidRPr="003608E8">
        <w:rPr>
          <w:spacing w:val="-2"/>
        </w:rPr>
        <w:t>前南刑庭</w:t>
      </w:r>
      <w:r w:rsidRPr="003608E8">
        <w:rPr>
          <w:rFonts w:hint="eastAsia"/>
          <w:spacing w:val="-2"/>
        </w:rPr>
        <w:t>审判分庭在</w:t>
      </w:r>
      <w:r w:rsidRPr="003608E8">
        <w:rPr>
          <w:spacing w:val="-2"/>
        </w:rPr>
        <w:t>Kunarac</w:t>
      </w:r>
      <w:r w:rsidRPr="003608E8">
        <w:rPr>
          <w:rFonts w:hint="eastAsia"/>
          <w:spacing w:val="-2"/>
        </w:rPr>
        <w:t>案中指出，“‘广泛’这一形容词说明了攻击的大规模性质及其受害者人数的众多。</w:t>
      </w:r>
      <w:bookmarkStart w:id="24" w:name="_Ref295900108"/>
      <w:r w:rsidRPr="003608E8">
        <w:rPr>
          <w:rFonts w:hint="eastAsia"/>
          <w:spacing w:val="-2"/>
        </w:rPr>
        <w:t>”</w:t>
      </w:r>
      <w:bookmarkEnd w:id="24"/>
      <w:r w:rsidRPr="003608E8">
        <w:rPr>
          <w:spacing w:val="-2"/>
          <w:w w:val="150"/>
          <w:vertAlign w:val="superscript"/>
        </w:rPr>
        <w:footnoteReference w:id="126"/>
      </w:r>
      <w:r w:rsidRPr="003608E8">
        <w:rPr>
          <w:spacing w:val="-2"/>
        </w:rPr>
        <w:t xml:space="preserve"> </w:t>
      </w:r>
      <w:r w:rsidRPr="003608E8">
        <w:rPr>
          <w:rFonts w:hint="eastAsia"/>
          <w:spacing w:val="-2"/>
        </w:rPr>
        <w:t>因此，这一条件指“受害者人数的众多”，</w:t>
      </w:r>
      <w:bookmarkStart w:id="25" w:name="_Ref339979171"/>
      <w:r w:rsidRPr="003608E8">
        <w:rPr>
          <w:spacing w:val="-2"/>
          <w:w w:val="150"/>
          <w:vertAlign w:val="superscript"/>
        </w:rPr>
        <w:footnoteReference w:id="127"/>
      </w:r>
      <w:bookmarkEnd w:id="25"/>
      <w:r w:rsidRPr="003608E8">
        <w:rPr>
          <w:rFonts w:hint="eastAsia"/>
          <w:spacing w:val="-2"/>
        </w:rPr>
        <w:t xml:space="preserve"> </w:t>
      </w:r>
      <w:r w:rsidRPr="00CC052C">
        <w:rPr>
          <w:rFonts w:hint="eastAsia"/>
        </w:rPr>
        <w:t>并排除了孤立的暴力行为，</w:t>
      </w:r>
      <w:bookmarkStart w:id="26" w:name="_Ref295902455"/>
      <w:r w:rsidRPr="00CC052C">
        <w:rPr>
          <w:w w:val="150"/>
          <w:vertAlign w:val="superscript"/>
        </w:rPr>
        <w:footnoteReference w:id="128"/>
      </w:r>
      <w:bookmarkEnd w:id="26"/>
      <w:r w:rsidRPr="00CC052C">
        <w:rPr>
          <w:rFonts w:hint="eastAsia"/>
        </w:rPr>
        <w:t xml:space="preserve"> </w:t>
      </w:r>
      <w:r w:rsidRPr="00CC052C">
        <w:rPr>
          <w:rFonts w:hint="eastAsia"/>
        </w:rPr>
        <w:t>例如出于本人意志而非按照某更广泛的计划而谋杀个人受害者的行为。与此同时，个人行为人实施的单一罪行，若发生在某个更广泛的运动的背景之下，也可构成危害人类罪。</w:t>
      </w:r>
      <w:bookmarkStart w:id="27" w:name="_Ref340059309"/>
      <w:r w:rsidRPr="00CC052C">
        <w:rPr>
          <w:w w:val="150"/>
          <w:vertAlign w:val="superscript"/>
        </w:rPr>
        <w:footnoteReference w:id="129"/>
      </w:r>
      <w:bookmarkEnd w:id="27"/>
      <w:r w:rsidRPr="00CC052C">
        <w:rPr>
          <w:rFonts w:hint="eastAsia"/>
        </w:rPr>
        <w:t xml:space="preserve"> </w:t>
      </w:r>
      <w:r w:rsidRPr="00CC052C">
        <w:rPr>
          <w:rFonts w:hint="eastAsia"/>
        </w:rPr>
        <w:t>攻击行为不需受害者人数达到某具体下限即可属于“广泛”攻击。</w:t>
      </w:r>
    </w:p>
    <w:p w:rsidR="007C3A88" w:rsidRPr="00CC052C" w:rsidRDefault="007C3A88" w:rsidP="007C3A88">
      <w:pPr>
        <w:pStyle w:val="SingleTxt"/>
      </w:pPr>
      <w:r w:rsidRPr="00CC052C">
        <w:t xml:space="preserve">(13) </w:t>
      </w:r>
      <w:bookmarkStart w:id="28" w:name="_Ref295904108"/>
      <w:r w:rsidRPr="00CC052C">
        <w:rPr>
          <w:rFonts w:hint="eastAsia"/>
        </w:rPr>
        <w:t xml:space="preserve"> </w:t>
      </w:r>
      <w:r w:rsidRPr="00CC052C">
        <w:rPr>
          <w:rFonts w:hint="eastAsia"/>
        </w:rPr>
        <w:t>“广泛”亦可有地域层面的意思，指攻击发生在不同地点。</w:t>
      </w:r>
      <w:bookmarkEnd w:id="28"/>
      <w:r w:rsidRPr="00CC052C">
        <w:rPr>
          <w:w w:val="150"/>
          <w:vertAlign w:val="superscript"/>
        </w:rPr>
        <w:footnoteReference w:id="130"/>
      </w:r>
      <w:r w:rsidRPr="00CC052C">
        <w:t xml:space="preserve"> </w:t>
      </w:r>
      <w:r w:rsidRPr="00CC052C">
        <w:rPr>
          <w:rFonts w:hint="eastAsia"/>
        </w:rPr>
        <w:t>例如，国际刑院预审分庭在</w:t>
      </w:r>
      <w:r w:rsidRPr="00CC052C">
        <w:t>Bemba</w:t>
      </w:r>
      <w:r w:rsidRPr="00CC052C">
        <w:rPr>
          <w:rFonts w:hint="eastAsia"/>
        </w:rPr>
        <w:t>案中，根据广大地域诸多地点的攻击报告，包括上千起强奸、群葬坑和大量受害者的证据，认定证据充分，足以确定有关攻击属于“广泛”攻击。</w:t>
      </w:r>
      <w:r w:rsidRPr="00CC052C">
        <w:rPr>
          <w:w w:val="150"/>
          <w:vertAlign w:val="superscript"/>
        </w:rPr>
        <w:footnoteReference w:id="131"/>
      </w:r>
      <w:r w:rsidRPr="00CC052C">
        <w:t xml:space="preserve"> </w:t>
      </w:r>
      <w:r w:rsidRPr="00CC052C">
        <w:rPr>
          <w:rFonts w:hint="eastAsia"/>
        </w:rPr>
        <w:t>但所涉地域广大并不是必要条件；</w:t>
      </w:r>
      <w:r w:rsidRPr="00CC052C">
        <w:t>前南刑庭</w:t>
      </w:r>
      <w:r w:rsidRPr="00CC052C">
        <w:rPr>
          <w:rFonts w:hint="eastAsia"/>
        </w:rPr>
        <w:t>认定，在一较小地域内针对大量平民的攻击也属于“广泛”攻击。</w:t>
      </w:r>
      <w:r w:rsidRPr="00CC052C">
        <w:rPr>
          <w:w w:val="150"/>
          <w:vertAlign w:val="superscript"/>
        </w:rPr>
        <w:footnoteReference w:id="132"/>
      </w:r>
    </w:p>
    <w:p w:rsidR="007C3A88" w:rsidRPr="00CC052C" w:rsidRDefault="007C3A88" w:rsidP="007C3A88">
      <w:pPr>
        <w:pStyle w:val="SingleTxt"/>
      </w:pPr>
      <w:r w:rsidRPr="00CC052C">
        <w:t xml:space="preserve">(14) </w:t>
      </w:r>
      <w:r w:rsidRPr="00CC052C">
        <w:rPr>
          <w:rFonts w:hint="eastAsia"/>
        </w:rPr>
        <w:t xml:space="preserve"> </w:t>
      </w:r>
      <w:r w:rsidRPr="00CC052C">
        <w:t>国际刑院预审分庭</w:t>
      </w:r>
      <w:r w:rsidRPr="00CC052C">
        <w:rPr>
          <w:rFonts w:hint="eastAsia"/>
        </w:rPr>
        <w:t>在</w:t>
      </w:r>
      <w:r w:rsidRPr="00CC052C">
        <w:t>2010</w:t>
      </w:r>
      <w:r w:rsidRPr="00CC052C">
        <w:t>年肯尼亚授权决定</w:t>
      </w:r>
      <w:r w:rsidRPr="00CC052C">
        <w:rPr>
          <w:rFonts w:hint="eastAsia"/>
        </w:rPr>
        <w:t>中表示，“评估并非仅考察数量或地域，而是必须根据个体事实予以分析。”</w:t>
      </w:r>
      <w:r w:rsidRPr="00CC052C">
        <w:rPr>
          <w:w w:val="150"/>
          <w:vertAlign w:val="superscript"/>
        </w:rPr>
        <w:footnoteReference w:id="133"/>
      </w:r>
      <w:r w:rsidRPr="00CC052C">
        <w:rPr>
          <w:rFonts w:hint="eastAsia"/>
        </w:rPr>
        <w:t xml:space="preserve"> </w:t>
      </w:r>
      <w:r w:rsidRPr="00CC052C">
        <w:rPr>
          <w:rFonts w:hint="eastAsia"/>
        </w:rPr>
        <w:t>若多起不人道行为造成累加影响，或单起不人道行为情节极为严重，有关攻击也可属于广泛攻击。</w:t>
      </w:r>
      <w:r w:rsidRPr="00CC052C">
        <w:rPr>
          <w:w w:val="150"/>
          <w:vertAlign w:val="superscript"/>
        </w:rPr>
        <w:footnoteReference w:id="134"/>
      </w:r>
    </w:p>
    <w:p w:rsidR="007C3A88" w:rsidRPr="00CE568E" w:rsidRDefault="007C3A88" w:rsidP="007C3A88">
      <w:pPr>
        <w:pStyle w:val="SingleTxt"/>
        <w:rPr>
          <w:spacing w:val="2"/>
        </w:rPr>
      </w:pPr>
      <w:r w:rsidRPr="00CC052C">
        <w:lastRenderedPageBreak/>
        <w:t xml:space="preserve">(15) </w:t>
      </w:r>
      <w:bookmarkStart w:id="29" w:name="_Ref213845256"/>
      <w:r w:rsidRPr="00CC052C">
        <w:rPr>
          <w:rFonts w:hint="eastAsia"/>
        </w:rPr>
        <w:t xml:space="preserve"> </w:t>
      </w:r>
      <w:r w:rsidRPr="00CC052C">
        <w:rPr>
          <w:rFonts w:hint="eastAsia"/>
        </w:rPr>
        <w:t>与“广泛”一样</w:t>
      </w:r>
      <w:r w:rsidRPr="00CC052C">
        <w:rPr>
          <w:rFonts w:hint="eastAsia"/>
        </w:rPr>
        <w:t>,</w:t>
      </w:r>
      <w:r w:rsidRPr="00CC052C">
        <w:rPr>
          <w:rFonts w:hint="eastAsia"/>
        </w:rPr>
        <w:t>“有系统”一词也不包括孤立或没有联系的暴力行为，</w:t>
      </w:r>
      <w:r w:rsidRPr="00CC052C">
        <w:rPr>
          <w:w w:val="150"/>
          <w:vertAlign w:val="superscript"/>
        </w:rPr>
        <w:footnoteReference w:id="135"/>
      </w:r>
      <w:r w:rsidRPr="00CC052C">
        <w:rPr>
          <w:rFonts w:hint="eastAsia"/>
        </w:rPr>
        <w:t xml:space="preserve"> </w:t>
      </w:r>
      <w:r w:rsidRPr="00CC052C">
        <w:t>前</w:t>
      </w:r>
      <w:r w:rsidRPr="00B613C8">
        <w:rPr>
          <w:spacing w:val="-3"/>
        </w:rPr>
        <w:t>南刑庭</w:t>
      </w:r>
      <w:r w:rsidRPr="00B613C8">
        <w:rPr>
          <w:rFonts w:hint="eastAsia"/>
          <w:spacing w:val="-3"/>
        </w:rPr>
        <w:t>、</w:t>
      </w:r>
      <w:r w:rsidRPr="00B613C8">
        <w:rPr>
          <w:spacing w:val="-3"/>
        </w:rPr>
        <w:t>卢刑庭</w:t>
      </w:r>
      <w:r w:rsidRPr="00B613C8">
        <w:rPr>
          <w:rFonts w:hint="eastAsia"/>
          <w:spacing w:val="-3"/>
        </w:rPr>
        <w:t>和国际刑院的判例所反映的对这一术语含义的理解相似。</w:t>
      </w:r>
      <w:r w:rsidRPr="00B613C8">
        <w:rPr>
          <w:spacing w:val="-3"/>
        </w:rPr>
        <w:t>前南刑庭</w:t>
      </w:r>
      <w:r w:rsidRPr="00B613C8">
        <w:rPr>
          <w:rFonts w:hint="eastAsia"/>
          <w:spacing w:val="-3"/>
        </w:rPr>
        <w:t>将“有系统”定义为“暴力行为是有组织的，且不是随机发生的”</w:t>
      </w:r>
      <w:r w:rsidRPr="00B613C8">
        <w:rPr>
          <w:spacing w:val="-3"/>
          <w:w w:val="150"/>
          <w:vertAlign w:val="superscript"/>
        </w:rPr>
        <w:footnoteReference w:id="136"/>
      </w:r>
      <w:r w:rsidRPr="00B613C8">
        <w:rPr>
          <w:spacing w:val="-3"/>
        </w:rPr>
        <w:t xml:space="preserve"> </w:t>
      </w:r>
      <w:r w:rsidRPr="00B613C8">
        <w:rPr>
          <w:rFonts w:hint="eastAsia"/>
          <w:spacing w:val="-3"/>
        </w:rPr>
        <w:t>并认定，只要有行为规律的证据或方法计划的证据，就可确定有关攻击是有系统的。</w:t>
      </w:r>
      <w:r w:rsidRPr="00B613C8">
        <w:rPr>
          <w:spacing w:val="-3"/>
          <w:w w:val="150"/>
          <w:vertAlign w:val="superscript"/>
        </w:rPr>
        <w:footnoteReference w:id="137"/>
      </w:r>
      <w:r w:rsidRPr="00B613C8">
        <w:rPr>
          <w:spacing w:val="-3"/>
        </w:rPr>
        <w:t xml:space="preserve"> </w:t>
      </w:r>
      <w:r w:rsidRPr="00B613C8">
        <w:rPr>
          <w:rFonts w:hint="eastAsia"/>
          <w:spacing w:val="-3"/>
        </w:rPr>
        <w:t>因此，上诉分庭在</w:t>
      </w:r>
      <w:r w:rsidRPr="00B613C8">
        <w:rPr>
          <w:spacing w:val="-3"/>
        </w:rPr>
        <w:t>Kunara</w:t>
      </w:r>
      <w:r w:rsidRPr="00B613C8">
        <w:rPr>
          <w:rFonts w:hint="eastAsia"/>
          <w:spacing w:val="-3"/>
        </w:rPr>
        <w:t>案中确认，“‘犯罪的规律，即相似犯罪行为频频非意外的重复发生，是这种有系统攻击的一种常见表现。’”</w:t>
      </w:r>
      <w:bookmarkStart w:id="30" w:name="_Ref422733118"/>
      <w:r w:rsidRPr="00B613C8">
        <w:rPr>
          <w:spacing w:val="-3"/>
          <w:w w:val="150"/>
          <w:vertAlign w:val="superscript"/>
        </w:rPr>
        <w:footnoteReference w:id="138"/>
      </w:r>
      <w:bookmarkEnd w:id="30"/>
      <w:r w:rsidRPr="00B613C8">
        <w:rPr>
          <w:spacing w:val="-3"/>
        </w:rPr>
        <w:t xml:space="preserve"> </w:t>
      </w:r>
      <w:r w:rsidRPr="00B613C8">
        <w:rPr>
          <w:spacing w:val="-3"/>
        </w:rPr>
        <w:t>卢刑庭</w:t>
      </w:r>
      <w:r w:rsidRPr="00B613C8">
        <w:rPr>
          <w:rFonts w:hint="eastAsia"/>
          <w:spacing w:val="-3"/>
        </w:rPr>
        <w:t>也采用了类似的处理方法。</w:t>
      </w:r>
      <w:r w:rsidRPr="00B613C8">
        <w:rPr>
          <w:spacing w:val="-3"/>
          <w:w w:val="150"/>
          <w:vertAlign w:val="superscript"/>
        </w:rPr>
        <w:footnoteReference w:id="139"/>
      </w:r>
      <w:r w:rsidRPr="00B613C8">
        <w:rPr>
          <w:spacing w:val="-3"/>
        </w:rPr>
        <w:t xml:space="preserve"> </w:t>
      </w:r>
    </w:p>
    <w:p w:rsidR="007C3A88" w:rsidRPr="00CC052C" w:rsidRDefault="007C3A88" w:rsidP="007C3A88">
      <w:pPr>
        <w:pStyle w:val="SingleTxt"/>
      </w:pPr>
      <w:r w:rsidRPr="00CC052C">
        <w:t xml:space="preserve">(16) </w:t>
      </w:r>
      <w:r w:rsidRPr="00CC052C">
        <w:rPr>
          <w:rFonts w:hint="eastAsia"/>
        </w:rPr>
        <w:t xml:space="preserve"> </w:t>
      </w:r>
      <w:r w:rsidRPr="00CC052C">
        <w:t>国际刑院</w:t>
      </w:r>
      <w:r w:rsidRPr="00CC052C">
        <w:rPr>
          <w:rFonts w:hint="eastAsia"/>
        </w:rPr>
        <w:t>某</w:t>
      </w:r>
      <w:r w:rsidRPr="00CC052C">
        <w:t>预审分庭</w:t>
      </w:r>
      <w:r w:rsidRPr="00CC052C">
        <w:rPr>
          <w:rFonts w:hint="eastAsia"/>
        </w:rPr>
        <w:t>与</w:t>
      </w:r>
      <w:r w:rsidRPr="00CC052C">
        <w:t>前南刑庭</w:t>
      </w:r>
      <w:r w:rsidRPr="00CC052C">
        <w:rPr>
          <w:rFonts w:hint="eastAsia"/>
        </w:rPr>
        <w:t>和</w:t>
      </w:r>
      <w:r w:rsidRPr="00CC052C">
        <w:t>卢刑庭</w:t>
      </w:r>
      <w:r w:rsidRPr="00CC052C">
        <w:rPr>
          <w:rFonts w:hint="eastAsia"/>
        </w:rPr>
        <w:t>判例保持一致，在</w:t>
      </w:r>
      <w:r w:rsidRPr="00CC052C">
        <w:t>Harun</w:t>
      </w:r>
      <w:r w:rsidRPr="00CC052C">
        <w:rPr>
          <w:rFonts w:hint="eastAsia"/>
        </w:rPr>
        <w:t>案中认定，“‘有系统’指‘暴力行为是有组织的，且不是随机发生的。’”</w:t>
      </w:r>
      <w:r w:rsidRPr="00CC052C">
        <w:rPr>
          <w:w w:val="150"/>
          <w:vertAlign w:val="superscript"/>
        </w:rPr>
        <w:footnoteReference w:id="140"/>
      </w:r>
      <w:r w:rsidRPr="00CC052C">
        <w:t xml:space="preserve"> </w:t>
      </w:r>
      <w:r w:rsidRPr="00CC052C">
        <w:t>国际刑院</w:t>
      </w:r>
      <w:r w:rsidRPr="00CC052C">
        <w:rPr>
          <w:rFonts w:hint="eastAsia"/>
        </w:rPr>
        <w:t>某</w:t>
      </w:r>
      <w:r w:rsidRPr="00CC052C">
        <w:t>预审分庭</w:t>
      </w:r>
      <w:r w:rsidRPr="00CC052C">
        <w:rPr>
          <w:rFonts w:hint="eastAsia"/>
        </w:rPr>
        <w:t>在</w:t>
      </w:r>
      <w:r w:rsidRPr="00CC052C">
        <w:t>Katanga</w:t>
      </w:r>
      <w:r w:rsidRPr="00CC052C">
        <w:rPr>
          <w:rFonts w:hint="eastAsia"/>
        </w:rPr>
        <w:t>案中认定，该术语“已被理解为推行某项共同政策的有组织计划，该计划遵循某种规律，并造成有关行为得到不断实施，或被理解为导致有关犯罪构成‘相似犯罪行为频频非意外的重复发生’的‘犯罪规律’。”</w:t>
      </w:r>
      <w:r w:rsidRPr="00CC052C">
        <w:rPr>
          <w:w w:val="150"/>
          <w:vertAlign w:val="superscript"/>
        </w:rPr>
        <w:footnoteReference w:id="141"/>
      </w:r>
      <w:r w:rsidRPr="00CC052C">
        <w:rPr>
          <w:rFonts w:hint="eastAsia"/>
        </w:rPr>
        <w:t xml:space="preserve"> </w:t>
      </w:r>
      <w:r w:rsidRPr="00CC052C">
        <w:t>国际刑院</w:t>
      </w:r>
      <w:r w:rsidRPr="00CC052C">
        <w:rPr>
          <w:rFonts w:hint="eastAsia"/>
        </w:rPr>
        <w:t>某</w:t>
      </w:r>
      <w:r w:rsidRPr="00CC052C">
        <w:t>预审分庭</w:t>
      </w:r>
      <w:r w:rsidRPr="00CC052C">
        <w:rPr>
          <w:rFonts w:hint="eastAsia"/>
        </w:rPr>
        <w:t>适用了这一标准，在</w:t>
      </w:r>
      <w:r w:rsidRPr="00CC052C">
        <w:t>Ntaganda</w:t>
      </w:r>
      <w:r w:rsidRPr="00CC052C">
        <w:rPr>
          <w:rFonts w:hint="eastAsia"/>
        </w:rPr>
        <w:t>案中认定有关攻击属于有系统攻击，因为“行为人采用了相似的方式和方法攻击不同地点：他们聚集许多人同时从不同方向逼近目标、用重武器攻击村庄，且有系统地用相似方法驱赶民众，逐户将民众驱入荒野，同时焚烧所有房地并劫掠财物。”</w:t>
      </w:r>
      <w:bookmarkEnd w:id="29"/>
      <w:r w:rsidRPr="00CC052C">
        <w:rPr>
          <w:w w:val="150"/>
          <w:vertAlign w:val="superscript"/>
        </w:rPr>
        <w:footnoteReference w:id="142"/>
      </w:r>
      <w:r w:rsidRPr="00CC052C">
        <w:t xml:space="preserve"> </w:t>
      </w:r>
      <w:r w:rsidRPr="00CC052C">
        <w:rPr>
          <w:rFonts w:hint="eastAsia"/>
        </w:rPr>
        <w:t>此外，某预审分庭在</w:t>
      </w:r>
      <w:r w:rsidRPr="00CC052C">
        <w:t>Ntagand</w:t>
      </w:r>
      <w:r w:rsidRPr="00CC052C">
        <w:rPr>
          <w:rFonts w:hint="eastAsia"/>
          <w:iCs/>
        </w:rPr>
        <w:t>案的确认指控决定中裁定，</w:t>
      </w:r>
      <w:r w:rsidRPr="00CC052C">
        <w:rPr>
          <w:rFonts w:hint="eastAsia"/>
        </w:rPr>
        <w:t>有关攻击是有系统攻击，因为攻击遵循某种“规律”，“反复采用同样的作案手法，包括设立路障、布设地雷，以及协同实施非法行为……以攻击非赫马族平民人口。”</w:t>
      </w:r>
      <w:r w:rsidRPr="00CC052C">
        <w:rPr>
          <w:w w:val="150"/>
          <w:vertAlign w:val="superscript"/>
        </w:rPr>
        <w:footnoteReference w:id="143"/>
      </w:r>
      <w:r w:rsidRPr="00CC052C">
        <w:t xml:space="preserve"> </w:t>
      </w:r>
      <w:r w:rsidRPr="00CC052C">
        <w:rPr>
          <w:rFonts w:hint="eastAsia"/>
        </w:rPr>
        <w:t>在</w:t>
      </w:r>
      <w:r w:rsidRPr="00CC052C">
        <w:t>Gbagbo</w:t>
      </w:r>
      <w:r w:rsidRPr="00CC052C">
        <w:rPr>
          <w:rFonts w:hint="eastAsia"/>
        </w:rPr>
        <w:t>案中，</w:t>
      </w:r>
      <w:r w:rsidRPr="00CC052C">
        <w:t>国际刑院</w:t>
      </w:r>
      <w:r w:rsidRPr="00CC052C">
        <w:rPr>
          <w:rFonts w:hint="eastAsia"/>
        </w:rPr>
        <w:t>某</w:t>
      </w:r>
      <w:r w:rsidRPr="00CC052C">
        <w:t>预审分庭</w:t>
      </w:r>
      <w:r w:rsidRPr="00CC052C">
        <w:rPr>
          <w:rFonts w:hint="eastAsia"/>
        </w:rPr>
        <w:t>认定有关攻击属于有系统攻击，因为“攻击预先经过准备”且是有计划并协同实施的，暴力行为表现出了“明显的规律。”</w:t>
      </w:r>
      <w:bookmarkStart w:id="31" w:name="_Ref422420873"/>
      <w:r w:rsidRPr="00CC052C">
        <w:rPr>
          <w:w w:val="150"/>
          <w:vertAlign w:val="superscript"/>
        </w:rPr>
        <w:footnoteReference w:id="144"/>
      </w:r>
      <w:bookmarkEnd w:id="31"/>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“针对任何平民人口”</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lastRenderedPageBreak/>
        <w:t xml:space="preserve">(17) </w:t>
      </w:r>
      <w:r w:rsidRPr="00CC052C">
        <w:rPr>
          <w:rFonts w:hint="eastAsia"/>
        </w:rPr>
        <w:t xml:space="preserve"> </w:t>
      </w:r>
      <w:r w:rsidRPr="00CC052C">
        <w:rPr>
          <w:rFonts w:hint="eastAsia"/>
        </w:rPr>
        <w:t>第二项总体条件是，有关行为必须是作为“针对任何平民人口”的攻击的一部分实施的。第</w:t>
      </w:r>
      <w:r w:rsidRPr="00CC052C">
        <w:rPr>
          <w:rFonts w:hint="eastAsia"/>
        </w:rPr>
        <w:t>3</w:t>
      </w:r>
      <w:r w:rsidRPr="00CC052C">
        <w:rPr>
          <w:rFonts w:hint="eastAsia"/>
        </w:rPr>
        <w:t>条第</w:t>
      </w:r>
      <w:r w:rsidRPr="00CC052C">
        <w:rPr>
          <w:rFonts w:hint="eastAsia"/>
        </w:rPr>
        <w:t>2</w:t>
      </w:r>
      <w:r w:rsidRPr="00CC052C">
        <w:rPr>
          <w:rFonts w:hint="eastAsia"/>
        </w:rPr>
        <w:t>款</w:t>
      </w:r>
      <w:r w:rsidRPr="00CC052C">
        <w:rPr>
          <w:rFonts w:hint="eastAsia"/>
        </w:rPr>
        <w:t>(a)</w:t>
      </w:r>
      <w:r w:rsidRPr="00CC052C">
        <w:rPr>
          <w:rFonts w:hint="eastAsia"/>
        </w:rPr>
        <w:t>项草案为了第</w:t>
      </w:r>
      <w:r w:rsidRPr="00CC052C">
        <w:rPr>
          <w:rFonts w:hint="eastAsia"/>
        </w:rPr>
        <w:t>1</w:t>
      </w:r>
      <w:r w:rsidRPr="00CC052C">
        <w:rPr>
          <w:rFonts w:hint="eastAsia"/>
        </w:rPr>
        <w:t>款的目的，将“针对任何平民人口进行的攻击”定义为“根据国家或组织攻击平民人口的政策，或为了推行这种政策，针对任何平民人口多次实施第一款所述行为的行为过程”</w:t>
      </w:r>
      <w:bookmarkStart w:id="32" w:name="_Ref295905192"/>
      <w:r w:rsidRPr="00CC052C">
        <w:rPr>
          <w:rFonts w:hint="eastAsia"/>
        </w:rPr>
        <w:t>。</w:t>
      </w:r>
      <w:bookmarkEnd w:id="32"/>
      <w:r w:rsidRPr="00CC052C">
        <w:rPr>
          <w:w w:val="150"/>
          <w:vertAlign w:val="superscript"/>
        </w:rPr>
        <w:footnoteReference w:id="145"/>
      </w:r>
      <w:r w:rsidRPr="00CC052C">
        <w:t xml:space="preserve"> </w:t>
      </w:r>
      <w:r w:rsidRPr="00CC052C">
        <w:rPr>
          <w:rFonts w:hint="eastAsia"/>
        </w:rPr>
        <w:t>如下文所讨论的，</w:t>
      </w:r>
      <w:r w:rsidRPr="00CC052C">
        <w:t>前南刑庭</w:t>
      </w:r>
      <w:r w:rsidRPr="00CC052C">
        <w:rPr>
          <w:rFonts w:hint="eastAsia"/>
        </w:rPr>
        <w:t>、</w:t>
      </w:r>
      <w:r w:rsidRPr="00CC052C">
        <w:t>卢刑庭</w:t>
      </w:r>
      <w:r w:rsidRPr="00CC052C">
        <w:rPr>
          <w:rFonts w:hint="eastAsia"/>
        </w:rPr>
        <w:t>和国际刑院的判例已经解释了以下这些术语的含义：“针对”、“任何”、“平民”、“人口”、“多次实施行为的行为过程”和“国家或组织的政策”。</w:t>
      </w:r>
    </w:p>
    <w:p w:rsidR="007C3A88" w:rsidRPr="00CC052C" w:rsidRDefault="007C3A88" w:rsidP="007C3A88">
      <w:pPr>
        <w:pStyle w:val="SingleTxt"/>
      </w:pPr>
      <w:r w:rsidRPr="00CC052C">
        <w:t xml:space="preserve">(18) </w:t>
      </w:r>
      <w:r w:rsidRPr="00CC052C">
        <w:rPr>
          <w:rFonts w:hint="eastAsia"/>
        </w:rPr>
        <w:t xml:space="preserve"> </w:t>
      </w:r>
      <w:r w:rsidRPr="00CC052C">
        <w:t>前南刑庭</w:t>
      </w:r>
      <w:r w:rsidRPr="00CC052C">
        <w:rPr>
          <w:rFonts w:hint="eastAsia"/>
        </w:rPr>
        <w:t>认定，“针对”一词要求平民是攻击的首要预定目标，而不是附带受害者</w:t>
      </w:r>
      <w:bookmarkStart w:id="33" w:name="_Ref213844896"/>
      <w:r w:rsidRPr="00CC052C">
        <w:rPr>
          <w:rFonts w:hint="eastAsia"/>
        </w:rPr>
        <w:t>。</w:t>
      </w:r>
      <w:bookmarkEnd w:id="33"/>
      <w:r w:rsidRPr="00CC052C">
        <w:rPr>
          <w:w w:val="150"/>
          <w:vertAlign w:val="superscript"/>
        </w:rPr>
        <w:footnoteReference w:id="146"/>
      </w:r>
      <w:r w:rsidRPr="00CC052C">
        <w:t xml:space="preserve"> </w:t>
      </w:r>
      <w:r w:rsidRPr="00CC052C">
        <w:rPr>
          <w:rFonts w:hint="eastAsia"/>
        </w:rPr>
        <w:t>之后，</w:t>
      </w:r>
      <w:r w:rsidRPr="00CC052C">
        <w:t>国际刑院预审分庭</w:t>
      </w:r>
      <w:r w:rsidRPr="00CC052C">
        <w:rPr>
          <w:rFonts w:hint="eastAsia"/>
        </w:rPr>
        <w:t>在</w:t>
      </w:r>
      <w:r w:rsidRPr="00CC052C">
        <w:t>Bemba</w:t>
      </w:r>
      <w:r w:rsidRPr="00CC052C">
        <w:rPr>
          <w:rFonts w:hint="eastAsia"/>
          <w:iCs/>
        </w:rPr>
        <w:t>案</w:t>
      </w:r>
      <w:r w:rsidRPr="00CC052C">
        <w:rPr>
          <w:rFonts w:hint="eastAsia"/>
        </w:rPr>
        <w:t>和</w:t>
      </w:r>
      <w:r w:rsidRPr="00CC052C">
        <w:t>2010</w:t>
      </w:r>
      <w:r w:rsidRPr="00CC052C">
        <w:t>年肯尼亚授权决定</w:t>
      </w:r>
      <w:r w:rsidRPr="00CC052C">
        <w:rPr>
          <w:rFonts w:hint="eastAsia"/>
        </w:rPr>
        <w:t>中采用了这一解释。</w:t>
      </w:r>
      <w:r w:rsidRPr="00CC052C">
        <w:rPr>
          <w:w w:val="150"/>
          <w:vertAlign w:val="superscript"/>
        </w:rPr>
        <w:footnoteReference w:id="147"/>
      </w:r>
      <w:r w:rsidRPr="00CC052C">
        <w:t xml:space="preserve"> </w:t>
      </w:r>
      <w:r w:rsidRPr="00CC052C">
        <w:rPr>
          <w:rFonts w:hint="eastAsia"/>
        </w:rPr>
        <w:t>国际刑院某审判分庭在</w:t>
      </w:r>
      <w:r w:rsidRPr="00CC052C">
        <w:t>Katanga</w:t>
      </w:r>
      <w:r w:rsidRPr="00CC052C">
        <w:rPr>
          <w:rFonts w:hint="eastAsia"/>
        </w:rPr>
        <w:t>案的审判判决中也采用了相同解释。</w:t>
      </w:r>
      <w:r w:rsidRPr="00CC052C">
        <w:rPr>
          <w:w w:val="150"/>
          <w:vertAlign w:val="superscript"/>
        </w:rPr>
        <w:footnoteReference w:id="148"/>
      </w:r>
      <w:r w:rsidRPr="00CC052C">
        <w:t xml:space="preserve"> </w:t>
      </w:r>
      <w:r w:rsidRPr="00CC052C">
        <w:rPr>
          <w:rFonts w:hint="eastAsia"/>
        </w:rPr>
        <w:t>在</w:t>
      </w:r>
      <w:r w:rsidRPr="00CC052C">
        <w:t>Bemba</w:t>
      </w:r>
      <w:r w:rsidRPr="00CC052C">
        <w:rPr>
          <w:rFonts w:hint="eastAsia"/>
        </w:rPr>
        <w:t>案中，</w:t>
      </w:r>
      <w:r w:rsidRPr="00CC052C">
        <w:t>国际刑院预审分庭</w:t>
      </w:r>
      <w:r w:rsidRPr="00CC052C">
        <w:rPr>
          <w:rFonts w:hint="eastAsia"/>
        </w:rPr>
        <w:t>认定有充分证据显示，有关攻击是“针对”中非共和国平民的。</w:t>
      </w:r>
      <w:r w:rsidRPr="00CC052C">
        <w:rPr>
          <w:w w:val="150"/>
          <w:vertAlign w:val="superscript"/>
        </w:rPr>
        <w:footnoteReference w:id="149"/>
      </w:r>
      <w:r w:rsidRPr="00CC052C">
        <w:t xml:space="preserve"> </w:t>
      </w:r>
      <w:r w:rsidRPr="00CC052C">
        <w:rPr>
          <w:rFonts w:hint="eastAsia"/>
        </w:rPr>
        <w:t>分庭根据平民在自己家中或院子里受到攻击的直接证据，断定刚果解放运动</w:t>
      </w:r>
      <w:r w:rsidRPr="00CC052C">
        <w:t>(</w:t>
      </w:r>
      <w:r w:rsidRPr="00CC052C">
        <w:rPr>
          <w:rFonts w:hint="eastAsia"/>
        </w:rPr>
        <w:t>下称“刚解运”</w:t>
      </w:r>
      <w:r w:rsidRPr="00CC052C">
        <w:t>)</w:t>
      </w:r>
      <w:r w:rsidRPr="00CC052C">
        <w:rPr>
          <w:rFonts w:hint="eastAsia"/>
        </w:rPr>
        <w:t>士兵知道受害者是平民。</w:t>
      </w:r>
      <w:r w:rsidRPr="00CC052C">
        <w:rPr>
          <w:w w:val="150"/>
          <w:vertAlign w:val="superscript"/>
        </w:rPr>
        <w:footnoteReference w:id="150"/>
      </w:r>
      <w:r w:rsidRPr="00CC052C">
        <w:rPr>
          <w:rFonts w:hint="eastAsia"/>
        </w:rPr>
        <w:t xml:space="preserve"> </w:t>
      </w:r>
      <w:r w:rsidRPr="00CC052C">
        <w:rPr>
          <w:rFonts w:hint="eastAsia"/>
        </w:rPr>
        <w:t>分庭还认定，平民是刚解运士兵的</w:t>
      </w:r>
      <w:r w:rsidRPr="00CC052C">
        <w:rPr>
          <w:rFonts w:hint="eastAsia"/>
          <w:iCs/>
        </w:rPr>
        <w:t>首要</w:t>
      </w:r>
      <w:r w:rsidRPr="00CC052C">
        <w:rPr>
          <w:rFonts w:hint="eastAsia"/>
        </w:rPr>
        <w:t>目标，证据是刚解运士兵攻击了一处地点，却并未找到任何他们声称正在追捕的叛军部队。</w:t>
      </w:r>
      <w:r w:rsidRPr="00CC052C">
        <w:rPr>
          <w:w w:val="150"/>
          <w:vertAlign w:val="superscript"/>
        </w:rPr>
        <w:footnoteReference w:id="151"/>
      </w:r>
      <w:r w:rsidRPr="00CC052C">
        <w:rPr>
          <w:rFonts w:hint="eastAsia"/>
        </w:rPr>
        <w:t>“针对”一词强调攻击者的意图而非攻击的实际结果。</w:t>
      </w:r>
      <w:bookmarkStart w:id="34" w:name="_Ref213848808"/>
      <w:r w:rsidRPr="00CC052C">
        <w:rPr>
          <w:w w:val="150"/>
          <w:vertAlign w:val="superscript"/>
        </w:rPr>
        <w:footnoteReference w:id="152"/>
      </w:r>
      <w:bookmarkEnd w:id="34"/>
      <w:r w:rsidRPr="00CC052C">
        <w:rPr>
          <w:rFonts w:hint="eastAsia"/>
        </w:rPr>
        <w:t xml:space="preserve"> </w:t>
      </w:r>
      <w:r w:rsidRPr="00CC052C">
        <w:rPr>
          <w:rFonts w:hint="eastAsia"/>
        </w:rPr>
        <w:t>必须“针对”目标人口的是攻击本身，而非个别行为人的行为。</w:t>
      </w:r>
      <w:r w:rsidRPr="00CC052C">
        <w:rPr>
          <w:w w:val="150"/>
          <w:vertAlign w:val="superscript"/>
        </w:rPr>
        <w:footnoteReference w:id="153"/>
      </w:r>
      <w:r w:rsidRPr="00CC052C">
        <w:t xml:space="preserve"> </w:t>
      </w:r>
    </w:p>
    <w:p w:rsidR="007C3A88" w:rsidRPr="00CC052C" w:rsidRDefault="007C3A88" w:rsidP="007C3A88">
      <w:pPr>
        <w:pStyle w:val="SingleTxt"/>
      </w:pPr>
      <w:r w:rsidRPr="00CC052C">
        <w:t xml:space="preserve">(19) </w:t>
      </w:r>
      <w:r w:rsidRPr="00CC052C">
        <w:rPr>
          <w:rFonts w:hint="eastAsia"/>
        </w:rPr>
        <w:t xml:space="preserve"> </w:t>
      </w:r>
      <w:r w:rsidRPr="00CC052C">
        <w:rPr>
          <w:rFonts w:hint="eastAsia"/>
        </w:rPr>
        <w:t>“任何”一词表明“平民人口”具有广泛的定义，也应予以广泛地解释。</w:t>
      </w:r>
      <w:bookmarkStart w:id="35" w:name="_Ref213849017"/>
      <w:r w:rsidRPr="00CC052C">
        <w:rPr>
          <w:w w:val="150"/>
          <w:vertAlign w:val="superscript"/>
        </w:rPr>
        <w:footnoteReference w:id="154"/>
      </w:r>
      <w:bookmarkEnd w:id="35"/>
      <w:r w:rsidRPr="00CC052C">
        <w:rPr>
          <w:rFonts w:hint="eastAsia"/>
        </w:rPr>
        <w:t xml:space="preserve"> </w:t>
      </w:r>
      <w:r w:rsidRPr="00CC052C">
        <w:rPr>
          <w:rFonts w:hint="eastAsia"/>
        </w:rPr>
        <w:t>实施攻击的对象可以是任何平民，“不论其属于哪个民族、族裔或具有任何其他特征”</w:t>
      </w:r>
      <w:r w:rsidRPr="00CC052C">
        <w:rPr>
          <w:w w:val="150"/>
          <w:vertAlign w:val="superscript"/>
        </w:rPr>
        <w:footnoteReference w:id="155"/>
      </w:r>
      <w:r w:rsidRPr="00CC052C">
        <w:rPr>
          <w:rFonts w:hint="eastAsia"/>
        </w:rPr>
        <w:t>，而且攻击对象既可以是本国国民，也可以是外国人。</w:t>
      </w:r>
      <w:r w:rsidRPr="00CC052C">
        <w:rPr>
          <w:w w:val="150"/>
          <w:vertAlign w:val="superscript"/>
        </w:rPr>
        <w:footnoteReference w:id="156"/>
      </w:r>
      <w:r w:rsidRPr="00CC052C">
        <w:rPr>
          <w:rFonts w:hint="eastAsia"/>
        </w:rPr>
        <w:t xml:space="preserve"> </w:t>
      </w:r>
      <w:r w:rsidRPr="00CC052C">
        <w:rPr>
          <w:rFonts w:hint="eastAsia"/>
        </w:rPr>
        <w:t>攻击目标可“包括由</w:t>
      </w:r>
      <w:r w:rsidRPr="00CC052C">
        <w:rPr>
          <w:rFonts w:hint="eastAsia"/>
        </w:rPr>
        <w:t>(</w:t>
      </w:r>
      <w:r w:rsidRPr="00CC052C">
        <w:rPr>
          <w:rFonts w:hint="eastAsia"/>
        </w:rPr>
        <w:t>别人认为的</w:t>
      </w:r>
      <w:r w:rsidRPr="00CC052C">
        <w:rPr>
          <w:rFonts w:hint="eastAsia"/>
        </w:rPr>
        <w:t>)</w:t>
      </w:r>
      <w:r w:rsidRPr="00CC052C">
        <w:rPr>
          <w:rFonts w:hint="eastAsia"/>
        </w:rPr>
        <w:t>政治从属而划分的群体”。</w:t>
      </w:r>
      <w:r w:rsidRPr="00CC052C">
        <w:rPr>
          <w:w w:val="150"/>
          <w:vertAlign w:val="superscript"/>
        </w:rPr>
        <w:footnoteReference w:id="157"/>
      </w:r>
      <w:r w:rsidRPr="00CC052C">
        <w:t xml:space="preserve"> </w:t>
      </w:r>
      <w:r w:rsidRPr="00CC052C">
        <w:rPr>
          <w:rFonts w:hint="eastAsia"/>
        </w:rPr>
        <w:t>攻击目标必须本质上“主要”是平民，才可算作武装冲突中的“平民人口”；人口中有一定数量的战斗人员并不改变</w:t>
      </w:r>
      <w:r w:rsidRPr="00CC052C">
        <w:rPr>
          <w:rFonts w:hint="eastAsia"/>
        </w:rPr>
        <w:lastRenderedPageBreak/>
        <w:t>人口性质。</w:t>
      </w:r>
      <w:r w:rsidRPr="00CC052C">
        <w:rPr>
          <w:w w:val="150"/>
          <w:vertAlign w:val="superscript"/>
        </w:rPr>
        <w:footnoteReference w:id="158"/>
      </w:r>
      <w:r w:rsidRPr="00CC052C">
        <w:rPr>
          <w:rFonts w:hint="eastAsia"/>
        </w:rPr>
        <w:t xml:space="preserve"> </w:t>
      </w:r>
      <w:r w:rsidRPr="00CC052C">
        <w:rPr>
          <w:rFonts w:hint="eastAsia"/>
        </w:rPr>
        <w:t>这一处理方法符合国际人道主义法产生的其他规则。例如，《日内瓦四公约第一附加议定书》写道：“在平民居民中存在有不属于平民的定义范围内的人，并不使该平民居民失去其平民的性质。”</w:t>
      </w:r>
      <w:r w:rsidRPr="00CC052C">
        <w:rPr>
          <w:w w:val="150"/>
          <w:vertAlign w:val="superscript"/>
        </w:rPr>
        <w:footnoteReference w:id="159"/>
      </w:r>
      <w:r w:rsidRPr="00CC052C">
        <w:t xml:space="preserve"> </w:t>
      </w:r>
      <w:r w:rsidRPr="00CC052C">
        <w:t>卢刑庭</w:t>
      </w:r>
      <w:r w:rsidRPr="00CC052C">
        <w:rPr>
          <w:rFonts w:hint="eastAsia"/>
        </w:rPr>
        <w:t>审判分庭在</w:t>
      </w:r>
      <w:r w:rsidRPr="00CC052C">
        <w:t>Kayishema</w:t>
      </w:r>
      <w:r w:rsidRPr="00CC052C">
        <w:rPr>
          <w:rFonts w:hint="eastAsia"/>
        </w:rPr>
        <w:t>案中认定，在和平时期，“平民”一词应包括所有人员，负责维护公共秩序并为此在遇袭时有合法手段行使武力的人员除外。</w:t>
      </w:r>
      <w:r w:rsidRPr="00CC052C">
        <w:rPr>
          <w:w w:val="150"/>
          <w:vertAlign w:val="superscript"/>
        </w:rPr>
        <w:footnoteReference w:id="160"/>
      </w:r>
      <w:r w:rsidRPr="00CC052C">
        <w:rPr>
          <w:rFonts w:hint="eastAsia"/>
        </w:rPr>
        <w:t xml:space="preserve"> </w:t>
      </w:r>
      <w:r w:rsidRPr="00CC052C">
        <w:rPr>
          <w:rFonts w:hint="eastAsia"/>
        </w:rPr>
        <w:t>分析任何给定受害者的法律身份时，必须结合罪行发生时的情况；</w:t>
      </w:r>
      <w:r w:rsidRPr="00CC052C">
        <w:rPr>
          <w:w w:val="150"/>
          <w:vertAlign w:val="superscript"/>
        </w:rPr>
        <w:footnoteReference w:id="161"/>
      </w:r>
      <w:r w:rsidRPr="00CC052C">
        <w:t xml:space="preserve"> </w:t>
      </w:r>
      <w:r w:rsidRPr="00CC052C">
        <w:rPr>
          <w:rFonts w:hint="eastAsia"/>
        </w:rPr>
        <w:t>若对某人的法律身份存在任何疑问，应将其视为平民。</w:t>
      </w:r>
      <w:r w:rsidRPr="00CC052C">
        <w:rPr>
          <w:w w:val="150"/>
          <w:vertAlign w:val="superscript"/>
        </w:rPr>
        <w:footnoteReference w:id="162"/>
      </w:r>
      <w:r w:rsidRPr="00CC052C">
        <w:t xml:space="preserve"> </w:t>
      </w:r>
    </w:p>
    <w:p w:rsidR="007C3A88" w:rsidRPr="00B613C8" w:rsidRDefault="007C3A88" w:rsidP="007C3A88">
      <w:pPr>
        <w:pStyle w:val="SingleTxt"/>
        <w:rPr>
          <w:spacing w:val="-3"/>
        </w:rPr>
      </w:pPr>
      <w:r w:rsidRPr="00CC052C">
        <w:t xml:space="preserve">(20) </w:t>
      </w:r>
      <w:r w:rsidRPr="00CC052C">
        <w:rPr>
          <w:rFonts w:hint="eastAsia"/>
        </w:rPr>
        <w:t xml:space="preserve"> </w:t>
      </w:r>
      <w:r w:rsidRPr="00CC052C">
        <w:rPr>
          <w:rFonts w:hint="eastAsia"/>
        </w:rPr>
        <w:t>“人口”一词并不意味着某给定地点的所有人口都要遭到袭击；</w:t>
      </w:r>
      <w:r w:rsidRPr="00CC052C">
        <w:rPr>
          <w:w w:val="150"/>
          <w:vertAlign w:val="superscript"/>
        </w:rPr>
        <w:footnoteReference w:id="163"/>
      </w:r>
      <w:r w:rsidRPr="00CC052C">
        <w:t xml:space="preserve"> </w:t>
      </w:r>
      <w:r w:rsidRPr="00CC052C">
        <w:rPr>
          <w:rFonts w:hint="eastAsia"/>
        </w:rPr>
        <w:t>而是隐</w:t>
      </w:r>
      <w:r w:rsidRPr="00B613C8">
        <w:rPr>
          <w:rFonts w:hint="eastAsia"/>
          <w:spacing w:val="-3"/>
        </w:rPr>
        <w:t>示有关犯罪是对多名受害者的攻击，具有集体性。</w:t>
      </w:r>
      <w:r w:rsidRPr="00B613C8">
        <w:rPr>
          <w:spacing w:val="-3"/>
          <w:w w:val="150"/>
          <w:vertAlign w:val="superscript"/>
        </w:rPr>
        <w:footnoteReference w:id="164"/>
      </w:r>
      <w:r w:rsidRPr="00B613C8">
        <w:rPr>
          <w:spacing w:val="-3"/>
        </w:rPr>
        <w:t xml:space="preserve"> </w:t>
      </w:r>
      <w:r w:rsidRPr="00B613C8">
        <w:rPr>
          <w:rFonts w:hint="eastAsia"/>
          <w:spacing w:val="-3"/>
        </w:rPr>
        <w:t>正如</w:t>
      </w:r>
      <w:r w:rsidRPr="00B613C8">
        <w:rPr>
          <w:spacing w:val="-3"/>
        </w:rPr>
        <w:t>前南刑庭</w:t>
      </w:r>
      <w:r w:rsidRPr="00B613C8">
        <w:rPr>
          <w:rFonts w:hint="eastAsia"/>
          <w:spacing w:val="-3"/>
        </w:rPr>
        <w:t>审判分庭在</w:t>
      </w:r>
      <w:r w:rsidRPr="00B613C8">
        <w:rPr>
          <w:spacing w:val="-3"/>
        </w:rPr>
        <w:t>Gotovina</w:t>
      </w:r>
      <w:r w:rsidRPr="00B613C8">
        <w:rPr>
          <w:rFonts w:hint="eastAsia"/>
          <w:spacing w:val="-3"/>
        </w:rPr>
        <w:t>案中提到的，这一概念指攻击的受害者不只是“人数有限的随机选择的个人。”</w:t>
      </w:r>
      <w:bookmarkStart w:id="36" w:name="_Ref340059610"/>
      <w:r w:rsidRPr="00B613C8">
        <w:rPr>
          <w:spacing w:val="-3"/>
          <w:w w:val="150"/>
          <w:vertAlign w:val="superscript"/>
        </w:rPr>
        <w:footnoteReference w:id="165"/>
      </w:r>
      <w:bookmarkEnd w:id="36"/>
      <w:r w:rsidRPr="00B613C8">
        <w:rPr>
          <w:spacing w:val="-3"/>
        </w:rPr>
        <w:t xml:space="preserve"> </w:t>
      </w:r>
      <w:r w:rsidRPr="00B613C8">
        <w:rPr>
          <w:rFonts w:hint="eastAsia"/>
          <w:spacing w:val="-3"/>
        </w:rPr>
        <w:t>国际刑院在</w:t>
      </w:r>
      <w:r w:rsidRPr="00B613C8">
        <w:rPr>
          <w:spacing w:val="-3"/>
        </w:rPr>
        <w:t>Bemba</w:t>
      </w:r>
      <w:r w:rsidRPr="00B613C8">
        <w:rPr>
          <w:rFonts w:hint="eastAsia"/>
          <w:spacing w:val="-3"/>
        </w:rPr>
        <w:t>案中的决定和</w:t>
      </w:r>
      <w:r w:rsidRPr="00B613C8">
        <w:rPr>
          <w:spacing w:val="-3"/>
        </w:rPr>
        <w:t>2010</w:t>
      </w:r>
      <w:r w:rsidRPr="00B613C8">
        <w:rPr>
          <w:spacing w:val="-3"/>
        </w:rPr>
        <w:t>年肯尼亚授权决定</w:t>
      </w:r>
      <w:r w:rsidRPr="00B613C8">
        <w:rPr>
          <w:rFonts w:hint="eastAsia"/>
          <w:spacing w:val="-3"/>
        </w:rPr>
        <w:t>都采用了类似处理方法，宣称检察官必须证实有关攻击针对的对象不只是一群人数有限的个人。</w:t>
      </w:r>
      <w:r w:rsidRPr="00B613C8">
        <w:rPr>
          <w:spacing w:val="-3"/>
          <w:w w:val="150"/>
          <w:vertAlign w:val="superscript"/>
        </w:rPr>
        <w:footnoteReference w:id="166"/>
      </w:r>
    </w:p>
    <w:p w:rsidR="007C3A88" w:rsidRPr="00CC052C" w:rsidRDefault="007C3A88" w:rsidP="007C3A88">
      <w:pPr>
        <w:pStyle w:val="SingleTxt"/>
      </w:pPr>
      <w:r w:rsidRPr="00CC052C">
        <w:t xml:space="preserve">(21) </w:t>
      </w:r>
      <w:r w:rsidRPr="00CC052C">
        <w:rPr>
          <w:rFonts w:hint="eastAsia"/>
        </w:rPr>
        <w:t xml:space="preserve"> </w:t>
      </w:r>
      <w:r w:rsidRPr="00CC052C">
        <w:rPr>
          <w:rFonts w:hint="eastAsia"/>
        </w:rPr>
        <w:t>第</w:t>
      </w:r>
      <w:r w:rsidRPr="00CC052C">
        <w:rPr>
          <w:rFonts w:hint="eastAsia"/>
        </w:rPr>
        <w:t>3</w:t>
      </w:r>
      <w:r w:rsidRPr="00CC052C">
        <w:rPr>
          <w:rFonts w:hint="eastAsia"/>
        </w:rPr>
        <w:t>条第</w:t>
      </w:r>
      <w:r w:rsidRPr="00CC052C">
        <w:rPr>
          <w:rFonts w:hint="eastAsia"/>
        </w:rPr>
        <w:t>2</w:t>
      </w:r>
      <w:r w:rsidRPr="00CC052C">
        <w:rPr>
          <w:rFonts w:hint="eastAsia"/>
        </w:rPr>
        <w:t>款</w:t>
      </w:r>
      <w:r w:rsidRPr="00CC052C">
        <w:rPr>
          <w:rFonts w:hint="eastAsia"/>
        </w:rPr>
        <w:t>(a)</w:t>
      </w:r>
      <w:r w:rsidRPr="00CC052C">
        <w:rPr>
          <w:rFonts w:hint="eastAsia"/>
        </w:rPr>
        <w:t>项草案后半部分提到“针对任何平民人口多次实施第一款所述行为的行为过程。”这种表述虽未载入</w:t>
      </w:r>
      <w:r w:rsidRPr="00CC052C">
        <w:t>前南刑庭</w:t>
      </w:r>
      <w:r w:rsidRPr="00CC052C">
        <w:rPr>
          <w:rFonts w:hint="eastAsia"/>
        </w:rPr>
        <w:t>和</w:t>
      </w:r>
      <w:r w:rsidRPr="00CC052C">
        <w:t>卢刑庭</w:t>
      </w:r>
      <w:r w:rsidRPr="00CC052C">
        <w:rPr>
          <w:rFonts w:hint="eastAsia"/>
        </w:rPr>
        <w:t>对危害人类罪的法定定义，但反映了这两个法庭的判例，</w:t>
      </w:r>
      <w:r w:rsidRPr="00CC052C">
        <w:rPr>
          <w:w w:val="150"/>
          <w:vertAlign w:val="superscript"/>
        </w:rPr>
        <w:footnoteReference w:id="167"/>
      </w:r>
      <w:r w:rsidRPr="00CC052C">
        <w:rPr>
          <w:rFonts w:hint="eastAsia"/>
        </w:rPr>
        <w:t xml:space="preserve"> </w:t>
      </w:r>
      <w:r w:rsidRPr="00CC052C">
        <w:rPr>
          <w:rFonts w:hint="eastAsia"/>
        </w:rPr>
        <w:t>并明确见于《罗马规约》第七条第</w:t>
      </w:r>
      <w:r w:rsidRPr="00CC052C">
        <w:rPr>
          <w:rFonts w:hint="eastAsia"/>
        </w:rPr>
        <w:t>(</w:t>
      </w:r>
      <w:r w:rsidRPr="00CC052C">
        <w:rPr>
          <w:rFonts w:hint="eastAsia"/>
        </w:rPr>
        <w:t>二</w:t>
      </w:r>
      <w:r w:rsidRPr="00CC052C">
        <w:rPr>
          <w:rFonts w:hint="eastAsia"/>
        </w:rPr>
        <w:t>)</w:t>
      </w:r>
      <w:r w:rsidRPr="00CC052C">
        <w:rPr>
          <w:rFonts w:hint="eastAsia"/>
        </w:rPr>
        <w:t>款第</w:t>
      </w:r>
      <w:r w:rsidRPr="00CC052C">
        <w:rPr>
          <w:rFonts w:hint="eastAsia"/>
        </w:rPr>
        <w:lastRenderedPageBreak/>
        <w:t>1</w:t>
      </w:r>
      <w:r w:rsidRPr="00CC052C">
        <w:rPr>
          <w:rFonts w:hint="eastAsia"/>
        </w:rPr>
        <w:t>项。《罗马规约》之下的《犯罪要件》规定，第七条第</w:t>
      </w:r>
      <w:r w:rsidRPr="00CC052C">
        <w:rPr>
          <w:rFonts w:hint="eastAsia"/>
        </w:rPr>
        <w:t>(</w:t>
      </w:r>
      <w:r w:rsidRPr="00CC052C">
        <w:rPr>
          <w:rFonts w:hint="eastAsia"/>
        </w:rPr>
        <w:t>二</w:t>
      </w:r>
      <w:r w:rsidRPr="00CC052C">
        <w:rPr>
          <w:rFonts w:hint="eastAsia"/>
        </w:rPr>
        <w:t>)</w:t>
      </w:r>
      <w:r w:rsidRPr="00CC052C">
        <w:rPr>
          <w:rFonts w:hint="eastAsia"/>
        </w:rPr>
        <w:t>款第</w:t>
      </w:r>
      <w:r w:rsidRPr="00CC052C">
        <w:rPr>
          <w:rFonts w:hint="eastAsia"/>
        </w:rPr>
        <w:t>1</w:t>
      </w:r>
      <w:r w:rsidRPr="00CC052C">
        <w:rPr>
          <w:rFonts w:hint="eastAsia"/>
        </w:rPr>
        <w:t>项所述的“行为”“不需要构成军事攻击”。</w:t>
      </w:r>
      <w:bookmarkStart w:id="37" w:name="_Ref216072849"/>
      <w:r w:rsidRPr="00CC052C">
        <w:rPr>
          <w:w w:val="150"/>
          <w:vertAlign w:val="superscript"/>
        </w:rPr>
        <w:footnoteReference w:id="168"/>
      </w:r>
      <w:bookmarkEnd w:id="37"/>
      <w:r w:rsidRPr="00CC052C">
        <w:t xml:space="preserve"> </w:t>
      </w:r>
      <w:r w:rsidRPr="00CC052C">
        <w:rPr>
          <w:rFonts w:hint="eastAsia"/>
        </w:rPr>
        <w:t>审判分庭在</w:t>
      </w:r>
      <w:r w:rsidRPr="00CC052C">
        <w:t>Katanga</w:t>
      </w:r>
      <w:r w:rsidRPr="00CC052C">
        <w:rPr>
          <w:rFonts w:hint="eastAsia"/>
        </w:rPr>
        <w:t>案中表示“有关攻击不一定要具备军事攻击的本质，可包括任何形式的暴力侵害某平民人口的行为。”</w:t>
      </w:r>
      <w:r w:rsidRPr="00CC052C">
        <w:rPr>
          <w:w w:val="150"/>
          <w:vertAlign w:val="superscript"/>
        </w:rPr>
        <w:footnoteReference w:id="169"/>
      </w:r>
    </w:p>
    <w:p w:rsidR="007C3A88" w:rsidRPr="00CC052C" w:rsidRDefault="007C3A88" w:rsidP="007C3A88">
      <w:pPr>
        <w:pStyle w:val="SingleTxt"/>
      </w:pPr>
      <w:r w:rsidRPr="00CC052C">
        <w:t xml:space="preserve">(22) </w:t>
      </w:r>
      <w:r w:rsidRPr="00CC052C">
        <w:rPr>
          <w:rFonts w:hint="eastAsia"/>
        </w:rPr>
        <w:t xml:space="preserve"> </w:t>
      </w:r>
      <w:r w:rsidRPr="00CC052C">
        <w:rPr>
          <w:rFonts w:hint="eastAsia"/>
        </w:rPr>
        <w:t>第</w:t>
      </w:r>
      <w:r w:rsidRPr="00CC052C">
        <w:rPr>
          <w:rFonts w:hint="eastAsia"/>
        </w:rPr>
        <w:t>3</w:t>
      </w:r>
      <w:r w:rsidRPr="00CC052C">
        <w:rPr>
          <w:rFonts w:hint="eastAsia"/>
        </w:rPr>
        <w:t>条第</w:t>
      </w:r>
      <w:r w:rsidRPr="00CC052C">
        <w:rPr>
          <w:rFonts w:hint="eastAsia"/>
        </w:rPr>
        <w:t>2</w:t>
      </w:r>
      <w:r w:rsidRPr="00CC052C">
        <w:rPr>
          <w:rFonts w:hint="eastAsia"/>
        </w:rPr>
        <w:t>款</w:t>
      </w:r>
      <w:r w:rsidRPr="00CC052C">
        <w:rPr>
          <w:rFonts w:hint="eastAsia"/>
        </w:rPr>
        <w:t>(a)</w:t>
      </w:r>
      <w:r w:rsidRPr="00CC052C">
        <w:rPr>
          <w:rFonts w:hint="eastAsia"/>
        </w:rPr>
        <w:t>项草案前半部分指出，攻击必须是“根据国家或组织攻击平民人口的政策，或为了推行这种政策”实施的。</w:t>
      </w:r>
      <w:bookmarkStart w:id="38" w:name="_Ref283133975"/>
      <w:r w:rsidRPr="00CC052C">
        <w:rPr>
          <w:rFonts w:hint="eastAsia"/>
        </w:rPr>
        <w:t>在《罗马规约》得到通过之前，各国际法院规约对危害人类罪的定义中一直没有包括对“政策”要件的要求。</w:t>
      </w:r>
      <w:bookmarkEnd w:id="38"/>
      <w:r w:rsidRPr="00CC052C">
        <w:rPr>
          <w:w w:val="150"/>
          <w:vertAlign w:val="superscript"/>
        </w:rPr>
        <w:footnoteReference w:id="170"/>
      </w:r>
      <w:r w:rsidRPr="00CC052C">
        <w:rPr>
          <w:rFonts w:hint="eastAsia"/>
        </w:rPr>
        <w:t xml:space="preserve"> </w:t>
      </w:r>
      <w:r w:rsidRPr="00CC052C">
        <w:t>前南刑庭</w:t>
      </w:r>
      <w:r w:rsidRPr="00CC052C">
        <w:rPr>
          <w:rFonts w:hint="eastAsia"/>
        </w:rPr>
        <w:t>和卢刑庭规约的危害人类罪定义都不包括政策要件，</w:t>
      </w:r>
      <w:r w:rsidRPr="00CC052C">
        <w:rPr>
          <w:w w:val="150"/>
          <w:vertAlign w:val="superscript"/>
        </w:rPr>
        <w:footnoteReference w:id="171"/>
      </w:r>
      <w:r w:rsidRPr="00CC052C">
        <w:rPr>
          <w:rFonts w:hint="eastAsia"/>
        </w:rPr>
        <w:t xml:space="preserve"> </w:t>
      </w:r>
      <w:r w:rsidRPr="00CC052C">
        <w:rPr>
          <w:rFonts w:hint="eastAsia"/>
        </w:rPr>
        <w:t>但一些早期的判例要求有这一要件。</w:t>
      </w:r>
      <w:r w:rsidRPr="00CC052C">
        <w:rPr>
          <w:w w:val="150"/>
          <w:vertAlign w:val="superscript"/>
        </w:rPr>
        <w:footnoteReference w:id="172"/>
      </w:r>
      <w:r w:rsidRPr="00CC052C">
        <w:t xml:space="preserve"> </w:t>
      </w:r>
      <w:r w:rsidRPr="00CC052C">
        <w:rPr>
          <w:rFonts w:hint="eastAsia"/>
        </w:rPr>
        <w:t>事实上，</w:t>
      </w:r>
      <w:r w:rsidRPr="00CC052C">
        <w:rPr>
          <w:iCs/>
        </w:rPr>
        <w:t>Tadić</w:t>
      </w:r>
      <w:r w:rsidRPr="00CC052C">
        <w:rPr>
          <w:rFonts w:hint="eastAsia"/>
        </w:rPr>
        <w:t>案的审判分庭在</w:t>
      </w:r>
      <w:r w:rsidRPr="00CC052C">
        <w:t>前南刑庭</w:t>
      </w:r>
      <w:r w:rsidRPr="00CC052C">
        <w:rPr>
          <w:rFonts w:hint="eastAsia"/>
        </w:rPr>
        <w:t>设立初期就对政策要件进行了重要的讨论，这一讨论后来影响了《罗马规约》的草拟工作。审判分庭认定</w:t>
      </w:r>
    </w:p>
    <w:p w:rsidR="007C3A88" w:rsidRPr="00CC052C" w:rsidRDefault="007C3A88" w:rsidP="007C3A88">
      <w:pPr>
        <w:pStyle w:val="SingleTxt"/>
        <w:ind w:left="1695"/>
      </w:pPr>
      <w:r w:rsidRPr="00CC052C">
        <w:rPr>
          <w:rFonts w:hint="eastAsia"/>
        </w:rPr>
        <w:tab/>
      </w:r>
      <w:r w:rsidRPr="00CC052C">
        <w:rPr>
          <w:rFonts w:hint="eastAsia"/>
        </w:rPr>
        <w:t>“危害人类罪之所以如此撼动人类的良知并要求国际社会予以干预，是因为它们不是个人孤立、随机的行为，而是蓄意试图针对某平民人口的结果。传统上，将这一条件理解为必定存在实施这些行为的某种形式的政策……。然而，重要的是，这一政策不需要具有正式的形式，而是可以从有关行为的发生方式推导得出。”</w:t>
      </w:r>
      <w:r w:rsidRPr="00CC052C">
        <w:rPr>
          <w:w w:val="150"/>
          <w:vertAlign w:val="superscript"/>
        </w:rPr>
        <w:footnoteReference w:id="173"/>
      </w:r>
    </w:p>
    <w:p w:rsidR="007C3A88" w:rsidRPr="00CC052C" w:rsidRDefault="007C3A88" w:rsidP="007C3A88">
      <w:pPr>
        <w:pStyle w:val="SingleTxt"/>
      </w:pPr>
      <w:r w:rsidRPr="00CC052C">
        <w:rPr>
          <w:rFonts w:hint="eastAsia"/>
        </w:rPr>
        <w:t>该审判分庭还指出，因为存在政策要件，此类犯罪“‘不可能仅是单独的个人所造成的。’”</w:t>
      </w:r>
      <w:r w:rsidRPr="00CC052C">
        <w:rPr>
          <w:w w:val="150"/>
          <w:vertAlign w:val="superscript"/>
        </w:rPr>
        <w:footnoteReference w:id="174"/>
      </w:r>
      <w:r w:rsidRPr="00CC052C">
        <w:t xml:space="preserve"> </w:t>
      </w:r>
      <w:r w:rsidRPr="00CC052C">
        <w:rPr>
          <w:rFonts w:hint="eastAsia"/>
        </w:rPr>
        <w:t>不过，</w:t>
      </w:r>
      <w:r w:rsidRPr="00CC052C">
        <w:t>前南刑庭</w:t>
      </w:r>
      <w:r w:rsidRPr="00CC052C">
        <w:rPr>
          <w:rFonts w:hint="eastAsia"/>
        </w:rPr>
        <w:t>后来在判例中淡化了政策要件，认为只要证明存在广泛或有系统的攻击就已足够。</w:t>
      </w:r>
      <w:bookmarkStart w:id="39" w:name="_Ref216278151"/>
      <w:r w:rsidRPr="00CC052C">
        <w:rPr>
          <w:w w:val="150"/>
          <w:vertAlign w:val="superscript"/>
        </w:rPr>
        <w:footnoteReference w:id="175"/>
      </w:r>
      <w:bookmarkEnd w:id="39"/>
    </w:p>
    <w:p w:rsidR="007C3A88" w:rsidRPr="00CC052C" w:rsidRDefault="007C3A88" w:rsidP="007C3A88">
      <w:pPr>
        <w:pStyle w:val="SingleTxt"/>
      </w:pPr>
      <w:r w:rsidRPr="00CC052C">
        <w:lastRenderedPageBreak/>
        <w:t xml:space="preserve">(23) </w:t>
      </w:r>
      <w:r w:rsidRPr="00CC052C">
        <w:rPr>
          <w:rFonts w:hint="eastAsia"/>
        </w:rPr>
        <w:t xml:space="preserve"> </w:t>
      </w:r>
      <w:r w:rsidRPr="00CC052C">
        <w:rPr>
          <w:rFonts w:hint="eastAsia"/>
        </w:rPr>
        <w:t>在《罗马规约》之前，国际法委员会在治罪法草案的工作中常常要求政策要件。委员会</w:t>
      </w:r>
      <w:r w:rsidRPr="00CC052C">
        <w:t>1954</w:t>
      </w:r>
      <w:r w:rsidRPr="00CC052C">
        <w:rPr>
          <w:rFonts w:hint="eastAsia"/>
        </w:rPr>
        <w:t>年《危害人类和平及安全治罪法草案》将危害人类罪定义为：“</w:t>
      </w:r>
      <w:r w:rsidRPr="00CC052C">
        <w:rPr>
          <w:rFonts w:hint="eastAsia"/>
          <w:iCs/>
        </w:rPr>
        <w:t>某国当局或个人在国家当局的唆使或容忍下</w:t>
      </w:r>
      <w:r w:rsidRPr="00CC052C">
        <w:rPr>
          <w:rFonts w:hint="eastAsia"/>
        </w:rPr>
        <w:t>，基于社会、政治、种族、宗教或文化理由，对任何平民人口犯下的谋杀、灭绝、奴役、放逐或迫害等不人道行为。”</w:t>
      </w:r>
      <w:bookmarkStart w:id="40" w:name="_Ref215471991"/>
      <w:r w:rsidRPr="00CC052C">
        <w:rPr>
          <w:w w:val="150"/>
          <w:vertAlign w:val="superscript"/>
        </w:rPr>
        <w:footnoteReference w:id="176"/>
      </w:r>
      <w:bookmarkEnd w:id="40"/>
      <w:r w:rsidRPr="00CC052C">
        <w:t xml:space="preserve"> </w:t>
      </w:r>
      <w:r w:rsidRPr="00CC052C">
        <w:rPr>
          <w:rFonts w:hint="eastAsia"/>
        </w:rPr>
        <w:t>委员会决定加入国家唆使或容忍这一条件，以便排除个人在国家没有任何介入的情况下自行实施的不人道行为。</w:t>
      </w:r>
      <w:r w:rsidRPr="00CC052C">
        <w:rPr>
          <w:w w:val="150"/>
          <w:vertAlign w:val="superscript"/>
        </w:rPr>
        <w:footnoteReference w:id="177"/>
      </w:r>
      <w:r w:rsidRPr="00CC052C">
        <w:t xml:space="preserve"> </w:t>
      </w:r>
      <w:r w:rsidRPr="00CC052C">
        <w:rPr>
          <w:rFonts w:hint="eastAsia"/>
        </w:rPr>
        <w:t>同时，</w:t>
      </w:r>
      <w:r w:rsidRPr="00CC052C">
        <w:rPr>
          <w:rFonts w:hint="eastAsia"/>
        </w:rPr>
        <w:t>1954</w:t>
      </w:r>
      <w:r w:rsidRPr="00CC052C">
        <w:rPr>
          <w:rFonts w:hint="eastAsia"/>
        </w:rPr>
        <w:t>年《治罪法草案》所载的危害人类罪的定义未包括任何规模</w:t>
      </w:r>
      <w:r w:rsidRPr="00CC052C">
        <w:rPr>
          <w:rFonts w:hint="eastAsia"/>
        </w:rPr>
        <w:t>(</w:t>
      </w:r>
      <w:r w:rsidRPr="00CC052C">
        <w:rPr>
          <w:rFonts w:hint="eastAsia"/>
        </w:rPr>
        <w:t>“广泛”</w:t>
      </w:r>
      <w:r w:rsidRPr="00CC052C">
        <w:rPr>
          <w:rFonts w:hint="eastAsia"/>
        </w:rPr>
        <w:t>)</w:t>
      </w:r>
      <w:r w:rsidRPr="00CC052C">
        <w:rPr>
          <w:rFonts w:hint="eastAsia"/>
        </w:rPr>
        <w:t>或系统性的条件。</w:t>
      </w:r>
    </w:p>
    <w:p w:rsidR="007C3A88" w:rsidRPr="00CC052C" w:rsidRDefault="007C3A88" w:rsidP="007C3A88">
      <w:pPr>
        <w:pStyle w:val="SingleTxt"/>
      </w:pPr>
      <w:r w:rsidRPr="00CC052C">
        <w:t xml:space="preserve">(24) </w:t>
      </w:r>
      <w:r w:rsidRPr="00CC052C">
        <w:rPr>
          <w:rFonts w:hint="eastAsia"/>
        </w:rPr>
        <w:t xml:space="preserve"> </w:t>
      </w:r>
      <w:r w:rsidRPr="00CC052C">
        <w:rPr>
          <w:rFonts w:hint="eastAsia"/>
        </w:rPr>
        <w:t>委员会</w:t>
      </w:r>
      <w:r w:rsidRPr="00CC052C">
        <w:t>1996</w:t>
      </w:r>
      <w:r w:rsidRPr="00CC052C">
        <w:rPr>
          <w:rFonts w:hint="eastAsia"/>
        </w:rPr>
        <w:t>年《危害人类和平及安全治罪法草案》也承认了政策条件，将危害人类罪定义为“有计划或大规模实行</w:t>
      </w:r>
      <w:r w:rsidRPr="00CC052C">
        <w:rPr>
          <w:rFonts w:hint="eastAsia"/>
          <w:iCs/>
        </w:rPr>
        <w:t>由某一政府或任何组织或团体唆使或指挥的</w:t>
      </w:r>
      <w:r w:rsidRPr="00CC052C">
        <w:rPr>
          <w:rFonts w:hint="eastAsia"/>
        </w:rPr>
        <w:t>任何下列行为。”</w:t>
      </w:r>
      <w:r w:rsidRPr="00CC052C">
        <w:rPr>
          <w:w w:val="150"/>
          <w:vertAlign w:val="superscript"/>
        </w:rPr>
        <w:footnoteReference w:id="178"/>
      </w:r>
      <w:r w:rsidRPr="00CC052C">
        <w:t xml:space="preserve"> </w:t>
      </w:r>
      <w:r w:rsidRPr="00CC052C">
        <w:rPr>
          <w:rFonts w:hint="eastAsia"/>
        </w:rPr>
        <w:t>委员会之所以加入这一条件，是为了排除个人“</w:t>
      </w:r>
      <w:r w:rsidRPr="00CC052C">
        <w:t>按其自己的犯罪计划，出于个人自己的动机，在没有任何政府或团体或组织的任何鼓励的情况下</w:t>
      </w:r>
      <w:r w:rsidRPr="00CC052C">
        <w:rPr>
          <w:rFonts w:hint="eastAsia"/>
        </w:rPr>
        <w:t>”实施的不人道行为。</w:t>
      </w:r>
      <w:r w:rsidRPr="00CC052C">
        <w:rPr>
          <w:w w:val="150"/>
          <w:vertAlign w:val="superscript"/>
        </w:rPr>
        <w:footnoteReference w:id="179"/>
      </w:r>
      <w:r w:rsidRPr="00CC052C">
        <w:t xml:space="preserve"> </w:t>
      </w:r>
      <w:r w:rsidRPr="00CC052C">
        <w:rPr>
          <w:rFonts w:hint="eastAsia"/>
        </w:rPr>
        <w:t>换言之，该政策要件旨在排除个人出于自身动机，在与国家或组织无关的情况下实施的“普通”罪行。</w:t>
      </w:r>
    </w:p>
    <w:p w:rsidR="007C3A88" w:rsidRPr="00CC052C" w:rsidRDefault="007C3A88" w:rsidP="007C3A88">
      <w:pPr>
        <w:pStyle w:val="SingleTxt"/>
      </w:pPr>
      <w:r w:rsidRPr="00CC052C">
        <w:t xml:space="preserve">(25) </w:t>
      </w:r>
      <w:r w:rsidRPr="00CC052C">
        <w:rPr>
          <w:rFonts w:hint="eastAsia"/>
        </w:rPr>
        <w:t xml:space="preserve"> </w:t>
      </w:r>
      <w:r w:rsidRPr="00CC052C">
        <w:rPr>
          <w:rFonts w:hint="eastAsia"/>
        </w:rPr>
        <w:t>第</w:t>
      </w:r>
      <w:r w:rsidRPr="00CC052C">
        <w:t>3</w:t>
      </w:r>
      <w:r w:rsidRPr="00CC052C">
        <w:rPr>
          <w:rFonts w:hint="eastAsia"/>
        </w:rPr>
        <w:t>条</w:t>
      </w:r>
      <w:r w:rsidRPr="00CC052C">
        <w:t>第</w:t>
      </w:r>
      <w:r w:rsidRPr="00CC052C">
        <w:t>2</w:t>
      </w:r>
      <w:r w:rsidRPr="00CC052C">
        <w:t>款</w:t>
      </w:r>
      <w:r w:rsidRPr="00CC052C">
        <w:t>(a)</w:t>
      </w:r>
      <w:r w:rsidRPr="00CC052C">
        <w:t>项草案载有与《罗马规约》</w:t>
      </w:r>
      <w:r w:rsidRPr="00CC052C">
        <w:rPr>
          <w:rFonts w:hint="eastAsia"/>
        </w:rPr>
        <w:t>第七条第</w:t>
      </w:r>
      <w:r w:rsidRPr="00CC052C">
        <w:rPr>
          <w:rFonts w:hint="eastAsia"/>
        </w:rPr>
        <w:t>(</w:t>
      </w:r>
      <w:r w:rsidRPr="00CC052C">
        <w:rPr>
          <w:rFonts w:hint="eastAsia"/>
        </w:rPr>
        <w:t>二</w:t>
      </w:r>
      <w:r w:rsidRPr="00CC052C">
        <w:rPr>
          <w:rFonts w:hint="eastAsia"/>
        </w:rPr>
        <w:t>)</w:t>
      </w:r>
      <w:r w:rsidRPr="00CC052C">
        <w:rPr>
          <w:rFonts w:hint="eastAsia"/>
        </w:rPr>
        <w:t>款第</w:t>
      </w:r>
      <w:r w:rsidRPr="00CC052C">
        <w:rPr>
          <w:rFonts w:hint="eastAsia"/>
        </w:rPr>
        <w:t>1</w:t>
      </w:r>
      <w:r w:rsidRPr="00CC052C">
        <w:rPr>
          <w:rFonts w:hint="eastAsia"/>
        </w:rPr>
        <w:t>项所列的同样的政策要件。《罗马规约》之下的《犯罪要件》规定，“攻击平民人口的政策”要求“国家或组织积极推动或鼓励这种攻击平民人口的行为，”</w:t>
      </w:r>
      <w:r w:rsidRPr="00CC052C">
        <w:rPr>
          <w:w w:val="150"/>
          <w:vertAlign w:val="superscript"/>
        </w:rPr>
        <w:footnoteReference w:id="180"/>
      </w:r>
      <w:r w:rsidRPr="00CC052C">
        <w:t xml:space="preserve"> </w:t>
      </w:r>
      <w:r w:rsidRPr="00CC052C">
        <w:rPr>
          <w:rFonts w:hint="eastAsia"/>
        </w:rPr>
        <w:t>且“在特殊情况下，这种政策的实施方式可以是故意不采取行动，刻意以此助长这种攻击。”</w:t>
      </w:r>
      <w:r w:rsidRPr="00CC052C">
        <w:rPr>
          <w:w w:val="150"/>
          <w:vertAlign w:val="superscript"/>
        </w:rPr>
        <w:footnoteReference w:id="181"/>
      </w:r>
    </w:p>
    <w:p w:rsidR="007C3A88" w:rsidRPr="00CE568E" w:rsidRDefault="007C3A88" w:rsidP="007C3A88">
      <w:pPr>
        <w:pStyle w:val="SingleTxt"/>
        <w:rPr>
          <w:spacing w:val="-2"/>
        </w:rPr>
      </w:pPr>
      <w:r w:rsidRPr="00CC052C">
        <w:t>(26)</w:t>
      </w:r>
      <w:r w:rsidRPr="00CC052C">
        <w:rPr>
          <w:rFonts w:hint="eastAsia"/>
        </w:rPr>
        <w:t xml:space="preserve"> </w:t>
      </w:r>
      <w:r w:rsidRPr="00CC052C">
        <w:t xml:space="preserve"> </w:t>
      </w:r>
      <w:r w:rsidRPr="00CC052C">
        <w:rPr>
          <w:rFonts w:hint="eastAsia"/>
        </w:rPr>
        <w:t>国际刑院的若干案件都涉及了这一“政策”要件。</w:t>
      </w:r>
      <w:r w:rsidRPr="00CC052C">
        <w:rPr>
          <w:w w:val="150"/>
          <w:vertAlign w:val="superscript"/>
        </w:rPr>
        <w:footnoteReference w:id="182"/>
      </w:r>
      <w:r w:rsidRPr="00CC052C">
        <w:t xml:space="preserve"> </w:t>
      </w:r>
      <w:r w:rsidRPr="00CC052C">
        <w:rPr>
          <w:rFonts w:hint="eastAsia"/>
        </w:rPr>
        <w:t>在</w:t>
      </w:r>
      <w:r w:rsidRPr="00CC052C">
        <w:rPr>
          <w:iCs/>
        </w:rPr>
        <w:t>Katanga 2014</w:t>
      </w:r>
      <w:r w:rsidRPr="00CC052C">
        <w:rPr>
          <w:rFonts w:hint="eastAsia"/>
        </w:rPr>
        <w:t>案中，国际刑院审判分庭强调，政策条件与“有系统”条件的意义并不相同，若是相同就会违背第七条对攻击的“广泛”或“有系统”择一的要求。</w:t>
      </w:r>
      <w:r w:rsidRPr="00CC052C">
        <w:rPr>
          <w:w w:val="150"/>
          <w:vertAlign w:val="superscript"/>
        </w:rPr>
        <w:footnoteReference w:id="183"/>
      </w:r>
      <w:r w:rsidRPr="00CC052C">
        <w:rPr>
          <w:rFonts w:hint="eastAsia"/>
        </w:rPr>
        <w:t>“有系统”要求的是高度的组织性和行为的规律或暴力的反复发生，</w:t>
      </w:r>
      <w:r w:rsidRPr="00CC052C">
        <w:rPr>
          <w:w w:val="150"/>
          <w:vertAlign w:val="superscript"/>
        </w:rPr>
        <w:footnoteReference w:id="184"/>
      </w:r>
      <w:r w:rsidRPr="00CC052C">
        <w:t xml:space="preserve"> </w:t>
      </w:r>
      <w:r w:rsidRPr="00CC052C">
        <w:rPr>
          <w:rFonts w:hint="eastAsia"/>
        </w:rPr>
        <w:t>而要“确定存在‘政策’，则只需证明国家或组织有意对平民人口实施攻击。因此，分析有关攻击是否具有系统性，不仅是确定是否存在任何旨在消灭、迫害或损害某一社群的政策。”</w:t>
      </w:r>
      <w:r w:rsidRPr="00CC052C">
        <w:rPr>
          <w:w w:val="150"/>
          <w:vertAlign w:val="superscript"/>
        </w:rPr>
        <w:footnoteReference w:id="185"/>
      </w:r>
      <w:r w:rsidRPr="00CC052C">
        <w:t xml:space="preserve"> </w:t>
      </w:r>
      <w:r w:rsidRPr="00CC052C">
        <w:rPr>
          <w:rFonts w:hint="eastAsia"/>
        </w:rPr>
        <w:t>此外，“政策”条件不要求有正式的设计或预先制定的计划，可以由作为或者不作为</w:t>
      </w:r>
      <w:r w:rsidRPr="00CE568E">
        <w:rPr>
          <w:rFonts w:hint="eastAsia"/>
          <w:spacing w:val="-2"/>
        </w:rPr>
        <w:lastRenderedPageBreak/>
        <w:t>实现，也可从有关情况推导得出。</w:t>
      </w:r>
      <w:r w:rsidRPr="00CE568E">
        <w:rPr>
          <w:spacing w:val="-2"/>
          <w:w w:val="150"/>
          <w:vertAlign w:val="superscript"/>
        </w:rPr>
        <w:footnoteReference w:id="186"/>
      </w:r>
      <w:r w:rsidRPr="00CE568E">
        <w:rPr>
          <w:spacing w:val="-2"/>
        </w:rPr>
        <w:t xml:space="preserve"> </w:t>
      </w:r>
      <w:r w:rsidRPr="00CE568E">
        <w:rPr>
          <w:rFonts w:hint="eastAsia"/>
          <w:spacing w:val="-2"/>
        </w:rPr>
        <w:t>审判分庭认定，政策不需要在攻击之前正式推行或颁布，可从有关行为的重复发生、从准备活动，或从集体动员中推导得出。</w:t>
      </w:r>
      <w:r w:rsidRPr="00CE568E">
        <w:rPr>
          <w:spacing w:val="-2"/>
          <w:w w:val="150"/>
          <w:vertAlign w:val="superscript"/>
        </w:rPr>
        <w:footnoteReference w:id="187"/>
      </w:r>
      <w:r w:rsidRPr="00CE568E">
        <w:rPr>
          <w:rFonts w:hint="eastAsia"/>
          <w:spacing w:val="-2"/>
        </w:rPr>
        <w:t xml:space="preserve"> </w:t>
      </w:r>
      <w:r w:rsidRPr="00CE568E">
        <w:rPr>
          <w:rFonts w:hint="eastAsia"/>
          <w:spacing w:val="-2"/>
        </w:rPr>
        <w:t>此外，政策不需要具体或精确，且可随着时间的推移根据情况的发展而变化。</w:t>
      </w:r>
      <w:r w:rsidRPr="00CE568E">
        <w:rPr>
          <w:spacing w:val="-2"/>
          <w:w w:val="150"/>
          <w:vertAlign w:val="superscript"/>
        </w:rPr>
        <w:footnoteReference w:id="188"/>
      </w:r>
    </w:p>
    <w:p w:rsidR="007C3A88" w:rsidRPr="00CC052C" w:rsidRDefault="007C3A88" w:rsidP="007C3A88">
      <w:pPr>
        <w:pStyle w:val="SingleTxt"/>
      </w:pPr>
      <w:r w:rsidRPr="00CC052C">
        <w:t xml:space="preserve">(27) </w:t>
      </w:r>
      <w:r w:rsidRPr="00CC052C">
        <w:rPr>
          <w:rFonts w:hint="eastAsia"/>
        </w:rPr>
        <w:t xml:space="preserve"> </w:t>
      </w:r>
      <w:r w:rsidRPr="00CC052C">
        <w:rPr>
          <w:rFonts w:hint="eastAsia"/>
        </w:rPr>
        <w:t>同样，国际刑院预审分庭在确认起诉</w:t>
      </w:r>
      <w:r w:rsidRPr="00CC052C">
        <w:t>Laurent Gbagbo</w:t>
      </w:r>
      <w:r w:rsidRPr="00CC052C">
        <w:rPr>
          <w:rFonts w:hint="eastAsia"/>
        </w:rPr>
        <w:t>的决定中裁定，“政策”不应与“有系统”混淆。</w:t>
      </w:r>
      <w:r w:rsidRPr="00CC052C">
        <w:rPr>
          <w:w w:val="150"/>
          <w:vertAlign w:val="superscript"/>
        </w:rPr>
        <w:footnoteReference w:id="189"/>
      </w:r>
      <w:r w:rsidRPr="00CC052C">
        <w:t xml:space="preserve"> </w:t>
      </w:r>
      <w:r w:rsidRPr="00CC052C">
        <w:rPr>
          <w:rFonts w:hint="eastAsia"/>
        </w:rPr>
        <w:t>具体而言，审判分庭表示，“国家或组织计划、组织或指挥有关攻击的证据可能与证明攻击的政策性和系统性有关，但这两个概念目的不同，并且在《规约》第七条第</w:t>
      </w:r>
      <w:r w:rsidRPr="00CC052C">
        <w:rPr>
          <w:rFonts w:hint="eastAsia"/>
        </w:rPr>
        <w:t>(</w:t>
      </w:r>
      <w:r w:rsidRPr="00CC052C">
        <w:rPr>
          <w:rFonts w:hint="eastAsia"/>
        </w:rPr>
        <w:t>一</w:t>
      </w:r>
      <w:r w:rsidRPr="00CC052C">
        <w:rPr>
          <w:rFonts w:hint="eastAsia"/>
        </w:rPr>
        <w:t>)</w:t>
      </w:r>
      <w:r w:rsidRPr="00CC052C">
        <w:rPr>
          <w:rFonts w:hint="eastAsia"/>
        </w:rPr>
        <w:t>款和第</w:t>
      </w:r>
      <w:r w:rsidRPr="00CC052C">
        <w:rPr>
          <w:rFonts w:hint="eastAsia"/>
        </w:rPr>
        <w:t>(</w:t>
      </w:r>
      <w:r w:rsidRPr="00CC052C">
        <w:rPr>
          <w:rFonts w:hint="eastAsia"/>
        </w:rPr>
        <w:t>二</w:t>
      </w:r>
      <w:r w:rsidRPr="00CC052C">
        <w:rPr>
          <w:rFonts w:hint="eastAsia"/>
        </w:rPr>
        <w:t>)</w:t>
      </w:r>
      <w:r w:rsidRPr="00CC052C">
        <w:rPr>
          <w:rFonts w:hint="eastAsia"/>
        </w:rPr>
        <w:t>款第</w:t>
      </w:r>
      <w:r w:rsidRPr="00CC052C">
        <w:rPr>
          <w:rFonts w:hint="eastAsia"/>
        </w:rPr>
        <w:t>1</w:t>
      </w:r>
      <w:r w:rsidRPr="00CC052C">
        <w:rPr>
          <w:rFonts w:hint="eastAsia"/>
        </w:rPr>
        <w:t>项下分别指不同的界限，因此不应混淆。”</w:t>
      </w:r>
      <w:r w:rsidRPr="00CC052C">
        <w:rPr>
          <w:w w:val="150"/>
          <w:vertAlign w:val="superscript"/>
        </w:rPr>
        <w:footnoteReference w:id="190"/>
      </w:r>
      <w:r w:rsidRPr="00CC052C">
        <w:t xml:space="preserve"> </w:t>
      </w:r>
      <w:r w:rsidRPr="00CC052C">
        <w:rPr>
          <w:rFonts w:hint="eastAsia"/>
        </w:rPr>
        <w:t>政策要件要求有关行为与国家和组织“有关”，</w:t>
      </w:r>
      <w:r w:rsidRPr="00CC052C">
        <w:rPr>
          <w:w w:val="150"/>
          <w:vertAlign w:val="superscript"/>
        </w:rPr>
        <w:footnoteReference w:id="191"/>
      </w:r>
      <w:r w:rsidRPr="00CC052C">
        <w:rPr>
          <w:rFonts w:hint="eastAsia"/>
        </w:rPr>
        <w:t xml:space="preserve"> </w:t>
      </w:r>
      <w:r w:rsidRPr="00CC052C">
        <w:rPr>
          <w:rFonts w:hint="eastAsia"/>
        </w:rPr>
        <w:t>且排除了“自发或孤立的暴力行为”，但政策本身并不需要得到正式通过</w:t>
      </w:r>
      <w:r w:rsidRPr="00CC052C">
        <w:rPr>
          <w:w w:val="150"/>
          <w:vertAlign w:val="superscript"/>
        </w:rPr>
        <w:footnoteReference w:id="192"/>
      </w:r>
      <w:r w:rsidRPr="00CC052C">
        <w:rPr>
          <w:rFonts w:hint="eastAsia"/>
        </w:rPr>
        <w:t>，且不需要证明存在具体的理由或动机。</w:t>
      </w:r>
      <w:r w:rsidRPr="00CC052C">
        <w:rPr>
          <w:w w:val="150"/>
          <w:vertAlign w:val="superscript"/>
        </w:rPr>
        <w:footnoteReference w:id="193"/>
      </w:r>
      <w:r w:rsidRPr="00CC052C">
        <w:t xml:space="preserve"> </w:t>
      </w:r>
      <w:r w:rsidRPr="00CC052C">
        <w:rPr>
          <w:rFonts w:hint="eastAsia"/>
        </w:rPr>
        <w:t>在</w:t>
      </w:r>
      <w:r w:rsidRPr="00CC052C">
        <w:t>Bemba</w:t>
      </w:r>
      <w:r w:rsidRPr="00CC052C">
        <w:rPr>
          <w:rFonts w:hint="eastAsia"/>
        </w:rPr>
        <w:t>案中，</w:t>
      </w:r>
      <w:r w:rsidRPr="00CC052C">
        <w:t>国际刑院预审分庭</w:t>
      </w:r>
      <w:r w:rsidRPr="00CC052C">
        <w:rPr>
          <w:rFonts w:hint="eastAsia"/>
        </w:rPr>
        <w:t>根据刚解运部队“遵循同一规律实施攻击”的证据认定，有关攻击是按照组织政策实施的。</w:t>
      </w:r>
      <w:bookmarkStart w:id="41" w:name="_Ref341697589"/>
      <w:bookmarkStart w:id="42" w:name="_Ref216259550"/>
      <w:r w:rsidRPr="00CC052C">
        <w:rPr>
          <w:w w:val="150"/>
          <w:vertAlign w:val="superscript"/>
        </w:rPr>
        <w:footnoteReference w:id="194"/>
      </w:r>
    </w:p>
    <w:p w:rsidR="007C3A88" w:rsidRPr="0041050A" w:rsidRDefault="007C3A88" w:rsidP="007C3A88">
      <w:pPr>
        <w:pStyle w:val="SingleTxt"/>
        <w:rPr>
          <w:spacing w:val="2"/>
        </w:rPr>
      </w:pPr>
      <w:r w:rsidRPr="0041050A">
        <w:rPr>
          <w:spacing w:val="2"/>
        </w:rPr>
        <w:t>(28)</w:t>
      </w:r>
      <w:r w:rsidRPr="0041050A">
        <w:rPr>
          <w:rFonts w:hint="eastAsia"/>
          <w:spacing w:val="2"/>
        </w:rPr>
        <w:t xml:space="preserve">  </w:t>
      </w:r>
      <w:r w:rsidRPr="0041050A">
        <w:rPr>
          <w:rFonts w:hint="eastAsia"/>
          <w:spacing w:val="2"/>
        </w:rPr>
        <w:t>第</w:t>
      </w:r>
      <w:r w:rsidRPr="0041050A">
        <w:rPr>
          <w:spacing w:val="2"/>
        </w:rPr>
        <w:t>3</w:t>
      </w:r>
      <w:r w:rsidRPr="0041050A">
        <w:rPr>
          <w:rFonts w:hint="eastAsia"/>
          <w:spacing w:val="2"/>
        </w:rPr>
        <w:t>条第</w:t>
      </w:r>
      <w:r w:rsidRPr="0041050A">
        <w:rPr>
          <w:rFonts w:hint="eastAsia"/>
          <w:spacing w:val="2"/>
        </w:rPr>
        <w:t>2</w:t>
      </w:r>
      <w:r w:rsidRPr="0041050A">
        <w:rPr>
          <w:rFonts w:hint="eastAsia"/>
          <w:spacing w:val="2"/>
        </w:rPr>
        <w:t>款</w:t>
      </w:r>
      <w:r w:rsidRPr="0041050A">
        <w:rPr>
          <w:rFonts w:hint="eastAsia"/>
          <w:spacing w:val="2"/>
        </w:rPr>
        <w:t>(a)</w:t>
      </w:r>
      <w:r w:rsidRPr="0041050A">
        <w:rPr>
          <w:rFonts w:hint="eastAsia"/>
          <w:spacing w:val="2"/>
        </w:rPr>
        <w:t>项草案前半部分提到“国家”或“组织”攻击平民人口的政策，与《罗马规约》第七条第</w:t>
      </w:r>
      <w:r w:rsidRPr="0041050A">
        <w:rPr>
          <w:rFonts w:hint="eastAsia"/>
          <w:spacing w:val="2"/>
        </w:rPr>
        <w:t>(</w:t>
      </w:r>
      <w:r w:rsidRPr="0041050A">
        <w:rPr>
          <w:rFonts w:hint="eastAsia"/>
          <w:spacing w:val="2"/>
        </w:rPr>
        <w:t>二</w:t>
      </w:r>
      <w:r w:rsidRPr="0041050A">
        <w:rPr>
          <w:rFonts w:hint="eastAsia"/>
          <w:spacing w:val="2"/>
        </w:rPr>
        <w:t>)</w:t>
      </w:r>
      <w:r w:rsidRPr="0041050A">
        <w:rPr>
          <w:rFonts w:hint="eastAsia"/>
          <w:spacing w:val="2"/>
        </w:rPr>
        <w:t>款第</w:t>
      </w:r>
      <w:r w:rsidRPr="0041050A">
        <w:rPr>
          <w:rFonts w:hint="eastAsia"/>
          <w:spacing w:val="2"/>
        </w:rPr>
        <w:t>1</w:t>
      </w:r>
      <w:r w:rsidRPr="0041050A">
        <w:rPr>
          <w:rFonts w:hint="eastAsia"/>
          <w:spacing w:val="2"/>
        </w:rPr>
        <w:t>项相同。国际刑院预审分庭在</w:t>
      </w:r>
      <w:r w:rsidRPr="0041050A">
        <w:rPr>
          <w:spacing w:val="2"/>
        </w:rPr>
        <w:t>2010</w:t>
      </w:r>
      <w:r w:rsidRPr="0041050A">
        <w:rPr>
          <w:spacing w:val="2"/>
        </w:rPr>
        <w:t>年肯尼亚授权决定</w:t>
      </w:r>
      <w:r w:rsidRPr="0041050A">
        <w:rPr>
          <w:rFonts w:hint="eastAsia"/>
          <w:spacing w:val="2"/>
        </w:rPr>
        <w:t>中表示，第七条第</w:t>
      </w:r>
      <w:r w:rsidRPr="0041050A">
        <w:rPr>
          <w:rFonts w:hint="eastAsia"/>
          <w:spacing w:val="2"/>
        </w:rPr>
        <w:t>(</w:t>
      </w:r>
      <w:r w:rsidRPr="0041050A">
        <w:rPr>
          <w:rFonts w:hint="eastAsia"/>
          <w:spacing w:val="2"/>
        </w:rPr>
        <w:t>二</w:t>
      </w:r>
      <w:r w:rsidRPr="0041050A">
        <w:rPr>
          <w:rFonts w:hint="eastAsia"/>
          <w:spacing w:val="2"/>
        </w:rPr>
        <w:t>)</w:t>
      </w:r>
      <w:r w:rsidRPr="0041050A">
        <w:rPr>
          <w:rFonts w:hint="eastAsia"/>
          <w:spacing w:val="2"/>
        </w:rPr>
        <w:t>款第</w:t>
      </w:r>
      <w:r w:rsidRPr="0041050A">
        <w:rPr>
          <w:rFonts w:hint="eastAsia"/>
          <w:spacing w:val="2"/>
        </w:rPr>
        <w:t>1</w:t>
      </w:r>
      <w:r w:rsidRPr="0041050A">
        <w:rPr>
          <w:rFonts w:hint="eastAsia"/>
          <w:spacing w:val="2"/>
        </w:rPr>
        <w:t>项中“国家”的含义是“不言自明的。”</w:t>
      </w:r>
      <w:r w:rsidRPr="0041050A">
        <w:rPr>
          <w:spacing w:val="2"/>
          <w:w w:val="150"/>
          <w:vertAlign w:val="superscript"/>
        </w:rPr>
        <w:footnoteReference w:id="195"/>
      </w:r>
      <w:r w:rsidRPr="0041050A">
        <w:rPr>
          <w:spacing w:val="2"/>
        </w:rPr>
        <w:t xml:space="preserve"> </w:t>
      </w:r>
      <w:r w:rsidRPr="0041050A">
        <w:rPr>
          <w:rFonts w:hint="eastAsia"/>
          <w:spacing w:val="2"/>
        </w:rPr>
        <w:t>该分庭随后指出，国家区域机关或地方机关通过的政策可以满足国家政策这一条件。</w:t>
      </w:r>
      <w:r w:rsidRPr="0041050A">
        <w:rPr>
          <w:spacing w:val="2"/>
          <w:w w:val="150"/>
          <w:vertAlign w:val="superscript"/>
        </w:rPr>
        <w:footnoteReference w:id="196"/>
      </w:r>
    </w:p>
    <w:p w:rsidR="007C3A88" w:rsidRPr="00CC052C" w:rsidRDefault="007C3A88" w:rsidP="007C3A88">
      <w:pPr>
        <w:pStyle w:val="SingleTxt"/>
      </w:pPr>
      <w:r w:rsidRPr="00CC052C">
        <w:t xml:space="preserve">(29) </w:t>
      </w:r>
      <w:r w:rsidRPr="00CC052C">
        <w:rPr>
          <w:rFonts w:hint="eastAsia"/>
        </w:rPr>
        <w:t xml:space="preserve"> </w:t>
      </w:r>
      <w:r w:rsidRPr="00CC052C">
        <w:rPr>
          <w:rFonts w:hint="eastAsia"/>
        </w:rPr>
        <w:t>国际刑院的判例显示，“组织”包括任何有能力和资源计划和实施广泛或有系统攻击的组织或团体。例如，一预审分庭在</w:t>
      </w:r>
      <w:r w:rsidRPr="00CC052C">
        <w:t>Katanga</w:t>
      </w:r>
      <w:r w:rsidRPr="00CC052C">
        <w:rPr>
          <w:rFonts w:hint="eastAsia"/>
        </w:rPr>
        <w:t>案中表示：“制定这种政策的，可以是管理某特定地区的人群，或任何有能力针对平民人口实施广泛或有系统攻击的组织。”</w:t>
      </w:r>
      <w:r w:rsidRPr="00CC052C">
        <w:rPr>
          <w:w w:val="150"/>
          <w:vertAlign w:val="superscript"/>
        </w:rPr>
        <w:footnoteReference w:id="197"/>
      </w:r>
      <w:r w:rsidRPr="00CC052C">
        <w:t xml:space="preserve"> </w:t>
      </w:r>
      <w:r w:rsidRPr="00CC052C">
        <w:rPr>
          <w:rFonts w:hint="eastAsia"/>
        </w:rPr>
        <w:t>国际刑院某审判分庭在</w:t>
      </w:r>
      <w:r w:rsidRPr="00CC052C">
        <w:t>Katanga</w:t>
      </w:r>
      <w:r w:rsidRPr="00CC052C">
        <w:rPr>
          <w:rFonts w:hint="eastAsia"/>
        </w:rPr>
        <w:t>案中裁定，有关组织必须具有“充足的资源、手段和能力，能够实现涉及多次实施有关行为的行为或行动过程……一</w:t>
      </w:r>
      <w:r w:rsidRPr="00CC052C">
        <w:rPr>
          <w:rFonts w:hint="eastAsia"/>
        </w:rPr>
        <w:lastRenderedPageBreak/>
        <w:t>系列足够高效结构或机制，无论是哪种结构或机制，要能确保具备实施针对平民人口的攻击所需的协调。”</w:t>
      </w:r>
      <w:r w:rsidRPr="00CC052C">
        <w:rPr>
          <w:w w:val="150"/>
          <w:vertAlign w:val="superscript"/>
        </w:rPr>
        <w:footnoteReference w:id="198"/>
      </w:r>
    </w:p>
    <w:p w:rsidR="007C3A88" w:rsidRPr="00CC052C" w:rsidRDefault="007C3A88" w:rsidP="007C3A88">
      <w:pPr>
        <w:pStyle w:val="SingleTxt"/>
      </w:pPr>
      <w:r w:rsidRPr="00CC052C">
        <w:t xml:space="preserve">(30) </w:t>
      </w:r>
      <w:r w:rsidRPr="00CC052C">
        <w:rPr>
          <w:rFonts w:hint="eastAsia"/>
        </w:rPr>
        <w:t xml:space="preserve"> </w:t>
      </w:r>
      <w:r w:rsidRPr="00CC052C">
        <w:rPr>
          <w:rFonts w:hint="eastAsia"/>
        </w:rPr>
        <w:t>在</w:t>
      </w:r>
      <w:r w:rsidRPr="00CC052C">
        <w:t>2010</w:t>
      </w:r>
      <w:r w:rsidRPr="00CC052C">
        <w:t>年肯尼亚授权决定</w:t>
      </w:r>
      <w:r w:rsidRPr="00CC052C">
        <w:rPr>
          <w:rFonts w:hint="eastAsia"/>
        </w:rPr>
        <w:t>中，国际刑院一预审分庭的多数意见不同意“只有类似国家的组织才可算作”符合第七条第</w:t>
      </w:r>
      <w:r w:rsidRPr="00CC052C">
        <w:rPr>
          <w:rFonts w:hint="eastAsia"/>
        </w:rPr>
        <w:t>(</w:t>
      </w:r>
      <w:r w:rsidRPr="00CC052C">
        <w:rPr>
          <w:rFonts w:hint="eastAsia"/>
        </w:rPr>
        <w:t>二</w:t>
      </w:r>
      <w:r w:rsidRPr="00CC052C">
        <w:rPr>
          <w:rFonts w:hint="eastAsia"/>
        </w:rPr>
        <w:t>)</w:t>
      </w:r>
      <w:r w:rsidRPr="00CC052C">
        <w:rPr>
          <w:rFonts w:hint="eastAsia"/>
        </w:rPr>
        <w:t>款</w:t>
      </w:r>
      <w:r w:rsidRPr="00CC052C">
        <w:t>第</w:t>
      </w:r>
      <w:r w:rsidRPr="00CC052C">
        <w:t>1</w:t>
      </w:r>
      <w:r w:rsidRPr="00CC052C">
        <w:t>项的组织</w:t>
      </w:r>
      <w:r w:rsidRPr="00CC052C">
        <w:rPr>
          <w:rFonts w:hint="eastAsia"/>
        </w:rPr>
        <w:t>，并进而指出，“团体是否具有正式性质及其组织性的高低不应成为决定性标准。反之……应当区分有关团体是否有能力从事违反基本人道价值观的行为。”</w:t>
      </w:r>
      <w:r w:rsidRPr="00CC052C">
        <w:rPr>
          <w:w w:val="150"/>
          <w:vertAlign w:val="superscript"/>
        </w:rPr>
        <w:footnoteReference w:id="199"/>
      </w:r>
      <w:r w:rsidRPr="00CC052C">
        <w:t xml:space="preserve"> </w:t>
      </w:r>
      <w:r w:rsidRPr="00CC052C">
        <w:rPr>
          <w:rFonts w:hint="eastAsia"/>
        </w:rPr>
        <w:t>2012</w:t>
      </w:r>
      <w:r w:rsidRPr="00CC052C">
        <w:rPr>
          <w:rFonts w:hint="eastAsia"/>
        </w:rPr>
        <w:t>年，国际刑院预审分庭在</w:t>
      </w:r>
      <w:r w:rsidRPr="00CC052C">
        <w:rPr>
          <w:iCs/>
        </w:rPr>
        <w:t>Ruto</w:t>
      </w:r>
      <w:r w:rsidRPr="00CC052C">
        <w:rPr>
          <w:rFonts w:hint="eastAsia"/>
        </w:rPr>
        <w:t>案中表示，在确定某团体是否属于《罗马规约》第七条所指的“组织”时：</w:t>
      </w:r>
    </w:p>
    <w:p w:rsidR="007C3A88" w:rsidRPr="00CC052C" w:rsidRDefault="007C3A88" w:rsidP="007C3A88">
      <w:pPr>
        <w:pStyle w:val="SingleTxt"/>
        <w:ind w:left="1695"/>
      </w:pPr>
      <w:r w:rsidRPr="00CC052C">
        <w:rPr>
          <w:rFonts w:hint="eastAsia"/>
        </w:rPr>
        <w:tab/>
      </w:r>
      <w:r w:rsidRPr="00CC052C">
        <w:rPr>
          <w:rFonts w:hint="eastAsia"/>
        </w:rPr>
        <w:t>分庭可考虑若干因素，除其他外：</w:t>
      </w:r>
      <w:r w:rsidRPr="00CC052C">
        <w:t>(</w:t>
      </w:r>
      <w:r w:rsidRPr="00CC052C">
        <w:rPr>
          <w:rFonts w:hint="eastAsia"/>
        </w:rPr>
        <w:t>一</w:t>
      </w:r>
      <w:r w:rsidRPr="00CC052C">
        <w:t xml:space="preserve">) </w:t>
      </w:r>
      <w:r w:rsidRPr="00CC052C">
        <w:rPr>
          <w:rFonts w:hint="eastAsia"/>
        </w:rPr>
        <w:t>有关团体是否由负责任的领导指挥，或具备既定的等级结构；</w:t>
      </w:r>
      <w:r w:rsidRPr="00CC052C">
        <w:t>(</w:t>
      </w:r>
      <w:r w:rsidRPr="00CC052C">
        <w:rPr>
          <w:rFonts w:hint="eastAsia"/>
        </w:rPr>
        <w:t>二</w:t>
      </w:r>
      <w:r w:rsidRPr="00CC052C">
        <w:t xml:space="preserve">) </w:t>
      </w:r>
      <w:r w:rsidRPr="00CC052C">
        <w:rPr>
          <w:rFonts w:hint="eastAsia"/>
        </w:rPr>
        <w:t>有关团体事实上是否具备针对平民人口实施广泛或有系统攻击的手段；</w:t>
      </w:r>
      <w:r w:rsidRPr="00CC052C">
        <w:t>(</w:t>
      </w:r>
      <w:r w:rsidRPr="00CC052C">
        <w:rPr>
          <w:rFonts w:hint="eastAsia"/>
        </w:rPr>
        <w:t>三</w:t>
      </w:r>
      <w:r w:rsidRPr="00CC052C">
        <w:t xml:space="preserve">) </w:t>
      </w:r>
      <w:r w:rsidRPr="00CC052C">
        <w:rPr>
          <w:rFonts w:hint="eastAsia"/>
        </w:rPr>
        <w:t>有关团体是否控制着一国的部分领土；</w:t>
      </w:r>
      <w:r w:rsidRPr="00CC052C">
        <w:t>(</w:t>
      </w:r>
      <w:r w:rsidRPr="00CC052C">
        <w:rPr>
          <w:rFonts w:hint="eastAsia"/>
        </w:rPr>
        <w:t>四</w:t>
      </w:r>
      <w:r w:rsidRPr="00CC052C">
        <w:t>)</w:t>
      </w:r>
      <w:r w:rsidRPr="00CC052C">
        <w:rPr>
          <w:rFonts w:hint="eastAsia"/>
        </w:rPr>
        <w:t xml:space="preserve"> </w:t>
      </w:r>
      <w:r w:rsidRPr="00CC052C">
        <w:rPr>
          <w:rFonts w:hint="eastAsia"/>
        </w:rPr>
        <w:t>有关团体是否将针对平民人口的犯罪活动作为首要目标；</w:t>
      </w:r>
      <w:r w:rsidRPr="00CC052C">
        <w:t>(</w:t>
      </w:r>
      <w:r w:rsidRPr="00CC052C">
        <w:rPr>
          <w:rFonts w:hint="eastAsia"/>
        </w:rPr>
        <w:t>五</w:t>
      </w:r>
      <w:r w:rsidRPr="00CC052C">
        <w:t>)</w:t>
      </w:r>
      <w:r w:rsidRPr="00CC052C">
        <w:rPr>
          <w:rFonts w:hint="eastAsia"/>
        </w:rPr>
        <w:t xml:space="preserve"> </w:t>
      </w:r>
      <w:r w:rsidRPr="00CC052C">
        <w:rPr>
          <w:rFonts w:hint="eastAsia"/>
        </w:rPr>
        <w:t>有关团体是否明确或隐晦地表露了攻击平民人口的意图；</w:t>
      </w:r>
      <w:r w:rsidRPr="00CC052C">
        <w:t>(</w:t>
      </w:r>
      <w:r w:rsidRPr="00CC052C">
        <w:rPr>
          <w:rFonts w:hint="eastAsia"/>
        </w:rPr>
        <w:t>六</w:t>
      </w:r>
      <w:r w:rsidRPr="00CC052C">
        <w:t xml:space="preserve">) </w:t>
      </w:r>
      <w:r w:rsidRPr="00CC052C">
        <w:rPr>
          <w:rFonts w:hint="eastAsia"/>
        </w:rPr>
        <w:t>有关团体是否属于某符合上述部分或全部标准的更大团体。</w:t>
      </w:r>
      <w:r w:rsidRPr="00CC052C">
        <w:rPr>
          <w:w w:val="150"/>
          <w:vertAlign w:val="superscript"/>
        </w:rPr>
        <w:footnoteReference w:id="200"/>
      </w:r>
    </w:p>
    <w:p w:rsidR="007C3A88" w:rsidRPr="00CC052C" w:rsidRDefault="007C3A88" w:rsidP="007C3A88">
      <w:pPr>
        <w:pStyle w:val="SingleTxt"/>
      </w:pPr>
      <w:r w:rsidRPr="00CC052C">
        <w:t xml:space="preserve">(31) </w:t>
      </w:r>
      <w:r w:rsidRPr="00CC052C">
        <w:rPr>
          <w:rFonts w:hint="eastAsia"/>
        </w:rPr>
        <w:t xml:space="preserve"> </w:t>
      </w:r>
      <w:r w:rsidRPr="00CC052C">
        <w:rPr>
          <w:rFonts w:hint="eastAsia"/>
        </w:rPr>
        <w:t>由于“政策”也可出自非国家组织，第</w:t>
      </w:r>
      <w:r w:rsidRPr="00CC052C">
        <w:rPr>
          <w:rFonts w:hint="eastAsia"/>
        </w:rPr>
        <w:t>3</w:t>
      </w:r>
      <w:r w:rsidRPr="00CC052C">
        <w:rPr>
          <w:rFonts w:hint="eastAsia"/>
        </w:rPr>
        <w:t>条第</w:t>
      </w:r>
      <w:r w:rsidRPr="00CC052C">
        <w:rPr>
          <w:rFonts w:hint="eastAsia"/>
        </w:rPr>
        <w:t>1</w:t>
      </w:r>
      <w:r w:rsidRPr="00CC052C">
        <w:rPr>
          <w:rFonts w:hint="eastAsia"/>
        </w:rPr>
        <w:t>至</w:t>
      </w:r>
      <w:r w:rsidRPr="00CC052C">
        <w:rPr>
          <w:rFonts w:hint="eastAsia"/>
        </w:rPr>
        <w:t>3</w:t>
      </w:r>
      <w:r w:rsidRPr="00CC052C">
        <w:rPr>
          <w:rFonts w:hint="eastAsia"/>
        </w:rPr>
        <w:t>款草案所载的定义并不要求犯罪人是国家官员或代理人。这一处理方法与国际法之下危害人类罪的发展情况相符。</w:t>
      </w:r>
      <w:r w:rsidRPr="00CC052C">
        <w:rPr>
          <w:rFonts w:hint="eastAsia"/>
        </w:rPr>
        <w:t>1991</w:t>
      </w:r>
      <w:r w:rsidRPr="00CC052C">
        <w:rPr>
          <w:rFonts w:hint="eastAsia"/>
        </w:rPr>
        <w:t>年，委员会在评论关于危害人类罪条文草案</w:t>
      </w:r>
      <w:r w:rsidRPr="00CC052C">
        <w:t>(</w:t>
      </w:r>
      <w:r w:rsidRPr="00CC052C">
        <w:rPr>
          <w:rFonts w:hint="eastAsia"/>
        </w:rPr>
        <w:t>最终形成</w:t>
      </w:r>
      <w:r w:rsidRPr="00CC052C">
        <w:rPr>
          <w:rFonts w:hint="eastAsia"/>
        </w:rPr>
        <w:t>1996</w:t>
      </w:r>
      <w:r w:rsidRPr="00CC052C">
        <w:rPr>
          <w:rFonts w:hint="eastAsia"/>
        </w:rPr>
        <w:t>年《治罪法草案》</w:t>
      </w:r>
      <w:r w:rsidRPr="00CC052C">
        <w:t>)</w:t>
      </w:r>
      <w:r w:rsidRPr="00CC052C">
        <w:rPr>
          <w:rFonts w:hint="eastAsia"/>
        </w:rPr>
        <w:t>时表示：“条文草案没有把可能犯此种罪行的人仅仅局限于政府官员或代表”，且“没有</w:t>
      </w:r>
      <w:r w:rsidRPr="00CC052C">
        <w:t>排除</w:t>
      </w:r>
      <w:r w:rsidRPr="00CC052C">
        <w:rPr>
          <w:rFonts w:hint="eastAsia"/>
        </w:rPr>
        <w:t>这样</w:t>
      </w:r>
      <w:r w:rsidRPr="00CC052C">
        <w:t>的可能性</w:t>
      </w:r>
      <w:r w:rsidRPr="00CC052C">
        <w:rPr>
          <w:rFonts w:hint="eastAsia"/>
        </w:rPr>
        <w:t>：具有实际权力</w:t>
      </w:r>
      <w:r w:rsidRPr="00CC052C">
        <w:t>或者加入犯罪</w:t>
      </w:r>
      <w:r w:rsidRPr="00CC052C">
        <w:rPr>
          <w:rFonts w:hint="eastAsia"/>
        </w:rPr>
        <w:t>团伙或集团的个人</w:t>
      </w:r>
      <w:r w:rsidRPr="00CC052C">
        <w:t>也</w:t>
      </w:r>
      <w:r w:rsidRPr="00CC052C">
        <w:rPr>
          <w:rFonts w:hint="eastAsia"/>
        </w:rPr>
        <w:t>能够</w:t>
      </w:r>
      <w:r w:rsidRPr="00CC052C">
        <w:t>犯下</w:t>
      </w:r>
      <w:r w:rsidRPr="00CC052C">
        <w:rPr>
          <w:rFonts w:hint="eastAsia"/>
        </w:rPr>
        <w:t>本条规定</w:t>
      </w:r>
      <w:r w:rsidRPr="00CC052C">
        <w:t>的那种有</w:t>
      </w:r>
      <w:r w:rsidRPr="00CC052C">
        <w:rPr>
          <w:rFonts w:hint="eastAsia"/>
        </w:rPr>
        <w:t>计划</w:t>
      </w:r>
      <w:r w:rsidRPr="00CC052C">
        <w:t>或大</w:t>
      </w:r>
      <w:r w:rsidRPr="00CC052C">
        <w:rPr>
          <w:rFonts w:hint="eastAsia"/>
        </w:rPr>
        <w:t>规模</w:t>
      </w:r>
      <w:r w:rsidRPr="00CC052C">
        <w:t>侵害</w:t>
      </w:r>
      <w:r w:rsidRPr="00CC052C">
        <w:rPr>
          <w:rFonts w:hint="eastAsia"/>
        </w:rPr>
        <w:t>人权</w:t>
      </w:r>
      <w:r w:rsidRPr="00CC052C">
        <w:t>的</w:t>
      </w:r>
      <w:r w:rsidRPr="00CC052C">
        <w:rPr>
          <w:rFonts w:hint="eastAsia"/>
        </w:rPr>
        <w:t>行为，</w:t>
      </w:r>
      <w:r w:rsidRPr="00CC052C">
        <w:t>遇此</w:t>
      </w:r>
      <w:r w:rsidRPr="00CC052C">
        <w:rPr>
          <w:rFonts w:hint="eastAsia"/>
        </w:rPr>
        <w:t>情况，他们的行为即属治罪法草案的范围。”</w:t>
      </w:r>
      <w:r w:rsidRPr="00CC052C">
        <w:rPr>
          <w:w w:val="150"/>
          <w:vertAlign w:val="superscript"/>
        </w:rPr>
        <w:footnoteReference w:id="201"/>
      </w:r>
      <w:r w:rsidRPr="00CC052C">
        <w:t xml:space="preserve"> </w:t>
      </w:r>
      <w:r w:rsidRPr="00CC052C">
        <w:rPr>
          <w:rFonts w:hint="eastAsia"/>
        </w:rPr>
        <w:t>如先前讨论的，</w:t>
      </w:r>
      <w:r w:rsidRPr="00CC052C">
        <w:t>1996</w:t>
      </w:r>
      <w:r w:rsidRPr="00CC052C">
        <w:rPr>
          <w:rFonts w:hint="eastAsia"/>
        </w:rPr>
        <w:t>年《治罪法草案》增加了一项条件，即不人道行为要构成危害人类罪，必须是“由某一政府</w:t>
      </w:r>
      <w:r w:rsidRPr="00CC052C">
        <w:rPr>
          <w:rFonts w:hint="eastAsia"/>
          <w:iCs/>
        </w:rPr>
        <w:t>或任何组织或团体</w:t>
      </w:r>
      <w:r w:rsidRPr="00CC052C">
        <w:rPr>
          <w:rFonts w:hint="eastAsia"/>
        </w:rPr>
        <w:t>唆使或指挥的。”</w:t>
      </w:r>
      <w:r w:rsidRPr="00CC052C">
        <w:rPr>
          <w:w w:val="150"/>
          <w:vertAlign w:val="superscript"/>
        </w:rPr>
        <w:footnoteReference w:id="202"/>
      </w:r>
      <w:r w:rsidRPr="00CC052C">
        <w:t xml:space="preserve"> </w:t>
      </w:r>
      <w:r w:rsidRPr="00CC052C">
        <w:rPr>
          <w:rFonts w:hint="eastAsia"/>
        </w:rPr>
        <w:t>委员会在对这一条件的评注中指出：“政府或可能附</w:t>
      </w:r>
      <w:r w:rsidRPr="00CC052C">
        <w:t>属于政府或不附属于政府的任何组织或团体的唆使或指挥，使此种行为具有其重大份量，并使这种行为变成可归</w:t>
      </w:r>
      <w:r w:rsidRPr="00CC052C">
        <w:rPr>
          <w:rFonts w:hint="eastAsia"/>
        </w:rPr>
        <w:t>因</w:t>
      </w:r>
      <w:r w:rsidRPr="00CC052C">
        <w:t>于个人或国家代理人员的危害人类罪行</w:t>
      </w:r>
      <w:r w:rsidRPr="00CC052C">
        <w:rPr>
          <w:rFonts w:hint="eastAsia"/>
        </w:rPr>
        <w:t>。”</w:t>
      </w:r>
      <w:r w:rsidRPr="00CC052C">
        <w:rPr>
          <w:w w:val="150"/>
          <w:vertAlign w:val="superscript"/>
        </w:rPr>
        <w:footnoteReference w:id="203"/>
      </w:r>
      <w:r w:rsidRPr="00CC052C">
        <w:t xml:space="preserve"> </w:t>
      </w:r>
    </w:p>
    <w:p w:rsidR="007C3A88" w:rsidRPr="00CC052C" w:rsidRDefault="007C3A88" w:rsidP="007C3A88">
      <w:pPr>
        <w:pStyle w:val="SingleTxt"/>
      </w:pPr>
      <w:r w:rsidRPr="00D02F5C">
        <w:t xml:space="preserve">(32) </w:t>
      </w:r>
      <w:r w:rsidRPr="00D02F5C">
        <w:rPr>
          <w:rFonts w:hint="eastAsia"/>
        </w:rPr>
        <w:t xml:space="preserve"> </w:t>
      </w:r>
      <w:r w:rsidRPr="00D02F5C">
        <w:t>前南刑庭</w:t>
      </w:r>
      <w:r w:rsidRPr="00D02F5C">
        <w:rPr>
          <w:rFonts w:hint="eastAsia"/>
        </w:rPr>
        <w:t>判例接受以危害人类罪起诉非国家行为方的可能性。例如，</w:t>
      </w:r>
      <w:r w:rsidRPr="00D02F5C">
        <w:t>前南刑庭</w:t>
      </w:r>
      <w:r w:rsidRPr="00D02F5C">
        <w:rPr>
          <w:rFonts w:hint="eastAsia"/>
        </w:rPr>
        <w:t>一审判分庭在</w:t>
      </w:r>
      <w:r w:rsidRPr="00D02F5C">
        <w:rPr>
          <w:iCs/>
        </w:rPr>
        <w:t>Tadić</w:t>
      </w:r>
      <w:r w:rsidRPr="00D02F5C">
        <w:rPr>
          <w:rFonts w:hint="eastAsia"/>
          <w:iCs/>
        </w:rPr>
        <w:t>案中表示，“危害人类罪方面的法律已经有所发展，纳入了虽</w:t>
      </w:r>
      <w:r w:rsidRPr="00CE568E">
        <w:rPr>
          <w:rFonts w:hint="eastAsia"/>
          <w:iCs/>
          <w:spacing w:val="-2"/>
        </w:rPr>
        <w:lastRenderedPageBreak/>
        <w:t>不隶属于合法政府但实际上控制着指定领土，或者可在该领土上自由行动的军事力量。”</w:t>
      </w:r>
      <w:r w:rsidRPr="00CE568E">
        <w:rPr>
          <w:iCs/>
          <w:spacing w:val="-2"/>
          <w:w w:val="150"/>
          <w:vertAlign w:val="superscript"/>
        </w:rPr>
        <w:footnoteReference w:id="204"/>
      </w:r>
      <w:r w:rsidRPr="00CE568E">
        <w:rPr>
          <w:iCs/>
          <w:spacing w:val="-2"/>
        </w:rPr>
        <w:t xml:space="preserve"> </w:t>
      </w:r>
      <w:r w:rsidRPr="00CC052C">
        <w:rPr>
          <w:rFonts w:hint="eastAsia"/>
          <w:iCs/>
        </w:rPr>
        <w:t>这一裁决在</w:t>
      </w:r>
      <w:r w:rsidRPr="00CC052C">
        <w:rPr>
          <w:iCs/>
        </w:rPr>
        <w:t>Limaj</w:t>
      </w:r>
      <w:r w:rsidRPr="00CC052C">
        <w:rPr>
          <w:rFonts w:hint="eastAsia"/>
        </w:rPr>
        <w:t>案中得到了响应，该案审判分庭认为能够以危害人类罪起诉科索沃解放军的被告成员。</w:t>
      </w:r>
      <w:r w:rsidRPr="00CC052C">
        <w:rPr>
          <w:w w:val="150"/>
          <w:vertAlign w:val="superscript"/>
        </w:rPr>
        <w:footnoteReference w:id="205"/>
      </w:r>
    </w:p>
    <w:p w:rsidR="007C3A88" w:rsidRPr="00CC052C" w:rsidRDefault="007C3A88" w:rsidP="007C3A88">
      <w:pPr>
        <w:pStyle w:val="SingleTxt"/>
      </w:pPr>
      <w:r w:rsidRPr="00CC052C">
        <w:t xml:space="preserve">(33) </w:t>
      </w:r>
      <w:r w:rsidRPr="00CC052C">
        <w:rPr>
          <w:rFonts w:hint="eastAsia"/>
        </w:rPr>
        <w:t xml:space="preserve"> </w:t>
      </w:r>
      <w:r w:rsidRPr="00CC052C">
        <w:rPr>
          <w:rFonts w:hint="eastAsia"/>
        </w:rPr>
        <w:t>国际刑院在</w:t>
      </w:r>
      <w:r w:rsidRPr="00CC052C">
        <w:t>Ntaganda</w:t>
      </w:r>
      <w:r w:rsidRPr="00CC052C">
        <w:rPr>
          <w:rFonts w:hint="eastAsia"/>
          <w:iCs/>
        </w:rPr>
        <w:t>案中，</w:t>
      </w:r>
      <w:r w:rsidRPr="00CC052C">
        <w:rPr>
          <w:rFonts w:hint="eastAsia"/>
        </w:rPr>
        <w:t>确认了对一名与刚果民主共和国境内的</w:t>
      </w:r>
      <w:r w:rsidRPr="00CC052C">
        <w:rPr>
          <w:rFonts w:hint="eastAsia"/>
          <w:iCs/>
        </w:rPr>
        <w:t>刚果爱国者联盟和争取刚果自由爱国力量这两个准军事团体有关的被告的多项指控。</w:t>
      </w:r>
      <w:r w:rsidRPr="00CC052C">
        <w:rPr>
          <w:w w:val="150"/>
          <w:vertAlign w:val="superscript"/>
        </w:rPr>
        <w:footnoteReference w:id="206"/>
      </w:r>
      <w:r w:rsidRPr="00CC052C">
        <w:t xml:space="preserve"> </w:t>
      </w:r>
      <w:r w:rsidRPr="00CC052C">
        <w:rPr>
          <w:rFonts w:hint="eastAsia"/>
        </w:rPr>
        <w:t>同样，在</w:t>
      </w:r>
      <w:r w:rsidRPr="00CC052C">
        <w:t>Callixte Mbarushimana</w:t>
      </w:r>
      <w:r w:rsidRPr="00CC052C">
        <w:rPr>
          <w:rFonts w:hint="eastAsia"/>
          <w:iCs/>
        </w:rPr>
        <w:t>案中，检察官对一名与解放卢旺达民主力量有关的被告提出了多项指控，</w:t>
      </w:r>
      <w:r w:rsidRPr="00CC052C">
        <w:rPr>
          <w:rFonts w:hint="eastAsia"/>
        </w:rPr>
        <w:t>根据该组织条例的描述，这一组织是“旨在‘收回和保卫’卢旺达‘国家主权’的武装团体。”</w:t>
      </w:r>
      <w:r w:rsidRPr="00CC052C">
        <w:rPr>
          <w:w w:val="150"/>
          <w:vertAlign w:val="superscript"/>
        </w:rPr>
        <w:footnoteReference w:id="207"/>
      </w:r>
      <w:r w:rsidRPr="00CC052C">
        <w:t xml:space="preserve"> </w:t>
      </w:r>
      <w:r w:rsidRPr="00CC052C">
        <w:rPr>
          <w:rFonts w:hint="eastAsia"/>
        </w:rPr>
        <w:t>在与乌干达状况有关的诉</w:t>
      </w:r>
      <w:r w:rsidRPr="00CC052C">
        <w:t>Joseph Kony</w:t>
      </w:r>
      <w:r w:rsidRPr="00CC052C">
        <w:rPr>
          <w:rFonts w:hint="eastAsia"/>
        </w:rPr>
        <w:t>案中，被告据称与圣灵抵抗军这一“对乌干达政府和乌干达军队实施叛乱的武装团体”</w:t>
      </w:r>
      <w:r w:rsidRPr="00CC052C">
        <w:rPr>
          <w:w w:val="150"/>
          <w:vertAlign w:val="superscript"/>
        </w:rPr>
        <w:footnoteReference w:id="208"/>
      </w:r>
      <w:r w:rsidRPr="00CC052C">
        <w:rPr>
          <w:rFonts w:hint="eastAsia"/>
        </w:rPr>
        <w:t xml:space="preserve"> </w:t>
      </w:r>
      <w:r w:rsidRPr="00CC052C">
        <w:rPr>
          <w:rFonts w:hint="eastAsia"/>
        </w:rPr>
        <w:t>有关，该团体“组织结构采用军事化的等级划分并作为军队从事活动。”</w:t>
      </w:r>
      <w:r w:rsidRPr="00CC052C">
        <w:rPr>
          <w:w w:val="150"/>
          <w:vertAlign w:val="superscript"/>
        </w:rPr>
        <w:footnoteReference w:id="209"/>
      </w:r>
      <w:r w:rsidRPr="00CC052C">
        <w:t xml:space="preserve"> </w:t>
      </w:r>
      <w:r w:rsidRPr="00CC052C">
        <w:rPr>
          <w:rFonts w:hint="eastAsia"/>
        </w:rPr>
        <w:t>关于肯尼亚的状况，一预审分庭确认了对多名被告的危害人类罪指控，因为他们与一“系列”行为人有关，“包括知名的</w:t>
      </w:r>
      <w:r w:rsidRPr="00CC052C">
        <w:t>[</w:t>
      </w:r>
      <w:r w:rsidRPr="00CC052C">
        <w:rPr>
          <w:rFonts w:hint="eastAsia"/>
        </w:rPr>
        <w:t>橙色民主运动</w:t>
      </w:r>
      <w:r w:rsidRPr="00CC052C">
        <w:rPr>
          <w:rFonts w:hint="eastAsia"/>
        </w:rPr>
        <w:t>(</w:t>
      </w:r>
      <w:r w:rsidRPr="00CC052C">
        <w:rPr>
          <w:rFonts w:hint="eastAsia"/>
        </w:rPr>
        <w:t>橙民运</w:t>
      </w:r>
      <w:r w:rsidRPr="00CC052C">
        <w:t>)]</w:t>
      </w:r>
      <w:r w:rsidRPr="00CC052C">
        <w:rPr>
          <w:rFonts w:hint="eastAsia"/>
        </w:rPr>
        <w:t>政党代表、媒体代表、肯尼亚前警员和军人、卡伦金长老和地方领袖。”</w:t>
      </w:r>
      <w:r w:rsidRPr="00CC052C">
        <w:rPr>
          <w:w w:val="150"/>
          <w:vertAlign w:val="superscript"/>
        </w:rPr>
        <w:footnoteReference w:id="210"/>
      </w:r>
      <w:r w:rsidRPr="00CC052C">
        <w:t xml:space="preserve"> </w:t>
      </w:r>
      <w:r w:rsidRPr="00CC052C">
        <w:rPr>
          <w:rFonts w:hint="eastAsia"/>
        </w:rPr>
        <w:t>同样，对其他被告的指控也得到了确认，这些被告涉嫌参与“群众帮与民族团结党青年在纳库鲁和奈瓦沙不同地区使用查询名单、辨别外貌、设置路障和辨识语言等多种识别手段，针对其认为的</w:t>
      </w:r>
      <w:r w:rsidRPr="00CC052C">
        <w:rPr>
          <w:rFonts w:hint="eastAsia"/>
        </w:rPr>
        <w:t>[</w:t>
      </w:r>
      <w:r w:rsidRPr="00CC052C">
        <w:rPr>
          <w:rFonts w:hint="eastAsia"/>
        </w:rPr>
        <w:t>橙民运</w:t>
      </w:r>
      <w:r w:rsidRPr="00CC052C">
        <w:rPr>
          <w:rFonts w:hint="eastAsia"/>
        </w:rPr>
        <w:t>]</w:t>
      </w:r>
      <w:r w:rsidRPr="00CC052C">
        <w:rPr>
          <w:rFonts w:hint="eastAsia"/>
        </w:rPr>
        <w:t>支持者的协同攻击”。</w:t>
      </w:r>
      <w:r w:rsidRPr="00CC052C">
        <w:rPr>
          <w:w w:val="150"/>
          <w:vertAlign w:val="superscript"/>
        </w:rPr>
        <w:footnoteReference w:id="211"/>
      </w:r>
    </w:p>
    <w:bookmarkEnd w:id="41"/>
    <w:bookmarkEnd w:id="42"/>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“在明知这一攻击的情况下”</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t xml:space="preserve">(34) </w:t>
      </w:r>
      <w:r w:rsidRPr="00CC052C">
        <w:rPr>
          <w:rFonts w:hint="eastAsia"/>
        </w:rPr>
        <w:t xml:space="preserve"> </w:t>
      </w:r>
      <w:r w:rsidRPr="00CC052C">
        <w:rPr>
          <w:rFonts w:hint="eastAsia"/>
        </w:rPr>
        <w:t>第三项总体条件是，行为人必须是“在明知这一攻击的情况下”实施有关行为。</w:t>
      </w:r>
      <w:r w:rsidRPr="00CC052C">
        <w:t>前南刑庭</w:t>
      </w:r>
      <w:r w:rsidRPr="00CC052C">
        <w:rPr>
          <w:rFonts w:hint="eastAsia"/>
        </w:rPr>
        <w:t>和</w:t>
      </w:r>
      <w:r w:rsidRPr="00CC052C">
        <w:t>卢刑庭</w:t>
      </w:r>
      <w:r w:rsidRPr="00CC052C">
        <w:rPr>
          <w:rFonts w:hint="eastAsia"/>
        </w:rPr>
        <w:t>的判例断定，行为人必须对攻击平民人口一事知情，且自身的行为就是该攻击的一部分。</w:t>
      </w:r>
      <w:r w:rsidRPr="00CC052C">
        <w:rPr>
          <w:w w:val="150"/>
          <w:vertAlign w:val="superscript"/>
        </w:rPr>
        <w:footnoteReference w:id="212"/>
      </w:r>
      <w:r w:rsidRPr="00CC052C">
        <w:rPr>
          <w:rFonts w:hint="eastAsia"/>
        </w:rPr>
        <w:t xml:space="preserve"> </w:t>
      </w:r>
      <w:r w:rsidRPr="00CC052C">
        <w:rPr>
          <w:rFonts w:hint="eastAsia"/>
        </w:rPr>
        <w:t>《罗马规约》之下的《犯罪要件》反映了这一“两部分”处理方法，规定每项禁止的行为的最后一项要件均为：“行为人知晓有关行为是对平民人口广泛或有系统的攻击的一部分，或有意让有关行为成为上述攻击的一部分”。即便如此，</w:t>
      </w:r>
    </w:p>
    <w:p w:rsidR="007C3A88" w:rsidRPr="00CC052C" w:rsidRDefault="007C3A88" w:rsidP="007C3A88">
      <w:pPr>
        <w:pStyle w:val="SingleTxt"/>
        <w:ind w:left="1695"/>
      </w:pPr>
      <w:r w:rsidRPr="00CC052C">
        <w:rPr>
          <w:rFonts w:hint="eastAsia"/>
        </w:rPr>
        <w:tab/>
      </w:r>
      <w:r w:rsidRPr="00CC052C">
        <w:rPr>
          <w:rFonts w:hint="eastAsia"/>
        </w:rPr>
        <w:t>“</w:t>
      </w:r>
      <w:r w:rsidRPr="00CC052C">
        <w:t>最后一项要件不应被解释为必须证明行为人知道攻击的所有特性</w:t>
      </w:r>
      <w:r w:rsidRPr="00CC052C">
        <w:rPr>
          <w:rFonts w:hint="eastAsia"/>
        </w:rPr>
        <w:t>，</w:t>
      </w:r>
      <w:r w:rsidRPr="00CC052C">
        <w:t>或国家或组织的计划或政策的详情</w:t>
      </w:r>
      <w:r w:rsidRPr="00CC052C">
        <w:rPr>
          <w:rFonts w:hint="eastAsia"/>
        </w:rPr>
        <w:t>。</w:t>
      </w:r>
      <w:r w:rsidRPr="00CC052C">
        <w:t>如果广泛或有系统地针对平民人口进行攻击为</w:t>
      </w:r>
      <w:r w:rsidRPr="00CC052C">
        <w:lastRenderedPageBreak/>
        <w:t>新出现的情况</w:t>
      </w:r>
      <w:r w:rsidRPr="00CC052C">
        <w:rPr>
          <w:rFonts w:hint="eastAsia"/>
        </w:rPr>
        <w:t>，</w:t>
      </w:r>
      <w:r w:rsidRPr="00CC052C">
        <w:t>最后一项要件的故意要素是指</w:t>
      </w:r>
      <w:r w:rsidRPr="00CC052C">
        <w:rPr>
          <w:rFonts w:hint="eastAsia"/>
        </w:rPr>
        <w:t>，</w:t>
      </w:r>
      <w:r w:rsidRPr="00CC052C">
        <w:t>行为人如果有意推行这种攻击</w:t>
      </w:r>
      <w:r w:rsidRPr="00CC052C">
        <w:rPr>
          <w:rFonts w:hint="eastAsia"/>
        </w:rPr>
        <w:t>，</w:t>
      </w:r>
      <w:r w:rsidRPr="00CC052C">
        <w:t>即具备这一心理要件</w:t>
      </w:r>
      <w:r w:rsidRPr="00CC052C">
        <w:rPr>
          <w:rFonts w:hint="eastAsia"/>
        </w:rPr>
        <w:t>。”</w:t>
      </w:r>
      <w:r w:rsidRPr="00CC052C">
        <w:rPr>
          <w:w w:val="150"/>
          <w:vertAlign w:val="superscript"/>
        </w:rPr>
        <w:footnoteReference w:id="213"/>
      </w:r>
    </w:p>
    <w:p w:rsidR="007C3A88" w:rsidRPr="00CC052C" w:rsidRDefault="007C3A88" w:rsidP="007C3A88">
      <w:pPr>
        <w:pStyle w:val="SingleTxt"/>
      </w:pPr>
      <w:r w:rsidRPr="007B14CC">
        <w:t>(35)</w:t>
      </w:r>
      <w:r w:rsidRPr="007B14CC">
        <w:rPr>
          <w:rFonts w:hint="eastAsia"/>
        </w:rPr>
        <w:t xml:space="preserve">  </w:t>
      </w:r>
      <w:r w:rsidRPr="007B14CC">
        <w:rPr>
          <w:rFonts w:hint="eastAsia"/>
        </w:rPr>
        <w:t>国际刑院一预审分庭在确认对</w:t>
      </w:r>
      <w:r w:rsidRPr="007B14CC">
        <w:t>Laurent Gbagbo</w:t>
      </w:r>
      <w:r w:rsidRPr="007B14CC">
        <w:rPr>
          <w:rFonts w:hint="eastAsia"/>
        </w:rPr>
        <w:t>的指控的决定中认定，“仅需确</w:t>
      </w:r>
      <w:r w:rsidRPr="007B14CC">
        <w:rPr>
          <w:rFonts w:hint="eastAsia"/>
          <w:spacing w:val="-6"/>
        </w:rPr>
        <w:t>证该人大体上知道攻击之事。”</w:t>
      </w:r>
      <w:r w:rsidRPr="007B14CC">
        <w:rPr>
          <w:spacing w:val="-6"/>
          <w:w w:val="150"/>
          <w:vertAlign w:val="superscript"/>
        </w:rPr>
        <w:footnoteReference w:id="214"/>
      </w:r>
      <w:r w:rsidRPr="007B14CC">
        <w:rPr>
          <w:spacing w:val="-6"/>
        </w:rPr>
        <w:t xml:space="preserve"> </w:t>
      </w:r>
      <w:r w:rsidRPr="007B14CC">
        <w:rPr>
          <w:rFonts w:hint="eastAsia"/>
          <w:spacing w:val="-6"/>
        </w:rPr>
        <w:t>实际上，不需要证明行为人知悉攻击的具体细节；</w:t>
      </w:r>
      <w:r w:rsidRPr="007B14CC">
        <w:rPr>
          <w:spacing w:val="-6"/>
          <w:w w:val="150"/>
          <w:vertAlign w:val="superscript"/>
        </w:rPr>
        <w:footnoteReference w:id="215"/>
      </w:r>
      <w:r w:rsidRPr="007B14CC">
        <w:rPr>
          <w:rFonts w:hint="eastAsia"/>
          <w:spacing w:val="-6"/>
        </w:rPr>
        <w:t xml:space="preserve"> </w:t>
      </w:r>
      <w:r w:rsidRPr="007B14CC">
        <w:rPr>
          <w:rFonts w:hint="eastAsia"/>
        </w:rPr>
        <w:t>相反，行</w:t>
      </w:r>
      <w:r w:rsidRPr="00CC052C">
        <w:rPr>
          <w:rFonts w:hint="eastAsia"/>
        </w:rPr>
        <w:t>为人知情与否可以从间接证据推导得出。</w:t>
      </w:r>
      <w:r w:rsidRPr="00CC052C">
        <w:rPr>
          <w:w w:val="150"/>
          <w:vertAlign w:val="superscript"/>
        </w:rPr>
        <w:footnoteReference w:id="216"/>
      </w:r>
      <w:r w:rsidRPr="00CC052C">
        <w:t xml:space="preserve"> </w:t>
      </w:r>
      <w:r w:rsidRPr="00CC052C">
        <w:rPr>
          <w:rFonts w:hint="eastAsia"/>
        </w:rPr>
        <w:t>因此，</w:t>
      </w:r>
      <w:r w:rsidRPr="00CC052C">
        <w:t>国际刑院</w:t>
      </w:r>
      <w:r w:rsidRPr="00CC052C">
        <w:rPr>
          <w:rFonts w:hint="eastAsia"/>
        </w:rPr>
        <w:t>一</w:t>
      </w:r>
      <w:r w:rsidRPr="00CC052C">
        <w:t>预审分庭</w:t>
      </w:r>
      <w:r w:rsidRPr="00CC052C">
        <w:rPr>
          <w:rFonts w:hint="eastAsia"/>
        </w:rPr>
        <w:t>在</w:t>
      </w:r>
      <w:r w:rsidRPr="00CC052C">
        <w:t>Bemba</w:t>
      </w:r>
      <w:r w:rsidRPr="00CC052C">
        <w:rPr>
          <w:rFonts w:hint="eastAsia"/>
        </w:rPr>
        <w:t>案中认定刚解运部队在行事时对攻击知情，同时指出部队的知情可从“他们采取的攻击方法”中推导得出，这些攻击方法反映出了明确的规律。</w:t>
      </w:r>
      <w:r w:rsidRPr="00CC052C">
        <w:rPr>
          <w:w w:val="150"/>
          <w:vertAlign w:val="superscript"/>
        </w:rPr>
        <w:footnoteReference w:id="217"/>
      </w:r>
      <w:r w:rsidRPr="00CC052C">
        <w:t xml:space="preserve"> </w:t>
      </w:r>
      <w:r w:rsidRPr="00CC052C">
        <w:rPr>
          <w:rFonts w:hint="eastAsia"/>
        </w:rPr>
        <w:t>在</w:t>
      </w:r>
      <w:r w:rsidRPr="00CC052C">
        <w:t>Katanga</w:t>
      </w:r>
      <w:r w:rsidRPr="00CC052C">
        <w:rPr>
          <w:rFonts w:hint="eastAsia"/>
        </w:rPr>
        <w:t>案中，</w:t>
      </w:r>
      <w:r w:rsidRPr="00CC052C">
        <w:t>国际刑院</w:t>
      </w:r>
      <w:r w:rsidRPr="00CC052C">
        <w:rPr>
          <w:rFonts w:hint="eastAsia"/>
        </w:rPr>
        <w:t>一</w:t>
      </w:r>
      <w:r w:rsidRPr="00CC052C">
        <w:t>预审分庭</w:t>
      </w:r>
      <w:r w:rsidRPr="00CC052C">
        <w:rPr>
          <w:rFonts w:hint="eastAsia"/>
        </w:rPr>
        <w:t>认定：</w:t>
      </w:r>
    </w:p>
    <w:p w:rsidR="007C3A88" w:rsidRPr="00CC052C" w:rsidRDefault="007C3A88" w:rsidP="007C3A88">
      <w:pPr>
        <w:pStyle w:val="SingleTxt"/>
        <w:ind w:left="1695"/>
      </w:pPr>
      <w:r w:rsidRPr="00CC052C">
        <w:rPr>
          <w:rFonts w:hint="eastAsia"/>
        </w:rPr>
        <w:tab/>
      </w:r>
      <w:r w:rsidRPr="00CC052C">
        <w:rPr>
          <w:rFonts w:hint="eastAsia"/>
        </w:rPr>
        <w:t>对攻击知情与否，以及行为人是否意识到自己的行为是此种攻击的一部分，可从间接证据推导得出，例如：被告在军队等级中的位置；他在更广泛的犯罪活动中是否发挥重要作用；他是否出现在犯罪现场；他是否提到本人所属团体比敌对团体优越；以及发生有关行为的总体历史和政治环境。</w:t>
      </w:r>
      <w:r w:rsidRPr="00CC052C">
        <w:rPr>
          <w:w w:val="150"/>
          <w:vertAlign w:val="superscript"/>
        </w:rPr>
        <w:footnoteReference w:id="218"/>
      </w:r>
    </w:p>
    <w:p w:rsidR="007C3A88" w:rsidRPr="00CE568E" w:rsidRDefault="007C3A88" w:rsidP="007C3A88">
      <w:pPr>
        <w:pStyle w:val="SingleTxt"/>
        <w:rPr>
          <w:spacing w:val="4"/>
        </w:rPr>
      </w:pPr>
      <w:r w:rsidRPr="00CC052C">
        <w:t xml:space="preserve">(36) </w:t>
      </w:r>
      <w:r w:rsidRPr="00CC052C">
        <w:rPr>
          <w:rFonts w:hint="eastAsia"/>
        </w:rPr>
        <w:t xml:space="preserve"> </w:t>
      </w:r>
      <w:r w:rsidRPr="00CC052C">
        <w:rPr>
          <w:rFonts w:hint="eastAsia"/>
        </w:rPr>
        <w:t>此外，行为人参与攻击的个人动机无关紧要；行为人不需要拥有与更广泛攻击相同的目的或目标。</w:t>
      </w:r>
      <w:r w:rsidRPr="00CC052C">
        <w:rPr>
          <w:w w:val="150"/>
          <w:vertAlign w:val="superscript"/>
        </w:rPr>
        <w:footnoteReference w:id="219"/>
      </w:r>
      <w:r w:rsidRPr="00CC052C">
        <w:t xml:space="preserve"> </w:t>
      </w:r>
      <w:r w:rsidRPr="00CC052C">
        <w:t>前南刑庭上诉分庭</w:t>
      </w:r>
      <w:r w:rsidRPr="00CC052C">
        <w:rPr>
          <w:rFonts w:hint="eastAsia"/>
        </w:rPr>
        <w:t>在</w:t>
      </w:r>
      <w:r w:rsidRPr="00CC052C">
        <w:t>Kunarac</w:t>
      </w:r>
      <w:r w:rsidRPr="00CC052C">
        <w:rPr>
          <w:rFonts w:hint="eastAsia"/>
          <w:iCs/>
        </w:rPr>
        <w:t>案中指出，</w:t>
      </w:r>
      <w:r w:rsidRPr="00CC052C">
        <w:rPr>
          <w:rFonts w:hint="eastAsia"/>
        </w:rPr>
        <w:t>证明行为人是出于个人原因实施违禁行为的证据最多可以“表示存在一种可反驳的假定，即他没有意识到自己的行为是有关攻击的一部分。”</w:t>
      </w:r>
      <w:r w:rsidRPr="00CC052C">
        <w:rPr>
          <w:w w:val="150"/>
          <w:vertAlign w:val="superscript"/>
        </w:rPr>
        <w:footnoteReference w:id="220"/>
      </w:r>
      <w:r w:rsidRPr="00CC052C">
        <w:rPr>
          <w:rFonts w:hint="eastAsia"/>
        </w:rPr>
        <w:t xml:space="preserve"> </w:t>
      </w:r>
      <w:r w:rsidRPr="00CC052C">
        <w:rPr>
          <w:rFonts w:hint="eastAsia"/>
        </w:rPr>
        <w:t>行为人知道自己的行为是攻击的一部分或有意让自己的行为成为攻击的一部分，这才是与满足这一条件有关的问题。此外，若能证明所涉罪行是直接利用更广泛攻击实施的，或其实施有延长更广泛攻击的效果，亦能满足这一要件。</w:t>
      </w:r>
      <w:r w:rsidRPr="00CC052C">
        <w:rPr>
          <w:w w:val="150"/>
          <w:vertAlign w:val="superscript"/>
        </w:rPr>
        <w:footnoteReference w:id="221"/>
      </w:r>
      <w:r w:rsidRPr="00CC052C">
        <w:t xml:space="preserve"> </w:t>
      </w:r>
      <w:r w:rsidRPr="00CC052C">
        <w:rPr>
          <w:rFonts w:hint="eastAsia"/>
        </w:rPr>
        <w:t>例如，在</w:t>
      </w:r>
      <w:r w:rsidRPr="00CC052C">
        <w:t>Kunarac</w:t>
      </w:r>
      <w:r w:rsidRPr="00CC052C">
        <w:rPr>
          <w:rFonts w:hint="eastAsia"/>
        </w:rPr>
        <w:t>案中，行为人被指控犯下各种形式的针对穆斯林妇女和女童的性暴力、酷刑行为和奴役。</w:t>
      </w:r>
      <w:r w:rsidRPr="00CC052C">
        <w:t>前南刑庭</w:t>
      </w:r>
      <w:r w:rsidRPr="00CC052C">
        <w:rPr>
          <w:rFonts w:hint="eastAsia"/>
        </w:rPr>
        <w:t>审判分庭认</w:t>
      </w:r>
      <w:r w:rsidRPr="0041050A">
        <w:rPr>
          <w:rFonts w:hint="eastAsia"/>
          <w:spacing w:val="4"/>
        </w:rPr>
        <w:t>定，被告满足知情这一要件，因为他们不仅了解对穆斯林平民人口的攻击，还“直接利用攻击所创造的局面”延长了攻击，并“充分接受这一基于族裔的侵略行为。”</w:t>
      </w:r>
      <w:r w:rsidRPr="0041050A">
        <w:rPr>
          <w:spacing w:val="4"/>
          <w:w w:val="150"/>
          <w:vertAlign w:val="superscript"/>
        </w:rPr>
        <w:footnoteReference w:id="222"/>
      </w:r>
      <w:r w:rsidRPr="0041050A">
        <w:rPr>
          <w:spacing w:val="4"/>
        </w:rPr>
        <w:t xml:space="preserve"> </w:t>
      </w:r>
      <w:r w:rsidRPr="00CC052C">
        <w:rPr>
          <w:rFonts w:hint="eastAsia"/>
        </w:rPr>
        <w:t>同样，国际刑院某审判分庭认定，行为人一定知道有关行为是针对平民人口的广泛或有系统攻击的一部分，行为人的动机与是否将有关行为定为危害</w:t>
      </w:r>
      <w:r w:rsidRPr="00CC052C">
        <w:rPr>
          <w:rFonts w:hint="eastAsia"/>
        </w:rPr>
        <w:lastRenderedPageBreak/>
        <w:t>人类罪无关。</w:t>
      </w:r>
      <w:r w:rsidRPr="00CE568E">
        <w:rPr>
          <w:rFonts w:hint="eastAsia"/>
          <w:spacing w:val="4"/>
        </w:rPr>
        <w:t>行为人不需要了解攻击的所有特点或详情，也不需要赞同“国家或组织的犯罪设想。”</w:t>
      </w:r>
      <w:r w:rsidRPr="00CE568E">
        <w:rPr>
          <w:spacing w:val="4"/>
          <w:w w:val="150"/>
          <w:vertAlign w:val="superscript"/>
        </w:rPr>
        <w:footnoteReference w:id="223"/>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禁止的行为</w:t>
      </w:r>
    </w:p>
    <w:p w:rsidR="007C3A88" w:rsidRPr="00CC052C" w:rsidRDefault="007C3A88" w:rsidP="007C3A88">
      <w:pPr>
        <w:pStyle w:val="SingleTxt"/>
        <w:spacing w:after="0" w:line="120" w:lineRule="exact"/>
        <w:rPr>
          <w:sz w:val="10"/>
        </w:rPr>
      </w:pPr>
    </w:p>
    <w:p w:rsidR="007C3A88" w:rsidRPr="008E725F" w:rsidRDefault="007C3A88" w:rsidP="008E725F">
      <w:pPr>
        <w:pStyle w:val="SingleTxt"/>
      </w:pPr>
      <w:r w:rsidRPr="00CC052C">
        <w:t>(37)</w:t>
      </w:r>
      <w:r w:rsidRPr="00CC052C">
        <w:rPr>
          <w:rFonts w:hint="eastAsia"/>
        </w:rPr>
        <w:t xml:space="preserve">  </w:t>
      </w:r>
      <w:r w:rsidRPr="00CC052C">
        <w:rPr>
          <w:rFonts w:hint="eastAsia"/>
        </w:rPr>
        <w:t>与《罗马规约》第七条相同，第</w:t>
      </w:r>
      <w:r w:rsidRPr="00CC052C">
        <w:rPr>
          <w:rFonts w:hint="eastAsia"/>
        </w:rPr>
        <w:t>3</w:t>
      </w:r>
      <w:r w:rsidRPr="00CC052C">
        <w:rPr>
          <w:rFonts w:hint="eastAsia"/>
        </w:rPr>
        <w:t>条第</w:t>
      </w:r>
      <w:r w:rsidRPr="00CC052C">
        <w:rPr>
          <w:rFonts w:hint="eastAsia"/>
        </w:rPr>
        <w:t>1</w:t>
      </w:r>
      <w:r w:rsidRPr="00CC052C">
        <w:rPr>
          <w:rFonts w:hint="eastAsia"/>
        </w:rPr>
        <w:t>款</w:t>
      </w:r>
      <w:r w:rsidRPr="00CC052C">
        <w:rPr>
          <w:rFonts w:hint="eastAsia"/>
        </w:rPr>
        <w:t>(a)</w:t>
      </w:r>
      <w:r w:rsidRPr="00CC052C">
        <w:rPr>
          <w:rFonts w:hint="eastAsia"/>
        </w:rPr>
        <w:t>项至</w:t>
      </w:r>
      <w:r w:rsidRPr="00CC052C">
        <w:rPr>
          <w:rFonts w:hint="eastAsia"/>
        </w:rPr>
        <w:t>(k)</w:t>
      </w:r>
      <w:r w:rsidRPr="00CC052C">
        <w:rPr>
          <w:rFonts w:hint="eastAsia"/>
        </w:rPr>
        <w:t>项草案列出了危害人类罪项下禁止的行为。这些禁止的行为也出现在委员会</w:t>
      </w:r>
      <w:r w:rsidRPr="00CC052C">
        <w:rPr>
          <w:rFonts w:hint="eastAsia"/>
        </w:rPr>
        <w:t>1996</w:t>
      </w:r>
      <w:r w:rsidRPr="00CC052C">
        <w:rPr>
          <w:rFonts w:hint="eastAsia"/>
        </w:rPr>
        <w:t>年《危害人类和平及安全治罪法草案》第</w:t>
      </w:r>
      <w:r w:rsidRPr="00CC052C">
        <w:rPr>
          <w:rFonts w:hint="eastAsia"/>
        </w:rPr>
        <w:t>18</w:t>
      </w:r>
      <w:r w:rsidRPr="00CC052C">
        <w:rPr>
          <w:rFonts w:hint="eastAsia"/>
        </w:rPr>
        <w:t>条所载的危害人类罪的定义中，但用语略有不同。个人实施这些行为之一，即可构成犯危害人类罪；该人的行为不必是多项行为，但行为必须是针对任何平民人口的广泛或有系统攻击的“一部分”。</w:t>
      </w:r>
      <w:r w:rsidRPr="00CC052C">
        <w:rPr>
          <w:w w:val="150"/>
          <w:vertAlign w:val="superscript"/>
        </w:rPr>
        <w:footnoteReference w:id="224"/>
      </w:r>
      <w:r w:rsidRPr="00CC052C">
        <w:rPr>
          <w:rFonts w:hint="eastAsia"/>
        </w:rPr>
        <w:t xml:space="preserve"> </w:t>
      </w:r>
      <w:r w:rsidRPr="00CC052C">
        <w:rPr>
          <w:rFonts w:hint="eastAsia"/>
        </w:rPr>
        <w:t>要满足这一条件，所涉罪行并不需要是在对平民人口的攻击最激烈时实施的；只要可以充分将其与攻击联系起来，就可以是攻击的一部分。</w:t>
      </w:r>
      <w:r w:rsidRPr="00CC052C">
        <w:rPr>
          <w:w w:val="150"/>
          <w:vertAlign w:val="superscript"/>
        </w:rPr>
        <w:footnoteReference w:id="225"/>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定义内的定义</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t xml:space="preserve">(38) </w:t>
      </w:r>
      <w:r w:rsidRPr="00CC052C">
        <w:rPr>
          <w:rFonts w:hint="eastAsia"/>
        </w:rPr>
        <w:t xml:space="preserve"> </w:t>
      </w:r>
      <w:r w:rsidRPr="00CC052C">
        <w:rPr>
          <w:rFonts w:hint="eastAsia"/>
        </w:rPr>
        <w:t>如上文所述，为了第</w:t>
      </w:r>
      <w:r w:rsidRPr="00CC052C">
        <w:rPr>
          <w:rFonts w:hint="eastAsia"/>
        </w:rPr>
        <w:t>3</w:t>
      </w:r>
      <w:r w:rsidRPr="00CC052C">
        <w:rPr>
          <w:rFonts w:hint="eastAsia"/>
        </w:rPr>
        <w:t>条第</w:t>
      </w:r>
      <w:r w:rsidRPr="00CC052C">
        <w:rPr>
          <w:rFonts w:hint="eastAsia"/>
        </w:rPr>
        <w:t>1</w:t>
      </w:r>
      <w:r w:rsidRPr="00CC052C">
        <w:rPr>
          <w:rFonts w:hint="eastAsia"/>
        </w:rPr>
        <w:t>款草案的目的，第</w:t>
      </w:r>
      <w:r w:rsidRPr="00CC052C">
        <w:rPr>
          <w:rFonts w:hint="eastAsia"/>
        </w:rPr>
        <w:t>3</w:t>
      </w:r>
      <w:r w:rsidRPr="00CC052C">
        <w:rPr>
          <w:rFonts w:hint="eastAsia"/>
        </w:rPr>
        <w:t>条第</w:t>
      </w:r>
      <w:r w:rsidRPr="00CC052C">
        <w:rPr>
          <w:rFonts w:hint="eastAsia"/>
        </w:rPr>
        <w:t>2</w:t>
      </w:r>
      <w:r w:rsidRPr="00CC052C">
        <w:rPr>
          <w:rFonts w:hint="eastAsia"/>
        </w:rPr>
        <w:t>款</w:t>
      </w:r>
      <w:r w:rsidRPr="00CC052C">
        <w:rPr>
          <w:rFonts w:hint="eastAsia"/>
        </w:rPr>
        <w:t>(a)</w:t>
      </w:r>
      <w:r w:rsidRPr="00CC052C">
        <w:rPr>
          <w:rFonts w:hint="eastAsia"/>
        </w:rPr>
        <w:t>项草案界定了“针对任何平民人口进行的攻击”。第</w:t>
      </w:r>
      <w:r w:rsidRPr="00CC052C">
        <w:rPr>
          <w:rFonts w:hint="eastAsia"/>
        </w:rPr>
        <w:t>3</w:t>
      </w:r>
      <w:r w:rsidRPr="00CC052C">
        <w:rPr>
          <w:rFonts w:hint="eastAsia"/>
        </w:rPr>
        <w:t>条第</w:t>
      </w:r>
      <w:r w:rsidRPr="00CC052C">
        <w:rPr>
          <w:rFonts w:hint="eastAsia"/>
        </w:rPr>
        <w:t>2</w:t>
      </w:r>
      <w:r w:rsidRPr="00CC052C">
        <w:rPr>
          <w:rFonts w:hint="eastAsia"/>
        </w:rPr>
        <w:t>款草案余下的</w:t>
      </w:r>
      <w:r w:rsidRPr="00CC052C">
        <w:rPr>
          <w:rFonts w:hint="eastAsia"/>
        </w:rPr>
        <w:t>(b)</w:t>
      </w:r>
      <w:r w:rsidRPr="00CC052C">
        <w:rPr>
          <w:rFonts w:hint="eastAsia"/>
        </w:rPr>
        <w:t>项至</w:t>
      </w:r>
      <w:r w:rsidRPr="00CC052C">
        <w:rPr>
          <w:rFonts w:hint="eastAsia"/>
        </w:rPr>
        <w:t>(i)</w:t>
      </w:r>
      <w:r w:rsidRPr="00CC052C">
        <w:rPr>
          <w:rFonts w:hint="eastAsia"/>
        </w:rPr>
        <w:t>项界定了第</w:t>
      </w:r>
      <w:r w:rsidRPr="00CC052C">
        <w:rPr>
          <w:rFonts w:hint="eastAsia"/>
        </w:rPr>
        <w:t>1</w:t>
      </w:r>
      <w:r w:rsidRPr="00CC052C">
        <w:rPr>
          <w:rFonts w:hint="eastAsia"/>
        </w:rPr>
        <w:t>款中出现的其他术语，具体是：“灭绝”、“奴役”、“驱逐出境或强行迁移人口”、“酷刑”、“强迫怀孕”、“迫害”、“种族隔离罪”，以及“强迫人员失踪”。此外，第</w:t>
      </w:r>
      <w:r w:rsidRPr="00CC052C">
        <w:rPr>
          <w:rFonts w:hint="eastAsia"/>
        </w:rPr>
        <w:t>3</w:t>
      </w:r>
      <w:r w:rsidRPr="00CC052C">
        <w:rPr>
          <w:rFonts w:hint="eastAsia"/>
        </w:rPr>
        <w:t>条第</w:t>
      </w:r>
      <w:r w:rsidRPr="00CC052C">
        <w:rPr>
          <w:rFonts w:hint="eastAsia"/>
        </w:rPr>
        <w:t>3</w:t>
      </w:r>
      <w:r w:rsidRPr="00CC052C">
        <w:rPr>
          <w:rFonts w:hint="eastAsia"/>
        </w:rPr>
        <w:t>款草案提供了“性别”这一术语的定义。这些定义也见于《罗马规约》第七条，委员会认为有必要在第</w:t>
      </w:r>
      <w:r w:rsidRPr="00CC052C">
        <w:rPr>
          <w:rFonts w:hint="eastAsia"/>
        </w:rPr>
        <w:t>3</w:t>
      </w:r>
      <w:r w:rsidRPr="00CC052C">
        <w:rPr>
          <w:rFonts w:hint="eastAsia"/>
        </w:rPr>
        <w:t>条草案中予以保留。</w:t>
      </w:r>
    </w:p>
    <w:p w:rsidR="007C3A88" w:rsidRPr="00CC052C" w:rsidRDefault="007C3A88" w:rsidP="007C3A88">
      <w:pPr>
        <w:pStyle w:val="SingleTxt"/>
        <w:spacing w:after="0" w:line="120" w:lineRule="exact"/>
        <w:rPr>
          <w:sz w:val="10"/>
        </w:rPr>
      </w:pPr>
    </w:p>
    <w:p w:rsidR="007C3A88" w:rsidRPr="00CC052C" w:rsidRDefault="007C3A88" w:rsidP="007C3A88">
      <w:pPr>
        <w:pStyle w:val="H4"/>
        <w:tabs>
          <w:tab w:val="clear" w:pos="431"/>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CC052C">
        <w:rPr>
          <w:rFonts w:hint="eastAsia"/>
        </w:rPr>
        <w:tab/>
      </w:r>
      <w:r w:rsidRPr="00CC052C">
        <w:rPr>
          <w:rFonts w:hint="eastAsia"/>
        </w:rPr>
        <w:tab/>
        <w:t>第</w:t>
      </w:r>
      <w:r w:rsidRPr="007B14CC">
        <w:rPr>
          <w:rFonts w:asciiTheme="majorBidi" w:hAnsiTheme="majorBidi" w:cstheme="majorBidi"/>
        </w:rPr>
        <w:t>4</w:t>
      </w:r>
      <w:r w:rsidRPr="00CC052C">
        <w:rPr>
          <w:rFonts w:hint="eastAsia"/>
        </w:rPr>
        <w:t>款</w:t>
      </w:r>
    </w:p>
    <w:p w:rsidR="007C3A88" w:rsidRPr="00CC052C" w:rsidRDefault="007C3A88" w:rsidP="007C3A88">
      <w:pPr>
        <w:pStyle w:val="SingleTxt"/>
        <w:spacing w:after="0" w:line="120" w:lineRule="exact"/>
        <w:rPr>
          <w:sz w:val="10"/>
        </w:rPr>
      </w:pPr>
    </w:p>
    <w:p w:rsidR="007C3A88" w:rsidRPr="00CC052C" w:rsidRDefault="007C3A88" w:rsidP="007C3A88">
      <w:pPr>
        <w:pStyle w:val="SingleTxt"/>
      </w:pPr>
      <w:r w:rsidRPr="00CC052C">
        <w:t xml:space="preserve">(39) </w:t>
      </w:r>
      <w:r w:rsidRPr="00CC052C">
        <w:rPr>
          <w:rFonts w:hint="eastAsia"/>
        </w:rPr>
        <w:t xml:space="preserve"> </w:t>
      </w:r>
      <w:r w:rsidRPr="00CC052C">
        <w:rPr>
          <w:rFonts w:hint="eastAsia"/>
        </w:rPr>
        <w:t>第</w:t>
      </w:r>
      <w:r w:rsidRPr="00CC052C">
        <w:rPr>
          <w:rFonts w:hint="eastAsia"/>
        </w:rPr>
        <w:t>3</w:t>
      </w:r>
      <w:r w:rsidRPr="00CC052C">
        <w:rPr>
          <w:rFonts w:hint="eastAsia"/>
        </w:rPr>
        <w:t>条第</w:t>
      </w:r>
      <w:r w:rsidRPr="00CC052C">
        <w:rPr>
          <w:rFonts w:hint="eastAsia"/>
        </w:rPr>
        <w:t>4</w:t>
      </w:r>
      <w:r w:rsidRPr="00CC052C">
        <w:rPr>
          <w:rFonts w:hint="eastAsia"/>
        </w:rPr>
        <w:t>款草案规定：“本条草案不妨碍任何国际文书或国内法规定的任何更为宽泛的定义。”这一条款与《禁止酷刑和其他残忍、不人道或有辱人格的待遇或处罚公约》第</w:t>
      </w:r>
      <w:r w:rsidRPr="00CC052C">
        <w:rPr>
          <w:rFonts w:hint="eastAsia"/>
        </w:rPr>
        <w:t>1</w:t>
      </w:r>
      <w:r w:rsidRPr="00CC052C">
        <w:rPr>
          <w:rFonts w:hint="eastAsia"/>
        </w:rPr>
        <w:t>条第</w:t>
      </w:r>
      <w:r w:rsidRPr="00CC052C">
        <w:rPr>
          <w:rFonts w:hint="eastAsia"/>
        </w:rPr>
        <w:t>2</w:t>
      </w:r>
      <w:r w:rsidRPr="00CC052C">
        <w:rPr>
          <w:rFonts w:hint="eastAsia"/>
        </w:rPr>
        <w:t>款类似，该款规定：“本条规定并不妨碍载有或可能载有适用范围较广的规定的任何国际文书或国家法律。”</w:t>
      </w:r>
      <w:bookmarkStart w:id="43" w:name="_Ref295981371"/>
      <w:r w:rsidRPr="00CC052C">
        <w:rPr>
          <w:w w:val="150"/>
          <w:vertAlign w:val="superscript"/>
        </w:rPr>
        <w:footnoteReference w:id="226"/>
      </w:r>
      <w:bookmarkEnd w:id="43"/>
      <w:r w:rsidRPr="00CC052C">
        <w:rPr>
          <w:rFonts w:hint="eastAsia"/>
        </w:rPr>
        <w:t>《罗马规约》第十条</w:t>
      </w:r>
      <w:r w:rsidRPr="00CC052C">
        <w:t>(</w:t>
      </w:r>
      <w:r w:rsidRPr="00CC052C">
        <w:rPr>
          <w:rFonts w:hint="eastAsia"/>
        </w:rPr>
        <w:t>见于“第二编管辖权、可受理性和适用的法律”</w:t>
      </w:r>
      <w:r w:rsidRPr="00CC052C">
        <w:rPr>
          <w:rFonts w:hint="eastAsia"/>
        </w:rPr>
        <w:t>)</w:t>
      </w:r>
      <w:r w:rsidRPr="00CC052C">
        <w:rPr>
          <w:rFonts w:hint="eastAsia"/>
        </w:rPr>
        <w:t>也包含一项“不妨碍条款”，内容是：“除为了本规约的目的以外，本编的任何规定不得解释为限制或损害现有或发展中的国际法规则。”</w:t>
      </w:r>
    </w:p>
    <w:p w:rsidR="007C3A88" w:rsidRPr="00CC052C" w:rsidRDefault="007C3A88" w:rsidP="007C3A88">
      <w:pPr>
        <w:pStyle w:val="SingleTxt"/>
        <w:spacing w:line="300" w:lineRule="exact"/>
      </w:pPr>
      <w:r w:rsidRPr="00CC052C">
        <w:t xml:space="preserve">(40) </w:t>
      </w:r>
      <w:r w:rsidRPr="00CC052C">
        <w:rPr>
          <w:rFonts w:hint="eastAsia"/>
        </w:rPr>
        <w:t xml:space="preserve"> </w:t>
      </w:r>
      <w:r w:rsidRPr="00CC052C">
        <w:rPr>
          <w:rFonts w:hint="eastAsia"/>
        </w:rPr>
        <w:t>第</w:t>
      </w:r>
      <w:r w:rsidRPr="00CC052C">
        <w:rPr>
          <w:rFonts w:hint="eastAsia"/>
        </w:rPr>
        <w:t>4</w:t>
      </w:r>
      <w:r w:rsidRPr="00CC052C">
        <w:rPr>
          <w:rFonts w:hint="eastAsia"/>
        </w:rPr>
        <w:t>款旨在确保第</w:t>
      </w:r>
      <w:r w:rsidRPr="00CC052C">
        <w:rPr>
          <w:rFonts w:hint="eastAsia"/>
        </w:rPr>
        <w:t>3</w:t>
      </w:r>
      <w:r w:rsidRPr="00CC052C">
        <w:rPr>
          <w:rFonts w:hint="eastAsia"/>
        </w:rPr>
        <w:t>条草案所载“危害人类罪”的定义不会使其他国际文书和国内法中可能存在的更为宽泛的定义发生疑问。“国际文书”须宽泛地理解，不单指具有约束力的国际文书。例如，第</w:t>
      </w:r>
      <w:r w:rsidRPr="00CC052C">
        <w:rPr>
          <w:rFonts w:hint="eastAsia"/>
        </w:rPr>
        <w:t>3</w:t>
      </w:r>
      <w:r w:rsidRPr="00CC052C">
        <w:rPr>
          <w:rFonts w:hint="eastAsia"/>
        </w:rPr>
        <w:t>条草案所载的“强迫人员失踪”的定义沿</w:t>
      </w:r>
      <w:r w:rsidRPr="00CC052C">
        <w:rPr>
          <w:rFonts w:hint="eastAsia"/>
        </w:rPr>
        <w:lastRenderedPageBreak/>
        <w:t>用《罗马规约》第七条，但与</w:t>
      </w:r>
      <w:r w:rsidRPr="00CC052C">
        <w:rPr>
          <w:rFonts w:hint="eastAsia"/>
        </w:rPr>
        <w:t>1992</w:t>
      </w:r>
      <w:r w:rsidRPr="00CC052C">
        <w:rPr>
          <w:rFonts w:hint="eastAsia"/>
        </w:rPr>
        <w:t>年《保护所有人不遭受强迫失踪宣言》</w:t>
      </w:r>
      <w:r w:rsidRPr="00CC052C">
        <w:rPr>
          <w:w w:val="150"/>
          <w:vertAlign w:val="superscript"/>
        </w:rPr>
        <w:footnoteReference w:id="227"/>
      </w:r>
      <w:r w:rsidRPr="00CC052C">
        <w:rPr>
          <w:rFonts w:hint="eastAsia"/>
        </w:rPr>
        <w:t>、《美洲被迫失踪人士公约》</w:t>
      </w:r>
      <w:bookmarkStart w:id="44" w:name="_Ref295981561"/>
      <w:r w:rsidRPr="00CC052C">
        <w:rPr>
          <w:w w:val="150"/>
          <w:vertAlign w:val="superscript"/>
        </w:rPr>
        <w:footnoteReference w:id="228"/>
      </w:r>
      <w:bookmarkEnd w:id="44"/>
      <w:r w:rsidRPr="00CC052C">
        <w:rPr>
          <w:rFonts w:hint="eastAsia"/>
        </w:rPr>
        <w:t xml:space="preserve"> </w:t>
      </w:r>
      <w:r w:rsidRPr="00CC052C">
        <w:rPr>
          <w:rFonts w:hint="eastAsia"/>
        </w:rPr>
        <w:t>以及《保护所有人免遭强迫失踪国际公约》</w:t>
      </w:r>
      <w:bookmarkStart w:id="45" w:name="_Ref295982514"/>
      <w:r w:rsidRPr="00CC052C">
        <w:rPr>
          <w:w w:val="150"/>
          <w:vertAlign w:val="superscript"/>
        </w:rPr>
        <w:footnoteReference w:id="229"/>
      </w:r>
      <w:bookmarkEnd w:id="45"/>
      <w:r w:rsidRPr="00CC052C">
        <w:rPr>
          <w:rFonts w:hint="eastAsia"/>
        </w:rPr>
        <w:t xml:space="preserve"> </w:t>
      </w:r>
      <w:r w:rsidRPr="00CC052C">
        <w:rPr>
          <w:rFonts w:hint="eastAsia"/>
        </w:rPr>
        <w:t>所载的定义不同。区别主要是后面的三项文书没有包括“目的是将其……置于法律保护之外”这一要件、不包括“长期”这一词语，以及没有提到组织也可在国家没有参与的情况下成为这一犯罪的潜在行为人。</w:t>
      </w:r>
    </w:p>
    <w:p w:rsidR="007C3A88" w:rsidRPr="00CC052C" w:rsidRDefault="007C3A88" w:rsidP="007C3A88">
      <w:pPr>
        <w:pStyle w:val="SingleTxt"/>
      </w:pPr>
      <w:r w:rsidRPr="00CC052C">
        <w:t xml:space="preserve">(41) </w:t>
      </w:r>
      <w:r w:rsidRPr="00CC052C">
        <w:rPr>
          <w:rFonts w:hint="eastAsia"/>
        </w:rPr>
        <w:t xml:space="preserve"> </w:t>
      </w:r>
      <w:r w:rsidRPr="00CC052C">
        <w:rPr>
          <w:rFonts w:hint="eastAsia"/>
        </w:rPr>
        <w:t>鉴于上述区别，委员会认为加入第</w:t>
      </w:r>
      <w:r w:rsidRPr="00CC052C">
        <w:rPr>
          <w:rFonts w:hint="eastAsia"/>
        </w:rPr>
        <w:t>3</w:t>
      </w:r>
      <w:r w:rsidRPr="00CC052C">
        <w:rPr>
          <w:rFonts w:hint="eastAsia"/>
        </w:rPr>
        <w:t>条第</w:t>
      </w:r>
      <w:r w:rsidRPr="00CC052C">
        <w:rPr>
          <w:rFonts w:hint="eastAsia"/>
        </w:rPr>
        <w:t>4</w:t>
      </w:r>
      <w:r w:rsidRPr="00CC052C">
        <w:rPr>
          <w:rFonts w:hint="eastAsia"/>
        </w:rPr>
        <w:t>款草案是审慎的。实质上，第</w:t>
      </w:r>
      <w:r w:rsidRPr="00CC052C">
        <w:rPr>
          <w:rFonts w:hint="eastAsia"/>
        </w:rPr>
        <w:t>3</w:t>
      </w:r>
      <w:r w:rsidRPr="00CC052C">
        <w:rPr>
          <w:rFonts w:hint="eastAsia"/>
        </w:rPr>
        <w:t>条草案前三款虽然为了本条款草案的目的定义了危害人类罪，但不妨碍国际文书或国内法中规定的更为宽泛的定义。因此，如果某国希望在国内法中采用更为宽泛的定义，本条款草案并不妨碍它这么做。同时，本条款草案的一项重要目的是协调国内法，以便国内法成为各国间扎实合作的基础。国内法中采用的任何要件不属于本条款草案的范围，因此无法从其中所载的规定获益，包括引渡和法律互助。</w:t>
      </w:r>
    </w:p>
    <w:p w:rsidR="007C3A88" w:rsidRPr="00CC052C" w:rsidRDefault="007C3A88" w:rsidP="007C3A88">
      <w:pPr>
        <w:pStyle w:val="SingleTxt"/>
        <w:spacing w:after="0" w:line="120" w:lineRule="exact"/>
        <w:rPr>
          <w:sz w:val="10"/>
        </w:rPr>
      </w:pPr>
    </w:p>
    <w:p w:rsidR="007C3A88" w:rsidRPr="00D02F5C" w:rsidRDefault="007C3A88" w:rsidP="007C3A88">
      <w:pPr>
        <w:pStyle w:val="H23"/>
        <w:tabs>
          <w:tab w:val="right" w:pos="1020"/>
          <w:tab w:val="left" w:pos="1695"/>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sidRPr="00D02F5C">
        <w:rPr>
          <w:rFonts w:hint="eastAsia"/>
        </w:rPr>
        <w:tab/>
      </w:r>
      <w:r w:rsidRPr="00D02F5C">
        <w:rPr>
          <w:rFonts w:hint="eastAsia"/>
        </w:rPr>
        <w:tab/>
        <w:t>第</w:t>
      </w:r>
      <w:r w:rsidRPr="00864FE8">
        <w:rPr>
          <w:rFonts w:asciiTheme="majorBidi" w:hAnsiTheme="majorBidi" w:cstheme="majorBidi"/>
        </w:rPr>
        <w:t>4</w:t>
      </w:r>
      <w:r w:rsidRPr="00D02F5C">
        <w:rPr>
          <w:rFonts w:hint="eastAsia"/>
        </w:rPr>
        <w:t>条</w:t>
      </w:r>
      <w:r w:rsidRPr="00D02F5C">
        <w:br/>
      </w:r>
      <w:r w:rsidRPr="00D02F5C">
        <w:rPr>
          <w:rFonts w:hint="eastAsia"/>
        </w:rPr>
        <w:t>预防义务</w:t>
      </w:r>
    </w:p>
    <w:p w:rsidR="007C3A88" w:rsidRPr="00CC052C" w:rsidRDefault="007C3A88" w:rsidP="007C3A88">
      <w:pPr>
        <w:pStyle w:val="SingleTxt"/>
        <w:spacing w:after="0" w:line="120" w:lineRule="exact"/>
        <w:rPr>
          <w:sz w:val="10"/>
        </w:rPr>
      </w:pPr>
    </w:p>
    <w:p w:rsidR="007C3A88" w:rsidRPr="00CC052C" w:rsidRDefault="007C3A88" w:rsidP="007C3A88">
      <w:pPr>
        <w:pStyle w:val="SingleTxt"/>
        <w:ind w:left="1695"/>
      </w:pPr>
      <w:r w:rsidRPr="00CC052C">
        <w:rPr>
          <w:rFonts w:hint="eastAsia"/>
        </w:rPr>
        <w:t>1.</w:t>
      </w:r>
      <w:r>
        <w:rPr>
          <w:rFonts w:hint="eastAsia"/>
        </w:rPr>
        <w:t xml:space="preserve">  </w:t>
      </w:r>
      <w:r w:rsidRPr="00CC052C">
        <w:rPr>
          <w:rFonts w:hint="eastAsia"/>
        </w:rPr>
        <w:t>每一国家承诺按照国际法防止危害人类罪，办法包括：</w:t>
      </w:r>
    </w:p>
    <w:p w:rsidR="007C3A88" w:rsidRPr="007B14CC" w:rsidRDefault="007C3A88" w:rsidP="007C3A88">
      <w:pPr>
        <w:pStyle w:val="SingleTxt"/>
        <w:ind w:left="1695"/>
      </w:pPr>
      <w:r w:rsidRPr="007B14CC">
        <w:rPr>
          <w:rFonts w:hint="eastAsia"/>
        </w:rPr>
        <w:tab/>
      </w:r>
      <w:r w:rsidRPr="007B14CC">
        <w:t>(a)</w:t>
      </w:r>
      <w:r w:rsidRPr="007B14CC">
        <w:tab/>
      </w:r>
      <w:r w:rsidRPr="007B14CC">
        <w:rPr>
          <w:rFonts w:hint="eastAsia"/>
        </w:rPr>
        <w:t>在其管辖或控制的任何领土内采取有效的立法、行政、司法或其他预防措施；</w:t>
      </w:r>
    </w:p>
    <w:p w:rsidR="007C3A88" w:rsidRPr="007B14CC" w:rsidRDefault="007C3A88" w:rsidP="007C3A88">
      <w:pPr>
        <w:pStyle w:val="SingleTxt"/>
        <w:ind w:left="1695"/>
      </w:pPr>
      <w:r w:rsidRPr="007B14CC">
        <w:rPr>
          <w:rFonts w:hint="eastAsia"/>
        </w:rPr>
        <w:tab/>
      </w:r>
      <w:r w:rsidRPr="007B14CC">
        <w:t>(b)</w:t>
      </w:r>
      <w:r w:rsidRPr="007B14CC">
        <w:tab/>
      </w:r>
      <w:r w:rsidRPr="007B14CC">
        <w:rPr>
          <w:rFonts w:hint="eastAsia"/>
        </w:rPr>
        <w:t>与其他国家和有关政府间组织合作，并酌情与其他组织合作。</w:t>
      </w:r>
    </w:p>
    <w:p w:rsidR="007C3A88" w:rsidRPr="00CC052C" w:rsidRDefault="007C3A88" w:rsidP="007C3A88">
      <w:pPr>
        <w:pStyle w:val="SingleTxt"/>
        <w:ind w:left="1695"/>
      </w:pPr>
      <w:r w:rsidRPr="00CC052C">
        <w:rPr>
          <w:rFonts w:hint="eastAsia"/>
        </w:rPr>
        <w:t>2.</w:t>
      </w:r>
      <w:r>
        <w:rPr>
          <w:rFonts w:hint="eastAsia"/>
        </w:rPr>
        <w:t xml:space="preserve">  </w:t>
      </w:r>
      <w:r w:rsidRPr="00CC052C">
        <w:t>任何特殊情况，</w:t>
      </w:r>
      <w:r w:rsidRPr="00CC052C">
        <w:rPr>
          <w:rFonts w:hint="eastAsia"/>
        </w:rPr>
        <w:t>诸如</w:t>
      </w:r>
      <w:r w:rsidRPr="00CC052C">
        <w:t>武装冲突、国内政局动荡</w:t>
      </w:r>
      <w:r w:rsidRPr="00CC052C">
        <w:rPr>
          <w:rFonts w:hint="eastAsia"/>
        </w:rPr>
        <w:t>、</w:t>
      </w:r>
      <w:r w:rsidRPr="00CC052C">
        <w:t>任何其他公共紧急状态</w:t>
      </w:r>
      <w:r w:rsidRPr="00CC052C">
        <w:rPr>
          <w:rFonts w:hint="eastAsia"/>
        </w:rPr>
        <w:t>等</w:t>
      </w:r>
      <w:r w:rsidRPr="00CC052C">
        <w:t>，均不得援引为施行危害人类罪的理由</w:t>
      </w:r>
      <w:r w:rsidRPr="00CC052C">
        <w:rPr>
          <w:rFonts w:hint="eastAsia"/>
        </w:rPr>
        <w:t>。</w:t>
      </w:r>
    </w:p>
    <w:p w:rsidR="007C3A88" w:rsidRPr="00CC052C" w:rsidRDefault="007C3A88" w:rsidP="007C3A88">
      <w:pPr>
        <w:pStyle w:val="SingleTxt"/>
        <w:spacing w:after="0" w:line="120" w:lineRule="exact"/>
        <w:rPr>
          <w:sz w:val="10"/>
        </w:rPr>
      </w:pPr>
    </w:p>
    <w:p w:rsidR="007C3A88" w:rsidRPr="00CC052C" w:rsidRDefault="007C3A88" w:rsidP="007C3A8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C052C">
        <w:tab/>
      </w:r>
      <w:r w:rsidRPr="00CC052C">
        <w:rPr>
          <w:rFonts w:hint="eastAsia"/>
        </w:rPr>
        <w:tab/>
        <w:t>评注</w:t>
      </w:r>
    </w:p>
    <w:p w:rsidR="007C3A88" w:rsidRPr="00CC052C" w:rsidRDefault="007C3A88" w:rsidP="007C3A88">
      <w:pPr>
        <w:pStyle w:val="SingleTxt"/>
        <w:spacing w:after="0" w:line="120" w:lineRule="exact"/>
        <w:rPr>
          <w:sz w:val="10"/>
        </w:rPr>
      </w:pPr>
    </w:p>
    <w:p w:rsidR="007C3A88" w:rsidRPr="00CC052C" w:rsidRDefault="007C3A88" w:rsidP="007C3A88">
      <w:pPr>
        <w:pStyle w:val="SingleTxt"/>
        <w:rPr>
          <w:bCs/>
        </w:rPr>
      </w:pPr>
      <w:r w:rsidRPr="00CC052C">
        <w:rPr>
          <w:rFonts w:hint="eastAsia"/>
        </w:rPr>
        <w:t>(1)</w:t>
      </w:r>
      <w:r w:rsidRPr="00CC052C">
        <w:t xml:space="preserve"> </w:t>
      </w:r>
      <w:r w:rsidRPr="00CC052C">
        <w:rPr>
          <w:rFonts w:hint="eastAsia"/>
        </w:rPr>
        <w:t xml:space="preserve"> </w:t>
      </w:r>
      <w:r w:rsidRPr="00CC052C">
        <w:rPr>
          <w:rFonts w:hint="eastAsia"/>
          <w:bCs/>
        </w:rPr>
        <w:t>第</w:t>
      </w:r>
      <w:r w:rsidRPr="00CC052C">
        <w:rPr>
          <w:bCs/>
        </w:rPr>
        <w:t>4</w:t>
      </w:r>
      <w:r w:rsidRPr="00CC052C">
        <w:rPr>
          <w:rFonts w:hint="eastAsia"/>
          <w:bCs/>
        </w:rPr>
        <w:t>条草案提出防止危害人类罪的义务。委员会在审议这一义务时认为，与此相关的工作是考察防止犯罪和其他行为的现有条约实践。很多情况下，这些条约处理的是在一定情形下可能构成危害人类罪的行为</w:t>
      </w:r>
      <w:r w:rsidRPr="00CC052C">
        <w:rPr>
          <w:bCs/>
        </w:rPr>
        <w:t>(</w:t>
      </w:r>
      <w:r w:rsidRPr="00CC052C">
        <w:rPr>
          <w:bCs/>
        </w:rPr>
        <w:t>例如种族灭绝、酷刑、种族隔离或强迫失踪</w:t>
      </w:r>
      <w:r w:rsidRPr="00CC052C">
        <w:rPr>
          <w:bCs/>
        </w:rPr>
        <w:t>)</w:t>
      </w:r>
      <w:r w:rsidRPr="00CC052C">
        <w:rPr>
          <w:bCs/>
        </w:rPr>
        <w:t>。因此，当</w:t>
      </w:r>
      <w:r w:rsidRPr="00CC052C">
        <w:rPr>
          <w:rFonts w:hint="eastAsia"/>
          <w:bCs/>
        </w:rPr>
        <w:t>有关</w:t>
      </w:r>
      <w:r w:rsidRPr="00CC052C">
        <w:rPr>
          <w:bCs/>
        </w:rPr>
        <w:t>行为也构成危害人类罪时，这些条约规定的预防义务也延伸到对这些行为的预防。</w:t>
      </w:r>
    </w:p>
    <w:p w:rsidR="007C3A88" w:rsidRPr="008E725F" w:rsidRDefault="007C3A88" w:rsidP="008E725F">
      <w:pPr>
        <w:pStyle w:val="SingleTxt"/>
        <w:rPr>
          <w:bCs/>
        </w:rPr>
      </w:pPr>
      <w:r w:rsidRPr="00CC052C">
        <w:rPr>
          <w:rFonts w:hint="eastAsia"/>
          <w:bCs/>
        </w:rPr>
        <w:t xml:space="preserve">(2)  </w:t>
      </w:r>
      <w:r w:rsidRPr="00CC052C">
        <w:rPr>
          <w:rFonts w:hint="eastAsia"/>
          <w:bCs/>
        </w:rPr>
        <w:t>早先的一个重要的预防义务例子可见于</w:t>
      </w:r>
      <w:r w:rsidRPr="00CC052C">
        <w:rPr>
          <w:rFonts w:hint="eastAsia"/>
          <w:bCs/>
        </w:rPr>
        <w:t>1948</w:t>
      </w:r>
      <w:r w:rsidRPr="00CC052C">
        <w:rPr>
          <w:rFonts w:hint="eastAsia"/>
          <w:bCs/>
        </w:rPr>
        <w:t>年《灭绝种族罪公约》，该公约第一条规定：“</w:t>
      </w:r>
      <w:r w:rsidRPr="00CC052C">
        <w:rPr>
          <w:bCs/>
        </w:rPr>
        <w:t>缔约国确认灭绝种族行为，不论发生于平时或战时，均系国际法上的一种罪行，承允防止并惩治之。</w:t>
      </w:r>
      <w:r w:rsidRPr="00CC052C">
        <w:rPr>
          <w:rFonts w:hint="eastAsia"/>
          <w:bCs/>
        </w:rPr>
        <w:t>”</w:t>
      </w:r>
      <w:r w:rsidRPr="00CC052C">
        <w:rPr>
          <w:rFonts w:hint="eastAsia"/>
          <w:w w:val="150"/>
          <w:vertAlign w:val="superscript"/>
        </w:rPr>
        <w:footnoteReference w:id="230"/>
      </w:r>
      <w:r w:rsidRPr="00CC052C">
        <w:rPr>
          <w:rFonts w:hint="eastAsia"/>
          <w:bCs/>
        </w:rPr>
        <w:t xml:space="preserve"> </w:t>
      </w:r>
      <w:r w:rsidRPr="00CC052C">
        <w:rPr>
          <w:rFonts w:hint="eastAsia"/>
          <w:bCs/>
        </w:rPr>
        <w:t>此外，第五条规定：“</w:t>
      </w:r>
      <w:r w:rsidRPr="00CC052C">
        <w:rPr>
          <w:bCs/>
        </w:rPr>
        <w:t>缔约国承允各依照其本</w:t>
      </w:r>
      <w:r w:rsidRPr="00CC052C">
        <w:rPr>
          <w:bCs/>
        </w:rPr>
        <w:lastRenderedPageBreak/>
        <w:t>国宪法制定必要的法律，以实施本公约各项规定，而对于犯灭绝种族罪或有第三条所列其他行为之一者尤应规定有效的惩治。</w:t>
      </w:r>
      <w:r w:rsidRPr="00CC052C">
        <w:rPr>
          <w:rFonts w:hint="eastAsia"/>
          <w:bCs/>
        </w:rPr>
        <w:t>”第八条规定：“</w:t>
      </w:r>
      <w:r w:rsidRPr="00CC052C">
        <w:rPr>
          <w:bCs/>
        </w:rPr>
        <w:t>任何缔约国得提请联合国的主管机关遵照联合国宪章，采取其认为适当的行动，以防止及惩治灭绝种族的行为或第三条所列任何其他行为。</w:t>
      </w:r>
      <w:r w:rsidRPr="00CC052C">
        <w:rPr>
          <w:rFonts w:hint="eastAsia"/>
          <w:bCs/>
        </w:rPr>
        <w:t>”</w:t>
      </w:r>
      <w:r w:rsidRPr="00CC052C">
        <w:rPr>
          <w:bCs/>
        </w:rPr>
        <w:t>因此，《灭绝种族罪公约》中包含了几个与预防相关的要素：</w:t>
      </w:r>
      <w:r w:rsidRPr="00CC052C">
        <w:rPr>
          <w:rFonts w:hint="eastAsia"/>
          <w:bCs/>
        </w:rPr>
        <w:t>防止</w:t>
      </w:r>
      <w:r w:rsidRPr="00CC052C">
        <w:rPr>
          <w:bCs/>
        </w:rPr>
        <w:t>种族灭绝的总体义务，制定国家措施以实施《公约》规定的义务，以及缔约国与联合国合作</w:t>
      </w:r>
      <w:r w:rsidRPr="00CC052C">
        <w:rPr>
          <w:rFonts w:hint="eastAsia"/>
          <w:bCs/>
        </w:rPr>
        <w:t>防止</w:t>
      </w:r>
      <w:r w:rsidRPr="00CC052C">
        <w:rPr>
          <w:bCs/>
        </w:rPr>
        <w:t>种族灭绝的规定。</w:t>
      </w:r>
    </w:p>
    <w:p w:rsidR="007C3A88" w:rsidRPr="00CC052C" w:rsidRDefault="007C3A88" w:rsidP="007C3A88">
      <w:pPr>
        <w:pStyle w:val="SingleTxt"/>
      </w:pPr>
      <w:r w:rsidRPr="00CC052C">
        <w:rPr>
          <w:rFonts w:hint="eastAsia"/>
        </w:rPr>
        <w:t xml:space="preserve">(3)  </w:t>
      </w:r>
      <w:r w:rsidRPr="00CC052C">
        <w:rPr>
          <w:rFonts w:hint="eastAsia"/>
        </w:rPr>
        <w:t>这一预防义务是</w:t>
      </w:r>
      <w:r w:rsidRPr="00CC052C">
        <w:rPr>
          <w:rFonts w:hint="eastAsia"/>
        </w:rPr>
        <w:t>1960</w:t>
      </w:r>
      <w:r w:rsidRPr="00CC052C">
        <w:rPr>
          <w:rFonts w:hint="eastAsia"/>
        </w:rPr>
        <w:t>年代以来处理犯罪问题的多数多边条约的一个特征。例如：《</w:t>
      </w:r>
      <w:r w:rsidRPr="00CC052C">
        <w:t>关于制止危害民用航空安全的非法行为的公约</w:t>
      </w:r>
      <w:r w:rsidRPr="00CC052C">
        <w:rPr>
          <w:rFonts w:hint="eastAsia"/>
        </w:rPr>
        <w:t>》、</w:t>
      </w:r>
      <w:r w:rsidRPr="00CC052C">
        <w:rPr>
          <w:rFonts w:hint="eastAsia"/>
          <w:w w:val="150"/>
          <w:vertAlign w:val="superscript"/>
        </w:rPr>
        <w:footnoteReference w:id="231"/>
      </w:r>
      <w:r w:rsidRPr="00CC052C">
        <w:rPr>
          <w:rFonts w:hint="eastAsia"/>
        </w:rPr>
        <w:t xml:space="preserve"> </w:t>
      </w:r>
      <w:r w:rsidRPr="00CC052C">
        <w:rPr>
          <w:rFonts w:hint="eastAsia"/>
        </w:rPr>
        <w:t>《</w:t>
      </w:r>
      <w:r w:rsidRPr="00CC052C">
        <w:t>关于防止和惩处侵害应受国际保护人员包括外交代表的罪行的公约</w:t>
      </w:r>
      <w:r w:rsidRPr="00CC052C">
        <w:rPr>
          <w:rFonts w:hint="eastAsia"/>
        </w:rPr>
        <w:t>》、</w:t>
      </w:r>
      <w:r w:rsidRPr="00CC052C">
        <w:rPr>
          <w:rFonts w:hint="eastAsia"/>
          <w:w w:val="150"/>
          <w:vertAlign w:val="superscript"/>
        </w:rPr>
        <w:footnoteReference w:id="232"/>
      </w:r>
      <w:r w:rsidRPr="00CC052C">
        <w:rPr>
          <w:rFonts w:hint="eastAsia"/>
        </w:rPr>
        <w:t xml:space="preserve"> </w:t>
      </w:r>
      <w:r w:rsidRPr="00CC052C">
        <w:rPr>
          <w:rFonts w:hint="eastAsia"/>
        </w:rPr>
        <w:t>《</w:t>
      </w:r>
      <w:r w:rsidRPr="00CC052C">
        <w:t>禁止并惩治种族隔离罪行国际公约</w:t>
      </w:r>
      <w:r w:rsidRPr="00CC052C">
        <w:rPr>
          <w:rFonts w:hint="eastAsia"/>
        </w:rPr>
        <w:t>》、</w:t>
      </w:r>
      <w:r w:rsidRPr="00CC052C">
        <w:rPr>
          <w:rFonts w:hint="eastAsia"/>
          <w:w w:val="150"/>
          <w:vertAlign w:val="superscript"/>
        </w:rPr>
        <w:footnoteReference w:id="233"/>
      </w:r>
      <w:r w:rsidRPr="00CC052C">
        <w:rPr>
          <w:rFonts w:hint="eastAsia"/>
        </w:rPr>
        <w:t xml:space="preserve"> </w:t>
      </w:r>
      <w:r w:rsidRPr="00CC052C">
        <w:rPr>
          <w:rFonts w:hint="eastAsia"/>
        </w:rPr>
        <w:t>《</w:t>
      </w:r>
      <w:r w:rsidRPr="00CC052C">
        <w:t>反对劫持人质国际公约</w:t>
      </w:r>
      <w:r w:rsidRPr="00CC052C">
        <w:rPr>
          <w:rFonts w:hint="eastAsia"/>
        </w:rPr>
        <w:t>》、</w:t>
      </w:r>
      <w:r w:rsidRPr="00CC052C">
        <w:rPr>
          <w:rFonts w:hint="eastAsia"/>
          <w:w w:val="150"/>
          <w:vertAlign w:val="superscript"/>
        </w:rPr>
        <w:footnoteReference w:id="234"/>
      </w:r>
      <w:r w:rsidRPr="00CC052C">
        <w:rPr>
          <w:rFonts w:hint="eastAsia"/>
        </w:rPr>
        <w:t xml:space="preserve"> </w:t>
      </w:r>
      <w:r w:rsidRPr="00CC052C">
        <w:rPr>
          <w:rFonts w:hint="eastAsia"/>
        </w:rPr>
        <w:t>《</w:t>
      </w:r>
      <w:r w:rsidRPr="00CC052C">
        <w:t>禁止酷刑和其他残忍、不人道或有辱人格的待遇或处罚公约</w:t>
      </w:r>
      <w:r w:rsidRPr="00CC052C">
        <w:rPr>
          <w:rFonts w:hint="eastAsia"/>
        </w:rPr>
        <w:t>》、</w:t>
      </w:r>
      <w:r w:rsidRPr="00CC052C">
        <w:rPr>
          <w:rFonts w:hint="eastAsia"/>
          <w:w w:val="150"/>
          <w:vertAlign w:val="superscript"/>
        </w:rPr>
        <w:footnoteReference w:id="235"/>
      </w:r>
      <w:r w:rsidRPr="00CC052C">
        <w:rPr>
          <w:rFonts w:hint="eastAsia"/>
        </w:rPr>
        <w:t xml:space="preserve"> </w:t>
      </w:r>
      <w:r w:rsidRPr="00CC052C">
        <w:rPr>
          <w:rFonts w:hint="eastAsia"/>
        </w:rPr>
        <w:t>《</w:t>
      </w:r>
      <w:r w:rsidRPr="00CC052C">
        <w:t>美洲防止和惩处酷刑公约</w:t>
      </w:r>
      <w:r w:rsidRPr="00CC052C">
        <w:rPr>
          <w:rFonts w:hint="eastAsia"/>
        </w:rPr>
        <w:t>》</w:t>
      </w:r>
      <w:bookmarkStart w:id="46" w:name="_Ref295995968"/>
      <w:r w:rsidRPr="00CC052C">
        <w:rPr>
          <w:rFonts w:hint="eastAsia"/>
        </w:rPr>
        <w:t>、</w:t>
      </w:r>
      <w:bookmarkEnd w:id="46"/>
      <w:r w:rsidRPr="00CC052C">
        <w:rPr>
          <w:rFonts w:hint="eastAsia"/>
          <w:w w:val="150"/>
          <w:vertAlign w:val="superscript"/>
        </w:rPr>
        <w:footnoteReference w:id="236"/>
      </w:r>
      <w:r w:rsidRPr="00CC052C">
        <w:rPr>
          <w:rFonts w:hint="eastAsia"/>
        </w:rPr>
        <w:t xml:space="preserve"> </w:t>
      </w:r>
      <w:r w:rsidRPr="00CC052C">
        <w:rPr>
          <w:rFonts w:hint="eastAsia"/>
        </w:rPr>
        <w:t>《</w:t>
      </w:r>
      <w:r w:rsidRPr="00CC052C">
        <w:t>美洲被迫失踪人士公约</w:t>
      </w:r>
      <w:r w:rsidRPr="00CC052C">
        <w:rPr>
          <w:rFonts w:hint="eastAsia"/>
        </w:rPr>
        <w:t>》、</w:t>
      </w:r>
      <w:r w:rsidRPr="00CC052C">
        <w:rPr>
          <w:rFonts w:hint="eastAsia"/>
          <w:w w:val="150"/>
          <w:vertAlign w:val="superscript"/>
        </w:rPr>
        <w:footnoteReference w:id="237"/>
      </w:r>
      <w:r w:rsidRPr="00CC052C">
        <w:rPr>
          <w:rFonts w:hint="eastAsia"/>
        </w:rPr>
        <w:t xml:space="preserve"> </w:t>
      </w:r>
      <w:r w:rsidRPr="00CC052C">
        <w:rPr>
          <w:rFonts w:hint="eastAsia"/>
        </w:rPr>
        <w:t>《</w:t>
      </w:r>
      <w:r w:rsidRPr="00CC052C">
        <w:t>联合国人员和有关人员安全公约</w:t>
      </w:r>
      <w:r w:rsidRPr="00CC052C">
        <w:rPr>
          <w:rFonts w:hint="eastAsia"/>
        </w:rPr>
        <w:t>》、</w:t>
      </w:r>
      <w:r w:rsidRPr="00CC052C">
        <w:rPr>
          <w:rFonts w:hint="eastAsia"/>
          <w:w w:val="150"/>
          <w:vertAlign w:val="superscript"/>
        </w:rPr>
        <w:footnoteReference w:id="238"/>
      </w:r>
      <w:r w:rsidRPr="00CC052C">
        <w:rPr>
          <w:rFonts w:hint="eastAsia"/>
        </w:rPr>
        <w:t>《</w:t>
      </w:r>
      <w:r w:rsidRPr="00CC052C">
        <w:t>制止恐怖主义爆炸</w:t>
      </w:r>
      <w:r w:rsidRPr="00CC052C">
        <w:rPr>
          <w:rFonts w:hint="eastAsia"/>
        </w:rPr>
        <w:t>事件</w:t>
      </w:r>
      <w:r w:rsidRPr="00CC052C">
        <w:t>的国际公约</w:t>
      </w:r>
      <w:r w:rsidRPr="00CC052C">
        <w:rPr>
          <w:rFonts w:hint="eastAsia"/>
        </w:rPr>
        <w:t>》、</w:t>
      </w:r>
      <w:r w:rsidRPr="00CC052C">
        <w:rPr>
          <w:rFonts w:hint="eastAsia"/>
          <w:w w:val="150"/>
          <w:vertAlign w:val="superscript"/>
        </w:rPr>
        <w:footnoteReference w:id="239"/>
      </w:r>
      <w:r w:rsidRPr="00CC052C">
        <w:rPr>
          <w:rFonts w:hint="eastAsia"/>
        </w:rPr>
        <w:t>《联合国</w:t>
      </w:r>
      <w:r w:rsidRPr="00CC052C">
        <w:t>打击跨国有组织犯罪公约</w:t>
      </w:r>
      <w:r w:rsidRPr="00CC052C">
        <w:rPr>
          <w:rFonts w:hint="eastAsia"/>
        </w:rPr>
        <w:t>》、</w:t>
      </w:r>
      <w:r w:rsidRPr="00CC052C">
        <w:rPr>
          <w:rFonts w:hint="eastAsia"/>
          <w:w w:val="150"/>
          <w:vertAlign w:val="superscript"/>
        </w:rPr>
        <w:footnoteReference w:id="240"/>
      </w:r>
      <w:r w:rsidRPr="00CC052C">
        <w:rPr>
          <w:rFonts w:hint="eastAsia"/>
        </w:rPr>
        <w:t>《</w:t>
      </w:r>
      <w:r w:rsidRPr="00CC052C">
        <w:t>联合国打击</w:t>
      </w:r>
      <w:r w:rsidRPr="00CC052C">
        <w:lastRenderedPageBreak/>
        <w:t>跨国有组织犯罪公约关于预防、禁止和惩治贩运人口特别是妇女和儿童行为的补充议定书</w:t>
      </w:r>
      <w:r w:rsidRPr="00CC052C">
        <w:rPr>
          <w:rFonts w:hint="eastAsia"/>
        </w:rPr>
        <w:t>》、</w:t>
      </w:r>
      <w:r w:rsidRPr="00CC052C">
        <w:rPr>
          <w:rFonts w:hint="eastAsia"/>
          <w:w w:val="150"/>
          <w:vertAlign w:val="superscript"/>
        </w:rPr>
        <w:footnoteReference w:id="241"/>
      </w:r>
      <w:r w:rsidRPr="00CC052C">
        <w:rPr>
          <w:rFonts w:hint="eastAsia"/>
        </w:rPr>
        <w:t>《</w:t>
      </w:r>
      <w:r w:rsidRPr="00CC052C">
        <w:t>禁止酷刑和其他残忍、不人道或有辱人格的待遇或</w:t>
      </w:r>
      <w:r w:rsidRPr="00CC052C">
        <w:rPr>
          <w:rFonts w:hint="eastAsia"/>
        </w:rPr>
        <w:t>处罚公约任择议定书》、</w:t>
      </w:r>
      <w:r w:rsidRPr="00CC052C">
        <w:rPr>
          <w:rFonts w:hint="eastAsia"/>
          <w:w w:val="150"/>
          <w:vertAlign w:val="superscript"/>
        </w:rPr>
        <w:footnoteReference w:id="242"/>
      </w:r>
      <w:r w:rsidRPr="00CC052C">
        <w:rPr>
          <w:rFonts w:hint="eastAsia"/>
          <w:vertAlign w:val="superscript"/>
        </w:rPr>
        <w:t xml:space="preserve"> </w:t>
      </w:r>
      <w:r w:rsidRPr="00CC052C">
        <w:rPr>
          <w:rFonts w:hint="eastAsia"/>
        </w:rPr>
        <w:t>和《</w:t>
      </w:r>
      <w:r w:rsidRPr="00CC052C">
        <w:t>保护所有人免遭强迫失踪国际公约</w:t>
      </w:r>
      <w:r w:rsidRPr="00CC052C">
        <w:rPr>
          <w:rFonts w:hint="eastAsia"/>
        </w:rPr>
        <w:t>》</w:t>
      </w:r>
      <w:r w:rsidRPr="00CC052C">
        <w:rPr>
          <w:rFonts w:hint="eastAsia"/>
          <w:w w:val="150"/>
          <w:vertAlign w:val="superscript"/>
        </w:rPr>
        <w:footnoteReference w:id="243"/>
      </w:r>
      <w:r w:rsidRPr="00CC052C">
        <w:rPr>
          <w:rFonts w:hint="eastAsia"/>
        </w:rPr>
        <w:t>。</w:t>
      </w:r>
    </w:p>
    <w:p w:rsidR="007C3A88" w:rsidRPr="00CC052C" w:rsidRDefault="007C3A88" w:rsidP="007C3A88">
      <w:pPr>
        <w:pStyle w:val="SingleTxt"/>
        <w:spacing w:line="300" w:lineRule="exact"/>
      </w:pPr>
      <w:r w:rsidRPr="00CC052C">
        <w:rPr>
          <w:rFonts w:hint="eastAsia"/>
        </w:rPr>
        <w:t xml:space="preserve">(4)  </w:t>
      </w:r>
      <w:r w:rsidRPr="00CC052C">
        <w:rPr>
          <w:rFonts w:hint="eastAsia"/>
        </w:rPr>
        <w:t>一些多边人权条约虽然不侧重于防止和惩治此类罪行，但载有与防止和制止侵犯人权行为相关的义务。例如：《</w:t>
      </w:r>
      <w:r w:rsidRPr="00CC052C">
        <w:t>消除一切形式种族歧视国际公约</w:t>
      </w:r>
      <w:r w:rsidRPr="00CC052C">
        <w:rPr>
          <w:rFonts w:hint="eastAsia"/>
        </w:rPr>
        <w:t>》</w:t>
      </w:r>
      <w:r w:rsidRPr="00CC052C">
        <w:rPr>
          <w:rFonts w:hint="eastAsia"/>
          <w:w w:val="150"/>
          <w:vertAlign w:val="superscript"/>
        </w:rPr>
        <w:footnoteReference w:id="244"/>
      </w:r>
      <w:r w:rsidRPr="00CC052C">
        <w:rPr>
          <w:rFonts w:hint="eastAsia"/>
        </w:rPr>
        <w:t>《</w:t>
      </w:r>
      <w:r w:rsidRPr="00CC052C">
        <w:t>消除对妇女一切形式歧视公约</w:t>
      </w:r>
      <w:r w:rsidRPr="00CC052C">
        <w:rPr>
          <w:rFonts w:hint="eastAsia"/>
        </w:rPr>
        <w:t>》</w:t>
      </w:r>
      <w:r w:rsidRPr="00CC052C">
        <w:rPr>
          <w:rFonts w:hint="eastAsia"/>
          <w:w w:val="150"/>
          <w:vertAlign w:val="superscript"/>
        </w:rPr>
        <w:footnoteReference w:id="245"/>
      </w:r>
      <w:r w:rsidRPr="00CC052C">
        <w:rPr>
          <w:rFonts w:hint="eastAsia"/>
        </w:rPr>
        <w:t xml:space="preserve"> </w:t>
      </w:r>
      <w:r w:rsidRPr="00CC052C">
        <w:rPr>
          <w:rFonts w:hint="eastAsia"/>
        </w:rPr>
        <w:t>和《</w:t>
      </w:r>
      <w:r w:rsidRPr="00CC052C">
        <w:t>欧洲委员会防止和打击暴力侵害妇女行为和家庭暴力公约</w:t>
      </w:r>
      <w:r w:rsidRPr="00CC052C">
        <w:rPr>
          <w:rFonts w:hint="eastAsia"/>
        </w:rPr>
        <w:t>》</w:t>
      </w:r>
      <w:r w:rsidRPr="00CC052C">
        <w:rPr>
          <w:rFonts w:hint="eastAsia"/>
          <w:w w:val="150"/>
          <w:vertAlign w:val="superscript"/>
        </w:rPr>
        <w:footnoteReference w:id="246"/>
      </w:r>
      <w:r w:rsidRPr="00CC052C">
        <w:rPr>
          <w:rFonts w:hint="eastAsia"/>
        </w:rPr>
        <w:t>。一些条约没有明确提到“防止”或“消除”此种行为，而是把重点放在采取适当的立法、行政和其他措施的义务上，从而“实施”或“执行”条约；</w:t>
      </w:r>
      <w:r w:rsidRPr="00CC052C">
        <w:rPr>
          <w:rFonts w:hint="eastAsia"/>
        </w:rPr>
        <w:lastRenderedPageBreak/>
        <w:t>可以将此</w:t>
      </w:r>
      <w:r w:rsidRPr="007B14CC">
        <w:rPr>
          <w:rFonts w:hint="eastAsia"/>
          <w:spacing w:val="-6"/>
        </w:rPr>
        <w:t>视为包含了防止此类行为的必要或适当措施。例如《</w:t>
      </w:r>
      <w:r w:rsidRPr="007B14CC">
        <w:rPr>
          <w:spacing w:val="-6"/>
        </w:rPr>
        <w:t>公民权利和政治权利国际公约</w:t>
      </w:r>
      <w:r w:rsidRPr="007B14CC">
        <w:rPr>
          <w:rFonts w:hint="eastAsia"/>
          <w:spacing w:val="-6"/>
        </w:rPr>
        <w:t>》</w:t>
      </w:r>
      <w:r w:rsidRPr="007B14CC">
        <w:rPr>
          <w:rFonts w:hint="eastAsia"/>
          <w:spacing w:val="-6"/>
          <w:w w:val="150"/>
          <w:vertAlign w:val="superscript"/>
        </w:rPr>
        <w:footnoteReference w:id="247"/>
      </w:r>
      <w:r w:rsidRPr="007B14CC">
        <w:rPr>
          <w:rFonts w:hint="eastAsia"/>
          <w:spacing w:val="-6"/>
        </w:rPr>
        <w:t xml:space="preserve"> </w:t>
      </w:r>
      <w:r w:rsidRPr="00CC052C">
        <w:rPr>
          <w:rFonts w:hint="eastAsia"/>
        </w:rPr>
        <w:t>和《儿童权利公约》</w:t>
      </w:r>
      <w:r w:rsidRPr="00CC052C">
        <w:rPr>
          <w:rFonts w:hint="eastAsia"/>
          <w:w w:val="150"/>
          <w:vertAlign w:val="superscript"/>
        </w:rPr>
        <w:footnoteReference w:id="248"/>
      </w:r>
      <w:r w:rsidRPr="00CC052C">
        <w:rPr>
          <w:rFonts w:hint="eastAsia"/>
        </w:rPr>
        <w:t>。</w:t>
      </w:r>
    </w:p>
    <w:p w:rsidR="007C3A88" w:rsidRPr="00CC052C" w:rsidRDefault="007C3A88" w:rsidP="007C3A88">
      <w:pPr>
        <w:pStyle w:val="SingleTxt"/>
      </w:pPr>
      <w:r w:rsidRPr="00CC052C">
        <w:rPr>
          <w:rFonts w:hint="eastAsia"/>
        </w:rPr>
        <w:t xml:space="preserve">(5)  </w:t>
      </w:r>
      <w:r w:rsidRPr="00CC052C">
        <w:rPr>
          <w:rFonts w:hint="eastAsia"/>
        </w:rPr>
        <w:t>各国际法院和法庭处理过这类预防义务的问题。国际法院在</w:t>
      </w:r>
      <w:r w:rsidRPr="00CC052C">
        <w:t>《防止及惩治灭绝种族罪公约》的适用</w:t>
      </w:r>
      <w:r w:rsidRPr="00CC052C">
        <w:t>(</w:t>
      </w:r>
      <w:r w:rsidRPr="00EB5B5E">
        <w:rPr>
          <w:rFonts w:ascii="楷体" w:eastAsia="楷体" w:hAnsi="楷体"/>
        </w:rPr>
        <w:t>波斯尼亚和黑塞哥维那诉塞尔维亚和黑山</w:t>
      </w:r>
      <w:r w:rsidRPr="00CC052C">
        <w:t>)</w:t>
      </w:r>
      <w:r w:rsidRPr="00CC052C">
        <w:t>案</w:t>
      </w:r>
      <w:r w:rsidRPr="00CC052C">
        <w:rPr>
          <w:rFonts w:hint="eastAsia"/>
        </w:rPr>
        <w:t>中指出，该《公约》语境下的惩治职责与预防职责有联系，但有区别。虽然“总体上，预防犯罪的一个最有效的办法是规定对实施此类行为的人的刑罚，并对实施所要预防的行为的人切实处以此类刑罚，”</w:t>
      </w:r>
      <w:bookmarkStart w:id="47" w:name="_Ref295984475"/>
      <w:r w:rsidRPr="00CC052C">
        <w:rPr>
          <w:rFonts w:hint="eastAsia"/>
          <w:w w:val="150"/>
          <w:vertAlign w:val="superscript"/>
        </w:rPr>
        <w:footnoteReference w:id="249"/>
      </w:r>
      <w:bookmarkEnd w:id="47"/>
      <w:r w:rsidRPr="00CC052C">
        <w:rPr>
          <w:rFonts w:hint="eastAsia"/>
        </w:rPr>
        <w:t>，但法院认定“防止灭绝种族的责任与惩治行为人的责任……是……两项截然不同但彼此联系的义务。”</w:t>
      </w:r>
      <w:r w:rsidRPr="00CC052C">
        <w:rPr>
          <w:rFonts w:hint="eastAsia"/>
          <w:w w:val="150"/>
          <w:vertAlign w:val="superscript"/>
        </w:rPr>
        <w:footnoteReference w:id="250"/>
      </w:r>
      <w:r w:rsidRPr="00CC052C">
        <w:rPr>
          <w:rFonts w:hint="eastAsia"/>
          <w:vertAlign w:val="superscript"/>
        </w:rPr>
        <w:t xml:space="preserve"> </w:t>
      </w:r>
      <w:r w:rsidRPr="00CC052C">
        <w:rPr>
          <w:rFonts w:hint="eastAsia"/>
        </w:rPr>
        <w:t>实际上，“每一缔约国防止种族灭绝的义务是规范性和强制性的。这个义务没有并入惩治的职责，也不能被视为只是惩治职责的一个组成部分。”</w:t>
      </w:r>
      <w:r w:rsidRPr="00CC052C">
        <w:rPr>
          <w:rFonts w:hint="eastAsia"/>
          <w:w w:val="150"/>
          <w:vertAlign w:val="superscript"/>
        </w:rPr>
        <w:footnoteReference w:id="251"/>
      </w:r>
    </w:p>
    <w:p w:rsidR="007C3A88" w:rsidRPr="00CC052C" w:rsidRDefault="007C3A88" w:rsidP="007C3A88">
      <w:pPr>
        <w:pStyle w:val="SingleTxt"/>
      </w:pPr>
      <w:r w:rsidRPr="00CC052C">
        <w:rPr>
          <w:rFonts w:hint="eastAsia"/>
        </w:rPr>
        <w:t xml:space="preserve">(6)  </w:t>
      </w:r>
      <w:r w:rsidRPr="00CC052C">
        <w:rPr>
          <w:rFonts w:hint="eastAsia"/>
        </w:rPr>
        <w:t>这种条约实践、判例以及深为各国接受的观点</w:t>
      </w:r>
      <w:r w:rsidRPr="007B14CC">
        <w:rPr>
          <w:rFonts w:hint="eastAsia"/>
          <w:spacing w:val="-50"/>
        </w:rPr>
        <w:t>―</w:t>
      </w:r>
      <w:r w:rsidRPr="00CC052C">
        <w:rPr>
          <w:rFonts w:hint="eastAsia"/>
        </w:rPr>
        <w:t>―危害人类罪无论是否在武装冲突时发生，也无论是否被国内法定为犯罪，都是国际法上应受到惩治的罪行，意味着国家已经承担起防止危害人类罪的义务。因此，第</w:t>
      </w:r>
      <w:r w:rsidRPr="00CC052C">
        <w:rPr>
          <w:rFonts w:hint="eastAsia"/>
        </w:rPr>
        <w:t>4</w:t>
      </w:r>
      <w:r w:rsidRPr="00CC052C">
        <w:rPr>
          <w:rFonts w:hint="eastAsia"/>
        </w:rPr>
        <w:t>条第</w:t>
      </w:r>
      <w:r w:rsidRPr="00CC052C">
        <w:rPr>
          <w:rFonts w:hint="eastAsia"/>
        </w:rPr>
        <w:t>1</w:t>
      </w:r>
      <w:r w:rsidRPr="00CC052C">
        <w:rPr>
          <w:rFonts w:hint="eastAsia"/>
        </w:rPr>
        <w:t>款草案以“每一国家承诺按照国际法防止危害人类罪……”为开头，采用与《灭绝种族罪公约》第一条类似的方式制定了一项预防的义务。</w:t>
      </w:r>
    </w:p>
    <w:p w:rsidR="007C3A88" w:rsidRPr="00CC052C" w:rsidRDefault="007C3A88" w:rsidP="007C3A88">
      <w:pPr>
        <w:pStyle w:val="SingleTxt"/>
      </w:pPr>
      <w:r w:rsidRPr="00CC052C">
        <w:rPr>
          <w:rFonts w:hint="eastAsia"/>
        </w:rPr>
        <w:t xml:space="preserve">(7)  </w:t>
      </w:r>
      <w:r w:rsidRPr="00CC052C">
        <w:rPr>
          <w:rFonts w:hint="eastAsia"/>
        </w:rPr>
        <w:t>国际法院在</w:t>
      </w:r>
      <w:r w:rsidRPr="00CC052C">
        <w:t>《防止及惩治灭绝种族罪公约》的适用</w:t>
      </w:r>
      <w:r w:rsidRPr="00CC052C">
        <w:t>(</w:t>
      </w:r>
      <w:r w:rsidRPr="00EB5B5E">
        <w:rPr>
          <w:rFonts w:ascii="楷体" w:eastAsia="楷体" w:hAnsi="楷体"/>
        </w:rPr>
        <w:t>波斯尼亚和黑塞哥维那诉塞尔维亚和黑山</w:t>
      </w:r>
      <w:r w:rsidRPr="00CC052C">
        <w:t>)</w:t>
      </w:r>
      <w:r w:rsidRPr="00CC052C">
        <w:t>案</w:t>
      </w:r>
      <w:r w:rsidRPr="00CC052C">
        <w:rPr>
          <w:rFonts w:hint="eastAsia"/>
        </w:rPr>
        <w:t>中分析了</w:t>
      </w:r>
      <w:r w:rsidRPr="00CC052C">
        <w:rPr>
          <w:rFonts w:hint="eastAsia"/>
        </w:rPr>
        <w:t>1948</w:t>
      </w:r>
      <w:r w:rsidRPr="00CC052C">
        <w:rPr>
          <w:rFonts w:hint="eastAsia"/>
        </w:rPr>
        <w:t>年《灭绝种族罪公约》第一条所载“承允防止”的含义。在临时措施阶段，法院判定这种承允对缔约国施加了“尽其所能防止将来发生此种行为”的“一项明确义务”。</w:t>
      </w:r>
      <w:r w:rsidRPr="00CC052C">
        <w:rPr>
          <w:rFonts w:hint="eastAsia"/>
          <w:w w:val="150"/>
          <w:vertAlign w:val="superscript"/>
        </w:rPr>
        <w:footnoteReference w:id="252"/>
      </w:r>
      <w:r w:rsidRPr="00CC052C">
        <w:rPr>
          <w:rFonts w:hint="eastAsia"/>
        </w:rPr>
        <w:t xml:space="preserve"> </w:t>
      </w:r>
      <w:r w:rsidRPr="00CC052C">
        <w:rPr>
          <w:rFonts w:hint="eastAsia"/>
        </w:rPr>
        <w:t>在审理案情阶段，法院对“承允”一词在该语境下的通常含义描述如下：</w:t>
      </w:r>
    </w:p>
    <w:p w:rsidR="007C3A88" w:rsidRPr="00CC052C" w:rsidRDefault="007C3A88" w:rsidP="007C3A88">
      <w:pPr>
        <w:pStyle w:val="SingleTxt"/>
        <w:ind w:left="1695"/>
      </w:pPr>
      <w:r w:rsidRPr="00CC052C">
        <w:rPr>
          <w:rFonts w:hint="eastAsia"/>
        </w:rPr>
        <w:tab/>
      </w:r>
      <w:r w:rsidRPr="00CC052C">
        <w:rPr>
          <w:rFonts w:hint="eastAsia"/>
        </w:rPr>
        <w:t>“做出正式承诺，使自身负有义务或允诺，做出保证或承诺，同意，接受义务。该词通常用于规定缔约国义务的条约中……它不仅是为了进行督促或阐明目的。承允是不受条件限制的……；不应把它仅解读为后文明确提到立法、起诉和引渡之处的引言。这些特征支持的是这样一个结论：第一条</w:t>
      </w:r>
      <w:r w:rsidRPr="00CC052C">
        <w:t>(</w:t>
      </w:r>
      <w:r w:rsidRPr="00CC052C">
        <w:rPr>
          <w:rFonts w:hint="eastAsia"/>
        </w:rPr>
        <w:t>尤其是承允防止部分</w:t>
      </w:r>
      <w:r w:rsidRPr="00CC052C">
        <w:t>)</w:t>
      </w:r>
      <w:r w:rsidRPr="00CC052C">
        <w:rPr>
          <w:rFonts w:hint="eastAsia"/>
        </w:rPr>
        <w:t>产生了与后续条款中出现的义务明显不同的义务。”</w:t>
      </w:r>
      <w:r w:rsidRPr="00CC052C">
        <w:rPr>
          <w:rFonts w:hint="eastAsia"/>
          <w:w w:val="150"/>
          <w:vertAlign w:val="superscript"/>
        </w:rPr>
        <w:footnoteReference w:id="253"/>
      </w:r>
    </w:p>
    <w:p w:rsidR="007C3A88" w:rsidRPr="00CC052C" w:rsidRDefault="007C3A88" w:rsidP="007C3A88">
      <w:pPr>
        <w:pStyle w:val="SingleTxt"/>
      </w:pPr>
      <w:r w:rsidRPr="00CC052C">
        <w:rPr>
          <w:rFonts w:hint="eastAsia"/>
        </w:rPr>
        <w:lastRenderedPageBreak/>
        <w:t>第</w:t>
      </w:r>
      <w:r w:rsidRPr="00CC052C">
        <w:rPr>
          <w:rFonts w:hint="eastAsia"/>
        </w:rPr>
        <w:t>4</w:t>
      </w:r>
      <w:r w:rsidRPr="00CC052C">
        <w:rPr>
          <w:rFonts w:hint="eastAsia"/>
        </w:rPr>
        <w:t>条第</w:t>
      </w:r>
      <w:r w:rsidRPr="00CC052C">
        <w:rPr>
          <w:rFonts w:hint="eastAsia"/>
        </w:rPr>
        <w:t>1</w:t>
      </w:r>
      <w:r w:rsidRPr="00CC052C">
        <w:rPr>
          <w:rFonts w:hint="eastAsia"/>
        </w:rPr>
        <w:t>款草案制定的对防止危害人类罪的承诺，意在表达对国家同样的法律约束力；它也不仅是为了进行督促或阐明目的，并且不仅仅是对之后条款草案的导言。</w:t>
      </w:r>
    </w:p>
    <w:p w:rsidR="007C3A88" w:rsidRPr="00CC052C" w:rsidRDefault="007C3A88" w:rsidP="007C3A88">
      <w:pPr>
        <w:pStyle w:val="SingleTxt"/>
      </w:pPr>
      <w:r w:rsidRPr="00CC052C">
        <w:rPr>
          <w:rFonts w:hint="eastAsia"/>
        </w:rPr>
        <w:t xml:space="preserve">(8)  </w:t>
      </w:r>
      <w:r w:rsidRPr="00CC052C">
        <w:rPr>
          <w:rFonts w:hint="eastAsia"/>
        </w:rPr>
        <w:t>国际法院在同案中指出，在采取预防措施时，“各国明显只能在国际法允许的限度内行事。”</w:t>
      </w:r>
      <w:r w:rsidRPr="00CC052C">
        <w:rPr>
          <w:rFonts w:hint="eastAsia"/>
          <w:w w:val="150"/>
          <w:vertAlign w:val="superscript"/>
        </w:rPr>
        <w:footnoteReference w:id="254"/>
      </w:r>
      <w:r w:rsidRPr="00CC052C">
        <w:rPr>
          <w:rFonts w:hint="eastAsia"/>
        </w:rPr>
        <w:t xml:space="preserve"> </w:t>
      </w:r>
      <w:r w:rsidRPr="00CC052C">
        <w:rPr>
          <w:rFonts w:hint="eastAsia"/>
        </w:rPr>
        <w:t>委员会认为，应该在第</w:t>
      </w:r>
      <w:r w:rsidRPr="00CC052C">
        <w:rPr>
          <w:rFonts w:hint="eastAsia"/>
        </w:rPr>
        <w:t>4</w:t>
      </w:r>
      <w:r w:rsidRPr="00CC052C">
        <w:rPr>
          <w:rFonts w:hint="eastAsia"/>
        </w:rPr>
        <w:t>条第</w:t>
      </w:r>
      <w:r w:rsidRPr="00CC052C">
        <w:rPr>
          <w:rFonts w:hint="eastAsia"/>
        </w:rPr>
        <w:t>1</w:t>
      </w:r>
      <w:r w:rsidRPr="00CC052C">
        <w:rPr>
          <w:rFonts w:hint="eastAsia"/>
        </w:rPr>
        <w:t>款草案中把这个要求明确表述出来，因而加入了任何防止措施都必须“按照国际法”的子句。因此，国家为履行本项义务而采取的措施必须符合国际法规则，包括《联合国宪章》、国际人道主义法和人权法中规定的关于使用武力的规则。国家仅有义务根据国际法为防止危害人类罪采取法律允许的措施。</w:t>
      </w:r>
    </w:p>
    <w:p w:rsidR="007C3A88" w:rsidRPr="00CC052C" w:rsidRDefault="007C3A88" w:rsidP="007C3A88">
      <w:pPr>
        <w:pStyle w:val="SingleTxt"/>
      </w:pPr>
      <w:r w:rsidRPr="00CC052C">
        <w:rPr>
          <w:rFonts w:hint="eastAsia"/>
        </w:rPr>
        <w:t xml:space="preserve">(9)  </w:t>
      </w:r>
      <w:r w:rsidRPr="00CC052C">
        <w:rPr>
          <w:rFonts w:hint="eastAsia"/>
        </w:rPr>
        <w:t>如第</w:t>
      </w:r>
      <w:r w:rsidRPr="00CC052C">
        <w:rPr>
          <w:rFonts w:hint="eastAsia"/>
        </w:rPr>
        <w:t>4</w:t>
      </w:r>
      <w:r w:rsidRPr="00CC052C">
        <w:rPr>
          <w:rFonts w:hint="eastAsia"/>
        </w:rPr>
        <w:t>条第</w:t>
      </w:r>
      <w:r w:rsidRPr="00CC052C">
        <w:rPr>
          <w:rFonts w:hint="eastAsia"/>
        </w:rPr>
        <w:t>1</w:t>
      </w:r>
      <w:r w:rsidRPr="00CC052C">
        <w:rPr>
          <w:rFonts w:hint="eastAsia"/>
        </w:rPr>
        <w:t>款草案所规定，这一预防义务明示或隐示包含四个要素。第一，国家做出这一承诺，便有义务不“通过本国的机关或者本国能够稳固控制、因而根据国际法其行为可归属于相关国家的人，实施此类行为”。</w:t>
      </w:r>
      <w:r w:rsidRPr="00CC052C">
        <w:rPr>
          <w:rFonts w:hint="eastAsia"/>
          <w:w w:val="150"/>
          <w:vertAlign w:val="superscript"/>
        </w:rPr>
        <w:footnoteReference w:id="255"/>
      </w:r>
      <w:r w:rsidRPr="00CC052C">
        <w:rPr>
          <w:rFonts w:hint="eastAsia"/>
        </w:rPr>
        <w:t xml:space="preserve"> </w:t>
      </w:r>
      <w:r w:rsidRPr="00CC052C">
        <w:rPr>
          <w:rFonts w:hint="eastAsia"/>
        </w:rPr>
        <w:t>国际法院认为，在考虑《灭绝种族罪公约》第一条所载的类似的预防义务时：</w:t>
      </w:r>
    </w:p>
    <w:p w:rsidR="007C3A88" w:rsidRPr="00CC052C" w:rsidRDefault="007C3A88" w:rsidP="007C3A88">
      <w:pPr>
        <w:pStyle w:val="SingleTxt"/>
        <w:ind w:left="1695"/>
      </w:pPr>
      <w:r w:rsidRPr="00CC052C">
        <w:rPr>
          <w:rFonts w:hint="eastAsia"/>
        </w:rPr>
        <w:tab/>
      </w:r>
      <w:r w:rsidRPr="00CC052C">
        <w:rPr>
          <w:rFonts w:hint="eastAsia"/>
        </w:rPr>
        <w:t>“根据第一条，各缔约国有义务防止实施此类行为，该条将此类行为称为‘国际法认定的犯罪行为’。该条没有明文规定各国自己不要实施灭绝种族。不过，法院认为，考虑到该《公约》的既定目的，第一条的含义就是要禁止各国自己实施灭绝种族。推定这一禁止含义的第一个依据是，该条将灭绝种族归为‘国际法认定的罪行’：而缔约国要是同意这一归类，在逻辑上就必须保证不实施所述行为。第二个依据是，明确规定有义务防止实施灭绝种族行为。这一义务要求缔约国在该判决书后文具体说明的情况下，利用所掌握的手段，防止不直接受其权力支配的个人或群体实施灭绝种族行为或第三条所述的任何其他行为。因此，如果说一方面规定国家有义务在其权力范围内防止它们能施加一定影响力的个人实施犯灭绝种族行为，另一方面却又不禁止各国通过自身的机关或通过受其严密控制因而根据国际法其行为被归为国家行为的个人实施此类行为，那将是自相矛盾的。简言之，防止灭绝种族的义务必然意味着禁止实施灭绝种族。”</w:t>
      </w:r>
      <w:r w:rsidRPr="00CC052C">
        <w:rPr>
          <w:rFonts w:hint="eastAsia"/>
          <w:w w:val="150"/>
          <w:vertAlign w:val="superscript"/>
        </w:rPr>
        <w:footnoteReference w:id="256"/>
      </w:r>
      <w:r w:rsidRPr="00CC052C">
        <w:rPr>
          <w:rFonts w:hint="eastAsia"/>
        </w:rPr>
        <w:t xml:space="preserve"> </w:t>
      </w:r>
    </w:p>
    <w:p w:rsidR="007C3A88" w:rsidRPr="00CC052C" w:rsidRDefault="007C3A88" w:rsidP="007C3A88">
      <w:pPr>
        <w:pStyle w:val="SingleTxt"/>
      </w:pPr>
      <w:r w:rsidRPr="00CC052C">
        <w:rPr>
          <w:rFonts w:hint="eastAsia"/>
        </w:rPr>
        <w:t xml:space="preserve">(10)  </w:t>
      </w:r>
      <w:r w:rsidRPr="00CC052C">
        <w:rPr>
          <w:rFonts w:hint="eastAsia"/>
        </w:rPr>
        <w:t>法院还裁决，第一条所反映的实质性义务表面上并非受地域限制，而是适用于“可能正在或也许能以与履行有关义务</w:t>
      </w:r>
      <w:r w:rsidRPr="00CC052C">
        <w:rPr>
          <w:rFonts w:hint="eastAsia"/>
        </w:rPr>
        <w:t>[]</w:t>
      </w:r>
      <w:r w:rsidRPr="00CC052C">
        <w:rPr>
          <w:rFonts w:hint="eastAsia"/>
        </w:rPr>
        <w:t>相适合的方式行事的国家。”</w:t>
      </w:r>
      <w:r w:rsidRPr="00CC052C">
        <w:rPr>
          <w:rFonts w:hint="eastAsia"/>
          <w:w w:val="150"/>
          <w:vertAlign w:val="superscript"/>
        </w:rPr>
        <w:footnoteReference w:id="257"/>
      </w:r>
      <w:r w:rsidRPr="00CC052C">
        <w:rPr>
          <w:rFonts w:hint="eastAsia"/>
        </w:rPr>
        <w:t xml:space="preserve"> </w:t>
      </w:r>
    </w:p>
    <w:p w:rsidR="007C3A88" w:rsidRPr="00CC052C" w:rsidRDefault="007C3A88" w:rsidP="007C3A88">
      <w:pPr>
        <w:pStyle w:val="SingleTxt"/>
      </w:pPr>
      <w:r w:rsidRPr="00CC052C">
        <w:rPr>
          <w:rFonts w:hint="eastAsia"/>
        </w:rPr>
        <w:t xml:space="preserve">(11)  </w:t>
      </w:r>
      <w:r w:rsidRPr="00CC052C">
        <w:rPr>
          <w:rFonts w:hint="eastAsia"/>
        </w:rPr>
        <w:t>如果所涉行为根据国家责任规则归属于国家，则违反不直接实施此类行为的义务意味着国家要承担责任。实际上，就可能出现的关于《灭绝种族罪公约》的争端而言，第九条除其他外提到“</w:t>
      </w:r>
      <w:r w:rsidRPr="00CC052C">
        <w:t>关于某一国家对于灭绝种族罪</w:t>
      </w:r>
      <w:r w:rsidRPr="00CC052C">
        <w:rPr>
          <w:rFonts w:hint="eastAsia"/>
        </w:rPr>
        <w:t>……的责任的”争端。虽然《灭绝种族罪公约》的重点主要是起诉犯有灭绝种族罪的个人，但是国际法院强调，违反防止义务不是国家实施的属于刑事犯罪的违反行为，而是一种涉及国家</w:t>
      </w:r>
      <w:r w:rsidRPr="00CC052C">
        <w:rPr>
          <w:rFonts w:hint="eastAsia"/>
        </w:rPr>
        <w:lastRenderedPageBreak/>
        <w:t>责任的违反国际法行为。</w:t>
      </w:r>
      <w:bookmarkStart w:id="48" w:name="_Ref281301411"/>
      <w:r w:rsidRPr="00CC052C">
        <w:rPr>
          <w:rFonts w:hint="eastAsia"/>
          <w:w w:val="150"/>
          <w:vertAlign w:val="superscript"/>
        </w:rPr>
        <w:footnoteReference w:id="258"/>
      </w:r>
      <w:bookmarkEnd w:id="48"/>
      <w:r w:rsidRPr="00CC052C">
        <w:rPr>
          <w:rFonts w:hint="eastAsia"/>
        </w:rPr>
        <w:t xml:space="preserve"> </w:t>
      </w:r>
      <w:r w:rsidRPr="00CC052C">
        <w:rPr>
          <w:rFonts w:hint="eastAsia"/>
        </w:rPr>
        <w:t>法院的做法同委员会曾经表达过的意见一致，</w:t>
      </w:r>
      <w:r w:rsidRPr="00CC052C">
        <w:rPr>
          <w:rFonts w:hint="eastAsia"/>
          <w:w w:val="150"/>
          <w:vertAlign w:val="superscript"/>
        </w:rPr>
        <w:footnoteReference w:id="259"/>
      </w:r>
      <w:r w:rsidRPr="00CC052C">
        <w:rPr>
          <w:rFonts w:hint="eastAsia"/>
        </w:rPr>
        <w:t xml:space="preserve"> </w:t>
      </w:r>
      <w:r w:rsidRPr="00CC052C">
        <w:rPr>
          <w:rFonts w:hint="eastAsia"/>
        </w:rPr>
        <w:t>包括关于</w:t>
      </w:r>
      <w:r w:rsidRPr="00CC052C">
        <w:rPr>
          <w:rFonts w:hint="eastAsia"/>
        </w:rPr>
        <w:t>2001</w:t>
      </w:r>
      <w:r w:rsidRPr="00CC052C">
        <w:rPr>
          <w:rFonts w:hint="eastAsia"/>
        </w:rPr>
        <w:t>年“</w:t>
      </w:r>
      <w:r w:rsidRPr="00CC052C">
        <w:t>国家对国际不法行为的责任条款</w:t>
      </w:r>
      <w:r w:rsidRPr="00CC052C">
        <w:rPr>
          <w:rFonts w:hint="eastAsia"/>
        </w:rPr>
        <w:t>”的评注：“当国家官员实施违反国际法罪行时，经常是国家对此行为负责或对没有预防或惩罚这种行为的结果负责。”</w:t>
      </w:r>
      <w:r w:rsidRPr="00CC052C">
        <w:rPr>
          <w:rFonts w:hint="eastAsia"/>
          <w:w w:val="150"/>
          <w:vertAlign w:val="superscript"/>
        </w:rPr>
        <w:footnoteReference w:id="260"/>
      </w:r>
    </w:p>
    <w:p w:rsidR="007C3A88" w:rsidRPr="00CC052C" w:rsidRDefault="007C3A88" w:rsidP="007C3A88">
      <w:pPr>
        <w:pStyle w:val="SingleTxt"/>
      </w:pPr>
      <w:r w:rsidRPr="00CC052C">
        <w:rPr>
          <w:rFonts w:hint="eastAsia"/>
        </w:rPr>
        <w:t xml:space="preserve">(12)  </w:t>
      </w:r>
      <w:r w:rsidRPr="00CC052C">
        <w:rPr>
          <w:rFonts w:hint="eastAsia"/>
        </w:rPr>
        <w:t>第二，国家做出第</w:t>
      </w:r>
      <w:r w:rsidRPr="00CC052C">
        <w:rPr>
          <w:rFonts w:hint="eastAsia"/>
        </w:rPr>
        <w:t>4</w:t>
      </w:r>
      <w:r w:rsidRPr="00CC052C">
        <w:rPr>
          <w:rFonts w:hint="eastAsia"/>
        </w:rPr>
        <w:t>条第</w:t>
      </w:r>
      <w:r w:rsidRPr="00CC052C">
        <w:rPr>
          <w:rFonts w:hint="eastAsia"/>
        </w:rPr>
        <w:t>1</w:t>
      </w:r>
      <w:r w:rsidRPr="00CC052C">
        <w:rPr>
          <w:rFonts w:hint="eastAsia"/>
        </w:rPr>
        <w:t>款规定的承诺，即有义务“采取能够动用的各种手段，……防止不属于本国直接管辖的人或团体实施”此类行为。</w:t>
      </w:r>
      <w:r w:rsidRPr="00CC052C">
        <w:rPr>
          <w:rFonts w:hint="eastAsia"/>
          <w:w w:val="150"/>
          <w:vertAlign w:val="superscript"/>
        </w:rPr>
        <w:footnoteReference w:id="261"/>
      </w:r>
      <w:r w:rsidRPr="00CC052C">
        <w:rPr>
          <w:rFonts w:hint="eastAsia"/>
        </w:rPr>
        <w:t xml:space="preserve"> </w:t>
      </w:r>
      <w:r w:rsidRPr="00CC052C">
        <w:rPr>
          <w:rFonts w:hint="eastAsia"/>
        </w:rPr>
        <w:t>就后者而言，当缔约国在“有能力对很可能实施、或者已经在实施灭绝种族行为的人的行动产生有效影响的情况下”尽最大努力</w:t>
      </w:r>
      <w:r w:rsidRPr="00CC052C">
        <w:rPr>
          <w:rFonts w:hint="eastAsia"/>
        </w:rPr>
        <w:t>(</w:t>
      </w:r>
      <w:r w:rsidRPr="00CC052C">
        <w:rPr>
          <w:rFonts w:hint="eastAsia"/>
        </w:rPr>
        <w:t>尽责标准</w:t>
      </w:r>
      <w:r w:rsidRPr="00CC052C">
        <w:rPr>
          <w:rFonts w:hint="eastAsia"/>
        </w:rPr>
        <w:t>)</w:t>
      </w:r>
      <w:r w:rsidRPr="00CC052C">
        <w:rPr>
          <w:rFonts w:hint="eastAsia"/>
        </w:rPr>
        <w:t>，而这种能力反过来又取决于缔约国同所涉个人或团体的地域、政治和其它联系。</w:t>
      </w:r>
      <w:r w:rsidRPr="00CC052C">
        <w:rPr>
          <w:rFonts w:hint="eastAsia"/>
          <w:w w:val="150"/>
          <w:vertAlign w:val="superscript"/>
        </w:rPr>
        <w:footnoteReference w:id="262"/>
      </w:r>
      <w:r w:rsidRPr="00CC052C">
        <w:rPr>
          <w:rFonts w:hint="eastAsia"/>
        </w:rPr>
        <w:t xml:space="preserve"> </w:t>
      </w:r>
      <w:r w:rsidRPr="00CC052C">
        <w:rPr>
          <w:rFonts w:hint="eastAsia"/>
        </w:rPr>
        <w:t>国际法院对《灭绝种族罪公约》中的预防义务的标准做出了如下分析：</w:t>
      </w:r>
    </w:p>
    <w:p w:rsidR="007C3A88" w:rsidRPr="00CC052C" w:rsidRDefault="007C3A88" w:rsidP="007C3A88">
      <w:pPr>
        <w:pStyle w:val="SingleTxt"/>
        <w:ind w:left="1695"/>
        <w:rPr>
          <w:vertAlign w:val="superscript"/>
        </w:rPr>
      </w:pPr>
      <w:r w:rsidRPr="00CC052C">
        <w:rPr>
          <w:rFonts w:hint="eastAsia"/>
        </w:rPr>
        <w:tab/>
      </w:r>
      <w:r w:rsidRPr="00CC052C">
        <w:rPr>
          <w:rFonts w:hint="eastAsia"/>
        </w:rPr>
        <w:t>“显然，有关义务是行为义务，而不是结果义务，也就是不能说一国有义务在无论何种情况下成功防止实施灭绝种族：缔约国的义务是采取它们可合理掌握的一切手段，尽可能防止实施灭绝种族。一国并不仅仅因为所希望的结果没有实现而承担责任；不过，一国如未明确采取其权力范围内的一切或可有助于防止灭绝种族的措施来防止灭绝种族，则就要承担责任。在这一方面，要求进行具体评估的‘尽责’概念至关重要。在评估一国是否已尽责地履行相关义务时要考虑到各种参数。第一项显然是能否有成效地影响有可能实施或正在实施灭绝种族行为的个人的行动，这一项在国与国之间差别很大。该能力本身取决于有关国家机关至事发现场的地理距离、该国当局与事件中的主要行为者之间的政治联系和所有其他联系的力度等等。还必须以法律标准来评估国家施加影响的能力，因为很明显，每个国家仅可在国际法允许的限度内采取行动。例如，一国施加影响的能力，可能视其对面临灭绝种族危险的境况和个人或灭绝种族的现实情况所持的具体法律立场而不同。另一方面，涉及这种责任的国家会称，即便它采用了合理掌握的一切手段，也不足以防止灭绝种族罪的实施，但是否作出这种声称、甚至作出这种证明，都是不相干的。这一点除了通常难以证明外，对是否违反有关的行为义务来说是无关紧要的。而且如果若干国家联合作出努力，每个国家都履行防止的义务，就可能达到仅凭一国之力难以产生的效果，也就是避免灭绝种族的发生。要是考虑到这种可能性，有关国家是否如此声称就更不无关紧要。”</w:t>
      </w:r>
      <w:r w:rsidRPr="00CC052C">
        <w:rPr>
          <w:rFonts w:hint="eastAsia"/>
          <w:w w:val="150"/>
          <w:vertAlign w:val="superscript"/>
        </w:rPr>
        <w:footnoteReference w:id="263"/>
      </w:r>
    </w:p>
    <w:p w:rsidR="007C3A88" w:rsidRPr="00CC052C" w:rsidRDefault="007C3A88" w:rsidP="007C3A88">
      <w:pPr>
        <w:pStyle w:val="SingleTxt"/>
      </w:pPr>
      <w:r w:rsidRPr="00CC052C">
        <w:rPr>
          <w:rFonts w:hint="eastAsia"/>
        </w:rPr>
        <w:lastRenderedPageBreak/>
        <w:t>同时，法院认为，“只有灭绝种族实际发生时，才能追究有关国家违反防止灭绝种族义务的责任”</w:t>
      </w:r>
      <w:r w:rsidRPr="00CC052C">
        <w:rPr>
          <w:rFonts w:hint="eastAsia"/>
          <w:w w:val="150"/>
          <w:vertAlign w:val="superscript"/>
        </w:rPr>
        <w:footnoteReference w:id="264"/>
      </w:r>
    </w:p>
    <w:p w:rsidR="007C3A88" w:rsidRPr="00CC052C" w:rsidRDefault="007C3A88" w:rsidP="007C3A88">
      <w:pPr>
        <w:pStyle w:val="SingleTxt"/>
      </w:pPr>
      <w:r w:rsidRPr="00CC052C">
        <w:rPr>
          <w:rFonts w:hint="eastAsia"/>
        </w:rPr>
        <w:t xml:space="preserve">(13)  </w:t>
      </w:r>
      <w:r w:rsidRPr="00CC052C">
        <w:rPr>
          <w:rFonts w:hint="eastAsia"/>
        </w:rPr>
        <w:t>第三，承上所述，第</w:t>
      </w:r>
      <w:r w:rsidRPr="00CC052C">
        <w:rPr>
          <w:rFonts w:hint="eastAsia"/>
        </w:rPr>
        <w:t>4</w:t>
      </w:r>
      <w:r w:rsidRPr="00CC052C">
        <w:rPr>
          <w:rFonts w:hint="eastAsia"/>
        </w:rPr>
        <w:t>条第</w:t>
      </w:r>
      <w:r w:rsidRPr="00CC052C">
        <w:rPr>
          <w:rFonts w:hint="eastAsia"/>
        </w:rPr>
        <w:t>1</w:t>
      </w:r>
      <w:r w:rsidRPr="00CC052C">
        <w:rPr>
          <w:rFonts w:hint="eastAsia"/>
        </w:rPr>
        <w:t>款草案规定的承诺使缔约国有义务积极推进并事先采取旨在帮助防止该罪行发生的措施，办法包括采取</w:t>
      </w:r>
      <w:r w:rsidRPr="00CC052C">
        <w:t>(a)</w:t>
      </w:r>
      <w:r w:rsidRPr="00CC052C">
        <w:rPr>
          <w:rFonts w:hint="eastAsia"/>
        </w:rPr>
        <w:t>项所述的“在其管辖或控制的任何领土内采取有效的立法、行政、司法或其他预防措施”。这一条文受到了《禁止酷刑公约》第</w:t>
      </w:r>
      <w:r w:rsidRPr="00CC052C">
        <w:rPr>
          <w:rFonts w:hint="eastAsia"/>
        </w:rPr>
        <w:t>2</w:t>
      </w:r>
      <w:r w:rsidRPr="00CC052C">
        <w:rPr>
          <w:rFonts w:hint="eastAsia"/>
        </w:rPr>
        <w:t>条第</w:t>
      </w:r>
      <w:r w:rsidRPr="00CC052C">
        <w:rPr>
          <w:rFonts w:hint="eastAsia"/>
        </w:rPr>
        <w:t>1</w:t>
      </w:r>
      <w:r w:rsidRPr="00CC052C">
        <w:rPr>
          <w:rFonts w:hint="eastAsia"/>
        </w:rPr>
        <w:t>款的启发，该条款规定：“每一缔约国应采取有效的立法、行政、司法或其他措施，防止在其管辖的任何领土内出现酷刑的行为。”</w:t>
      </w:r>
      <w:r w:rsidRPr="00CC052C">
        <w:rPr>
          <w:rFonts w:hint="eastAsia"/>
          <w:w w:val="150"/>
          <w:vertAlign w:val="superscript"/>
        </w:rPr>
        <w:footnoteReference w:id="265"/>
      </w:r>
    </w:p>
    <w:p w:rsidR="007C3A88" w:rsidRPr="00CC052C" w:rsidRDefault="007C3A88" w:rsidP="007C3A88">
      <w:pPr>
        <w:pStyle w:val="SingleTxt"/>
      </w:pPr>
      <w:r w:rsidRPr="00CC052C">
        <w:rPr>
          <w:rFonts w:hint="eastAsia"/>
        </w:rPr>
        <w:t xml:space="preserve">(14)  </w:t>
      </w:r>
      <w:r w:rsidRPr="00CC052C">
        <w:rPr>
          <w:rFonts w:hint="eastAsia"/>
        </w:rPr>
        <w:t>使用“其他预防措施”这一用语，而不是仅仅用“预防措施”，是为了强化本条款的相关措施仅仅是为了预防这一点。“有效”一词意味着国家应保持其已经采取的相关措施，并在这些措施有缺陷的情况下应通过更有效的措施加以改进。禁止酷刑委员会在关于《禁止酷刑公约》所载类似条款的意见中说：</w:t>
      </w:r>
    </w:p>
    <w:p w:rsidR="007C3A88" w:rsidRPr="00CC052C" w:rsidRDefault="007C3A88" w:rsidP="007C3A88">
      <w:pPr>
        <w:pStyle w:val="SingleTxt"/>
        <w:ind w:left="1695"/>
      </w:pPr>
      <w:r w:rsidRPr="00CC052C">
        <w:rPr>
          <w:rFonts w:hint="eastAsia"/>
        </w:rPr>
        <w:tab/>
      </w:r>
      <w:r w:rsidRPr="00CC052C">
        <w:rPr>
          <w:rFonts w:hint="eastAsia"/>
        </w:rPr>
        <w:t>“缔约国有义务消除任何阻碍根除酷刑和虐待的法律或其他障碍，并有义务采取积极有效措施，确保有效防止此类行为的发生和重演。缔约国还有义务不断审查其本国法律和执行《公约》的情况，并按照委员会就个别来文通过的意见和结论性意见加以改进。如果缔约国采取的措施未能实现杜绝酷刑行为这一目标，则按照《公约》的要求，缔约国须作出改进和</w:t>
      </w:r>
      <w:r w:rsidRPr="00CC052C">
        <w:rPr>
          <w:rFonts w:hint="eastAsia"/>
        </w:rPr>
        <w:t>/</w:t>
      </w:r>
      <w:r w:rsidRPr="00CC052C">
        <w:rPr>
          <w:rFonts w:hint="eastAsia"/>
        </w:rPr>
        <w:t>或采取新的、更为有效的措施。”</w:t>
      </w:r>
      <w:r w:rsidRPr="00CC052C">
        <w:rPr>
          <w:rFonts w:hint="eastAsia"/>
          <w:w w:val="150"/>
          <w:vertAlign w:val="superscript"/>
        </w:rPr>
        <w:footnoteReference w:id="266"/>
      </w:r>
    </w:p>
    <w:p w:rsidR="007C3A88" w:rsidRPr="00CC052C" w:rsidRDefault="007C3A88" w:rsidP="007C3A88">
      <w:pPr>
        <w:pStyle w:val="SingleTxt"/>
      </w:pPr>
      <w:r w:rsidRPr="00CC052C">
        <w:rPr>
          <w:rFonts w:hint="eastAsia"/>
          <w:lang w:val="en-GB"/>
        </w:rPr>
        <w:t xml:space="preserve">(15)  </w:t>
      </w:r>
      <w:r w:rsidRPr="00CC052C">
        <w:rPr>
          <w:rFonts w:hint="eastAsia"/>
          <w:lang w:val="en-GB"/>
        </w:rPr>
        <w:t>至于国家应努力采取哪些具体类别的措施，联合国人权理事会于</w:t>
      </w:r>
      <w:r w:rsidRPr="00CC052C">
        <w:rPr>
          <w:rFonts w:hint="eastAsia"/>
          <w:lang w:val="en-GB"/>
        </w:rPr>
        <w:t>2015</w:t>
      </w:r>
      <w:r w:rsidRPr="00CC052C">
        <w:rPr>
          <w:rFonts w:hint="eastAsia"/>
          <w:lang w:val="en-GB"/>
        </w:rPr>
        <w:t>年通过了一份关于防止种族灭绝的决议</w:t>
      </w:r>
      <w:r w:rsidRPr="00CC052C">
        <w:rPr>
          <w:rFonts w:hint="eastAsia"/>
          <w:w w:val="150"/>
          <w:vertAlign w:val="superscript"/>
        </w:rPr>
        <w:footnoteReference w:id="267"/>
      </w:r>
      <w:r w:rsidRPr="00CC052C">
        <w:rPr>
          <w:rFonts w:hint="eastAsia"/>
          <w:lang w:val="en-GB"/>
        </w:rPr>
        <w:t>，使得人们能够有所了解为履行《灭绝种族罪公约》第一条而应采取何种措施。该决议：</w:t>
      </w:r>
      <w:r w:rsidRPr="00CC052C">
        <w:t>(1)</w:t>
      </w:r>
      <w:r w:rsidRPr="00CC052C">
        <w:rPr>
          <w:rFonts w:hint="eastAsia"/>
        </w:rPr>
        <w:t xml:space="preserve"> </w:t>
      </w:r>
      <w:r w:rsidRPr="00CC052C">
        <w:rPr>
          <w:rFonts w:hint="eastAsia"/>
        </w:rPr>
        <w:t>重申“每个国家有责任通过适当和必要</w:t>
      </w:r>
      <w:r w:rsidRPr="00CE3AB4">
        <w:rPr>
          <w:rFonts w:hint="eastAsia"/>
          <w:spacing w:val="6"/>
        </w:rPr>
        <w:t>的手段保护其人民免遭种族灭绝，这就意味着防止此种罪行，包括防止煽动灭绝种族”；</w:t>
      </w:r>
      <w:r w:rsidRPr="00CE3AB4">
        <w:rPr>
          <w:rFonts w:hint="eastAsia"/>
          <w:spacing w:val="6"/>
          <w:w w:val="150"/>
          <w:vertAlign w:val="superscript"/>
        </w:rPr>
        <w:footnoteReference w:id="268"/>
      </w:r>
      <w:r w:rsidRPr="00CE3AB4">
        <w:rPr>
          <w:rFonts w:hint="eastAsia"/>
          <w:spacing w:val="6"/>
          <w:vertAlign w:val="superscript"/>
        </w:rPr>
        <w:t xml:space="preserve"> </w:t>
      </w:r>
      <w:r w:rsidRPr="00CC052C">
        <w:rPr>
          <w:rFonts w:hint="eastAsia"/>
        </w:rPr>
        <w:t xml:space="preserve">(2) </w:t>
      </w:r>
      <w:r w:rsidRPr="00CC052C">
        <w:rPr>
          <w:rFonts w:hint="eastAsia"/>
        </w:rPr>
        <w:t>鼓励“各会员国建立防止种族灭绝的能力，办法是培养个人专门技能和在政府内部设立适当单位，以加强预防工作”；</w:t>
      </w:r>
      <w:r w:rsidRPr="00CC052C">
        <w:rPr>
          <w:rFonts w:hint="eastAsia"/>
          <w:w w:val="150"/>
          <w:vertAlign w:val="superscript"/>
        </w:rPr>
        <w:footnoteReference w:id="269"/>
      </w:r>
      <w:r w:rsidRPr="00CC052C">
        <w:rPr>
          <w:rFonts w:hint="eastAsia"/>
        </w:rPr>
        <w:t xml:space="preserve"> (3) </w:t>
      </w:r>
      <w:r w:rsidRPr="00CC052C">
        <w:rPr>
          <w:rFonts w:hint="eastAsia"/>
        </w:rPr>
        <w:t>鼓励“各国考虑指定关于防止灭绝种族罪的协调中心，以便在相互间并与防止灭绝种族问题特别顾问、联合国有关机构及区域和分区域机制进行合作并交流信息和最佳做法”。</w:t>
      </w:r>
      <w:r w:rsidRPr="00CC052C">
        <w:rPr>
          <w:rFonts w:hint="eastAsia"/>
          <w:w w:val="150"/>
          <w:vertAlign w:val="superscript"/>
        </w:rPr>
        <w:footnoteReference w:id="270"/>
      </w:r>
    </w:p>
    <w:p w:rsidR="007C3A88" w:rsidRPr="00CC052C" w:rsidRDefault="007C3A88" w:rsidP="007C3A88">
      <w:pPr>
        <w:pStyle w:val="SingleTxt"/>
        <w:spacing w:line="310" w:lineRule="exact"/>
      </w:pPr>
      <w:r w:rsidRPr="00FC5452">
        <w:rPr>
          <w:rFonts w:hint="eastAsia"/>
          <w:spacing w:val="4"/>
        </w:rPr>
        <w:t xml:space="preserve">(16)  </w:t>
      </w:r>
      <w:r w:rsidRPr="00FC5452">
        <w:rPr>
          <w:rFonts w:hint="eastAsia"/>
          <w:spacing w:val="4"/>
        </w:rPr>
        <w:t>从区域方面看，</w:t>
      </w:r>
      <w:r w:rsidRPr="00FC5452">
        <w:rPr>
          <w:rFonts w:hint="eastAsia"/>
          <w:spacing w:val="4"/>
        </w:rPr>
        <w:t>1950</w:t>
      </w:r>
      <w:r w:rsidRPr="00FC5452">
        <w:rPr>
          <w:rFonts w:hint="eastAsia"/>
          <w:spacing w:val="4"/>
        </w:rPr>
        <w:t>年</w:t>
      </w:r>
      <w:r w:rsidRPr="00FC5452">
        <w:rPr>
          <w:spacing w:val="4"/>
        </w:rPr>
        <w:t>《欧洲保护人权与基本自由公约》</w:t>
      </w:r>
      <w:r w:rsidRPr="00FC5452">
        <w:rPr>
          <w:rFonts w:hint="eastAsia"/>
          <w:spacing w:val="4"/>
          <w:w w:val="150"/>
          <w:vertAlign w:val="superscript"/>
        </w:rPr>
        <w:footnoteReference w:id="271"/>
      </w:r>
      <w:r w:rsidRPr="00FC5452">
        <w:rPr>
          <w:rFonts w:hint="eastAsia"/>
          <w:spacing w:val="4"/>
        </w:rPr>
        <w:t xml:space="preserve"> </w:t>
      </w:r>
      <w:r w:rsidRPr="00FC5452">
        <w:rPr>
          <w:rFonts w:hint="eastAsia"/>
          <w:spacing w:val="4"/>
        </w:rPr>
        <w:t>没有规定“防止”违反该《公约》的行为的明确义务，但欧洲人权法院将已作出解释，</w:t>
      </w:r>
      <w:r w:rsidRPr="00FC5452">
        <w:rPr>
          <w:spacing w:val="4"/>
        </w:rPr>
        <w:t>(</w:t>
      </w:r>
      <w:r w:rsidRPr="00FC5452">
        <w:rPr>
          <w:rFonts w:hint="eastAsia"/>
          <w:spacing w:val="4"/>
        </w:rPr>
        <w:t>关于</w:t>
      </w:r>
      <w:r w:rsidRPr="00FC5452">
        <w:rPr>
          <w:rFonts w:hint="eastAsia"/>
          <w:spacing w:val="4"/>
        </w:rPr>
        <w:lastRenderedPageBreak/>
        <w:t>生命权的</w:t>
      </w:r>
      <w:r w:rsidRPr="00FC5452">
        <w:rPr>
          <w:spacing w:val="4"/>
        </w:rPr>
        <w:t>)</w:t>
      </w:r>
      <w:r w:rsidRPr="00FC5452">
        <w:rPr>
          <w:rFonts w:hint="eastAsia"/>
          <w:spacing w:val="4"/>
        </w:rPr>
        <w:t>第</w:t>
      </w:r>
      <w:r w:rsidRPr="00FC5452">
        <w:rPr>
          <w:rFonts w:hint="eastAsia"/>
          <w:spacing w:val="4"/>
        </w:rPr>
        <w:t>2</w:t>
      </w:r>
      <w:r w:rsidRPr="00FC5452">
        <w:rPr>
          <w:rFonts w:hint="eastAsia"/>
          <w:spacing w:val="4"/>
        </w:rPr>
        <w:t>条第</w:t>
      </w:r>
      <w:r w:rsidRPr="00FC5452">
        <w:rPr>
          <w:rFonts w:hint="eastAsia"/>
          <w:spacing w:val="4"/>
        </w:rPr>
        <w:t>1</w:t>
      </w:r>
      <w:r w:rsidRPr="00FC5452">
        <w:rPr>
          <w:rFonts w:hint="eastAsia"/>
          <w:spacing w:val="4"/>
        </w:rPr>
        <w:t>款含有这一义务，并要求采取适当的防止措施，例如“订立适当的法律和行政框架来阻遏危害人身的罪行的发生，通过执法机关预防、打击及处罚违反此类条款的行为。”</w:t>
      </w:r>
      <w:r w:rsidRPr="00FC5452">
        <w:rPr>
          <w:rFonts w:hint="eastAsia"/>
          <w:spacing w:val="4"/>
          <w:w w:val="150"/>
          <w:vertAlign w:val="superscript"/>
        </w:rPr>
        <w:footnoteReference w:id="272"/>
      </w:r>
      <w:r w:rsidRPr="00FC5452">
        <w:rPr>
          <w:rFonts w:hint="eastAsia"/>
          <w:spacing w:val="4"/>
        </w:rPr>
        <w:t xml:space="preserve"> </w:t>
      </w:r>
      <w:r w:rsidRPr="00FC5452">
        <w:rPr>
          <w:rFonts w:hint="eastAsia"/>
          <w:spacing w:val="4"/>
        </w:rPr>
        <w:t>同时，法院确认缔约国在这方面的义务是有限的。</w:t>
      </w:r>
      <w:r w:rsidRPr="00FC5452">
        <w:rPr>
          <w:rFonts w:hint="eastAsia"/>
          <w:spacing w:val="2"/>
          <w:w w:val="150"/>
          <w:vertAlign w:val="superscript"/>
        </w:rPr>
        <w:footnoteReference w:id="273"/>
      </w:r>
      <w:r w:rsidRPr="00FC5452">
        <w:rPr>
          <w:rFonts w:hint="eastAsia"/>
          <w:spacing w:val="2"/>
        </w:rPr>
        <w:t xml:space="preserve"> </w:t>
      </w:r>
      <w:r w:rsidRPr="00CC052C">
        <w:rPr>
          <w:rFonts w:hint="eastAsia"/>
        </w:rPr>
        <w:t>同样，虽然</w:t>
      </w:r>
      <w:r w:rsidRPr="00CC052C">
        <w:rPr>
          <w:rFonts w:hint="eastAsia"/>
        </w:rPr>
        <w:t>1969</w:t>
      </w:r>
      <w:r w:rsidRPr="00CC052C">
        <w:rPr>
          <w:rFonts w:hint="eastAsia"/>
        </w:rPr>
        <w:t>年《</w:t>
      </w:r>
      <w:r w:rsidRPr="00CC052C">
        <w:t>美洲人权公约</w:t>
      </w:r>
      <w:r w:rsidRPr="00CC052C">
        <w:rPr>
          <w:rFonts w:hint="eastAsia"/>
        </w:rPr>
        <w:t>》</w:t>
      </w:r>
      <w:r w:rsidRPr="00CC052C">
        <w:rPr>
          <w:rFonts w:hint="eastAsia"/>
          <w:w w:val="150"/>
          <w:vertAlign w:val="superscript"/>
        </w:rPr>
        <w:footnoteReference w:id="274"/>
      </w:r>
      <w:r w:rsidRPr="00CC052C">
        <w:rPr>
          <w:rFonts w:hint="eastAsia"/>
        </w:rPr>
        <w:t xml:space="preserve"> </w:t>
      </w:r>
      <w:r w:rsidRPr="00CC052C">
        <w:rPr>
          <w:rFonts w:hint="eastAsia"/>
        </w:rPr>
        <w:t>未载有“防止”违反该《公约》的明确义务，但美洲人权法院在解释缔约国应“确保”该《公约》认可的各项权利得到自由且充分的行使的义务</w:t>
      </w:r>
      <w:r w:rsidRPr="00CC052C">
        <w:rPr>
          <w:rFonts w:hint="eastAsia"/>
          <w:w w:val="150"/>
          <w:vertAlign w:val="superscript"/>
        </w:rPr>
        <w:footnoteReference w:id="275"/>
      </w:r>
      <w:r w:rsidRPr="00CC052C">
        <w:rPr>
          <w:rFonts w:hint="eastAsia"/>
        </w:rPr>
        <w:t xml:space="preserve"> </w:t>
      </w:r>
      <w:r w:rsidRPr="00CC052C">
        <w:rPr>
          <w:rFonts w:hint="eastAsia"/>
        </w:rPr>
        <w:t>时认定，这一义务意味着缔约国有“预防的职责”，而这又要求缔约国采取某些步骤。法院说：“这一预防职责包括采取一切法律、政治、行政和文化手段，促进保护人权，确保任何侵犯行为均被视为非法行为，并当作非法行为来处理，因而可能导致对负责任者加以处罚，并产生对损害的受害者提供补偿的义务。此类措施不可能详细列出，因为它们因每个缔约国的法律和情况的不同而存在差异。”</w:t>
      </w:r>
      <w:bookmarkStart w:id="49" w:name="_Ref295994182"/>
      <w:r w:rsidRPr="00CC052C">
        <w:rPr>
          <w:rFonts w:hint="eastAsia"/>
          <w:w w:val="150"/>
          <w:vertAlign w:val="superscript"/>
        </w:rPr>
        <w:footnoteReference w:id="276"/>
      </w:r>
      <w:bookmarkEnd w:id="49"/>
      <w:r w:rsidRPr="00CC052C">
        <w:rPr>
          <w:rFonts w:hint="eastAsia"/>
        </w:rPr>
        <w:t xml:space="preserve"> </w:t>
      </w:r>
      <w:r w:rsidRPr="00CC052C">
        <w:rPr>
          <w:rFonts w:hint="eastAsia"/>
        </w:rPr>
        <w:t>法院也是依据类似的推理对</w:t>
      </w:r>
      <w:r w:rsidRPr="00CC052C">
        <w:rPr>
          <w:rFonts w:hint="eastAsia"/>
        </w:rPr>
        <w:t>19</w:t>
      </w:r>
      <w:r w:rsidRPr="00CC052C">
        <w:t>85</w:t>
      </w:r>
      <w:r w:rsidRPr="00CC052C">
        <w:rPr>
          <w:rFonts w:hint="eastAsia"/>
        </w:rPr>
        <w:t>年《美洲防止和惩处酷刑公约》第</w:t>
      </w:r>
      <w:r w:rsidRPr="00CC052C">
        <w:rPr>
          <w:rFonts w:hint="eastAsia"/>
        </w:rPr>
        <w:t>6</w:t>
      </w:r>
      <w:r w:rsidRPr="00CC052C">
        <w:rPr>
          <w:rFonts w:hint="eastAsia"/>
        </w:rPr>
        <w:t>条作出了解释。</w:t>
      </w:r>
      <w:r w:rsidRPr="00CC052C">
        <w:rPr>
          <w:rFonts w:hint="eastAsia"/>
          <w:w w:val="150"/>
          <w:vertAlign w:val="superscript"/>
        </w:rPr>
        <w:footnoteReference w:id="277"/>
      </w:r>
      <w:r w:rsidRPr="00CC052C">
        <w:rPr>
          <w:rFonts w:hint="eastAsia"/>
        </w:rPr>
        <w:t xml:space="preserve"> </w:t>
      </w:r>
    </w:p>
    <w:p w:rsidR="007C3A88" w:rsidRPr="00CC052C" w:rsidRDefault="007C3A88" w:rsidP="007C3A88">
      <w:pPr>
        <w:pStyle w:val="SingleTxt"/>
        <w:spacing w:line="310" w:lineRule="exact"/>
      </w:pPr>
      <w:r w:rsidRPr="00CC052C">
        <w:rPr>
          <w:rFonts w:hint="eastAsia"/>
        </w:rPr>
        <w:t xml:space="preserve">(17)  </w:t>
      </w:r>
      <w:r w:rsidRPr="00CC052C">
        <w:rPr>
          <w:rFonts w:hint="eastAsia"/>
        </w:rPr>
        <w:t>因此，任何具体国家对危害人类罪应采取的具体预防措施取决于这些犯罪行为对该国构成的相关背景和风险。这一义务通常要求国家至少：</w:t>
      </w:r>
      <w:r w:rsidRPr="00CC052C">
        <w:t>(1)</w:t>
      </w:r>
      <w:r w:rsidRPr="00CC052C">
        <w:rPr>
          <w:rFonts w:hint="eastAsia"/>
        </w:rPr>
        <w:t xml:space="preserve"> </w:t>
      </w:r>
      <w:r w:rsidRPr="00CC052C">
        <w:rPr>
          <w:rFonts w:hint="eastAsia"/>
        </w:rPr>
        <w:t>制定必要的国家法律和政策，培养人们对此类行为犯罪性质的认识，促使提早发现此类行为发生的风险；</w:t>
      </w:r>
      <w:r w:rsidRPr="00CC052C">
        <w:t>(2)</w:t>
      </w:r>
      <w:r w:rsidRPr="00CC052C">
        <w:rPr>
          <w:rFonts w:hint="eastAsia"/>
        </w:rPr>
        <w:t xml:space="preserve"> </w:t>
      </w:r>
      <w:r w:rsidRPr="00CC052C">
        <w:rPr>
          <w:rFonts w:hint="eastAsia"/>
        </w:rPr>
        <w:t>不断审查这些法律和政策并作出必要改进；</w:t>
      </w:r>
      <w:r w:rsidRPr="00CC052C">
        <w:t>(3)</w:t>
      </w:r>
      <w:r w:rsidRPr="00CC052C">
        <w:rPr>
          <w:rFonts w:hint="eastAsia"/>
        </w:rPr>
        <w:t xml:space="preserve"> </w:t>
      </w:r>
      <w:r w:rsidRPr="00CC052C">
        <w:rPr>
          <w:rFonts w:hint="eastAsia"/>
        </w:rPr>
        <w:t>就相关条约制度下国家的义务对政府官员进行教育；</w:t>
      </w:r>
      <w:r w:rsidRPr="00CC052C">
        <w:t>(4)</w:t>
      </w:r>
      <w:r w:rsidRPr="00CC052C">
        <w:rPr>
          <w:rFonts w:hint="eastAsia"/>
        </w:rPr>
        <w:t xml:space="preserve"> </w:t>
      </w:r>
      <w:r w:rsidRPr="00CC052C">
        <w:rPr>
          <w:rFonts w:hint="eastAsia"/>
        </w:rPr>
        <w:t>对警察、军队、民兵和其他相关人员开展必要的培训项目，从而帮助预防危害人类罪的发生；</w:t>
      </w:r>
      <w:r w:rsidRPr="00CC052C">
        <w:t>(5)</w:t>
      </w:r>
      <w:r w:rsidRPr="00CC052C">
        <w:rPr>
          <w:rFonts w:hint="eastAsia"/>
        </w:rPr>
        <w:t xml:space="preserve"> </w:t>
      </w:r>
      <w:r w:rsidRPr="00CC052C">
        <w:rPr>
          <w:rFonts w:hint="eastAsia"/>
        </w:rPr>
        <w:t>一旦违禁行为发生，即本着诚意履行关于调查</w:t>
      </w:r>
      <w:r w:rsidRPr="00CE3AB4">
        <w:rPr>
          <w:rFonts w:hint="eastAsia"/>
          <w:spacing w:val="6"/>
        </w:rPr>
        <w:t>并起诉或引渡行为人的其他义务，因为这样做在一定程度上可</w:t>
      </w:r>
      <w:r w:rsidRPr="00CE3AB4">
        <w:rPr>
          <w:rFonts w:hint="eastAsia"/>
          <w:spacing w:val="6"/>
        </w:rPr>
        <w:lastRenderedPageBreak/>
        <w:t>以遏制他人今后的行为。</w:t>
      </w:r>
      <w:r w:rsidRPr="00CE3AB4">
        <w:rPr>
          <w:rFonts w:hint="eastAsia"/>
          <w:spacing w:val="6"/>
          <w:w w:val="150"/>
          <w:vertAlign w:val="superscript"/>
        </w:rPr>
        <w:footnoteReference w:id="278"/>
      </w:r>
      <w:r w:rsidRPr="00CE3AB4">
        <w:rPr>
          <w:rFonts w:hint="eastAsia"/>
          <w:spacing w:val="6"/>
        </w:rPr>
        <w:t xml:space="preserve"> </w:t>
      </w:r>
      <w:r w:rsidRPr="00CC052C">
        <w:rPr>
          <w:rFonts w:hint="eastAsia"/>
        </w:rPr>
        <w:t>某些措施，例如培训计划等，可能在该国已经存在，用以防止与危害人类罪有关的不法行为</w:t>
      </w:r>
      <w:r>
        <w:rPr>
          <w:rFonts w:hint="eastAsia"/>
        </w:rPr>
        <w:t>(</w:t>
      </w:r>
      <w:r w:rsidRPr="00CC052C">
        <w:rPr>
          <w:rFonts w:hint="eastAsia"/>
        </w:rPr>
        <w:t>诸如谋杀、酷刑、强奸等</w:t>
      </w:r>
      <w:r>
        <w:rPr>
          <w:rFonts w:hint="eastAsia"/>
        </w:rPr>
        <w:t>)</w:t>
      </w:r>
      <w:r w:rsidRPr="00CC052C">
        <w:rPr>
          <w:rFonts w:hint="eastAsia"/>
        </w:rPr>
        <w:t>。该国有义务视必要对那些措施加以补充，专门防止危害人类罪的发生。在这里，如果缔约国没有视需要和情况尽最大努力动用政府和行政机器尽量防止危害人类罪的发生，也会产生国家的国际责任。</w:t>
      </w:r>
    </w:p>
    <w:p w:rsidR="007C3A88" w:rsidRPr="00CC052C" w:rsidRDefault="007C3A88" w:rsidP="007C3A88">
      <w:pPr>
        <w:pStyle w:val="SingleTxt"/>
      </w:pPr>
      <w:r w:rsidRPr="00CC052C">
        <w:rPr>
          <w:rFonts w:hint="eastAsia"/>
        </w:rPr>
        <w:t xml:space="preserve">(18)  </w:t>
      </w:r>
      <w:r w:rsidRPr="00CC052C">
        <w:rPr>
          <w:rFonts w:hint="eastAsia"/>
        </w:rPr>
        <w:t>第</w:t>
      </w:r>
      <w:r w:rsidRPr="00CC052C">
        <w:rPr>
          <w:rFonts w:hint="eastAsia"/>
        </w:rPr>
        <w:t>4</w:t>
      </w:r>
      <w:r w:rsidRPr="00CC052C">
        <w:rPr>
          <w:rFonts w:hint="eastAsia"/>
        </w:rPr>
        <w:t>条第</w:t>
      </w:r>
      <w:r w:rsidRPr="00CC052C">
        <w:rPr>
          <w:rFonts w:hint="eastAsia"/>
        </w:rPr>
        <w:t>1</w:t>
      </w:r>
      <w:r w:rsidRPr="00CC052C">
        <w:rPr>
          <w:rFonts w:hint="eastAsia"/>
        </w:rPr>
        <w:t>款</w:t>
      </w:r>
      <w:r w:rsidRPr="00CC052C">
        <w:t>(a)</w:t>
      </w:r>
      <w:r w:rsidRPr="00CC052C">
        <w:rPr>
          <w:rFonts w:hint="eastAsia"/>
        </w:rPr>
        <w:t>项草案提到国家应“在其管辖或控制的任何领土内”采取有效的立法、行政、司法或其他预防措施。应该用与委员会之前在讨论其他背景下的防止问题</w:t>
      </w:r>
      <w:r w:rsidRPr="00CC052C">
        <w:t>(</w:t>
      </w:r>
      <w:r w:rsidRPr="00CC052C">
        <w:rPr>
          <w:rFonts w:hint="eastAsia"/>
        </w:rPr>
        <w:t>如防止损害环境</w:t>
      </w:r>
      <w:r w:rsidRPr="00CC052C">
        <w:t>)</w:t>
      </w:r>
      <w:r w:rsidRPr="00CC052C">
        <w:rPr>
          <w:rFonts w:hint="eastAsia"/>
        </w:rPr>
        <w:t>时所用的相同方式理解这种表述。</w:t>
      </w:r>
      <w:r w:rsidRPr="00CC052C">
        <w:rPr>
          <w:rFonts w:hint="eastAsia"/>
          <w:w w:val="150"/>
          <w:vertAlign w:val="superscript"/>
        </w:rPr>
        <w:footnoteReference w:id="279"/>
      </w:r>
      <w:r w:rsidRPr="00CC052C">
        <w:rPr>
          <w:rFonts w:hint="eastAsia"/>
        </w:rPr>
        <w:t xml:space="preserve"> </w:t>
      </w:r>
      <w:r w:rsidRPr="00CC052C">
        <w:rPr>
          <w:rFonts w:hint="eastAsia"/>
        </w:rPr>
        <w:t>这种表述方式不仅涵盖一国的领土，也涵盖在该国控制下的其他领土上开展的活动。委员会以前是这样解释的：</w:t>
      </w:r>
    </w:p>
    <w:p w:rsidR="007C3A88" w:rsidRPr="00CC052C" w:rsidRDefault="007C3A88" w:rsidP="007C3A88">
      <w:pPr>
        <w:pStyle w:val="SingleTxt"/>
        <w:ind w:left="1695"/>
      </w:pPr>
      <w:r w:rsidRPr="00CC052C">
        <w:rPr>
          <w:rFonts w:hint="eastAsia"/>
        </w:rPr>
        <w:tab/>
      </w:r>
      <w:r w:rsidRPr="00CC052C">
        <w:rPr>
          <w:rFonts w:hint="eastAsia"/>
        </w:rPr>
        <w:t>“这涵盖一国即便没有法律上的管辖权但却行使事实上的管辖权的情况，例如非法干涉、占领和非法吞并。在这一方面可以参照国际法院在纳米比亚案中提出的咨询意见。在这份咨询意见中，法院判定南非对于产生并维持被法院宣布为非法的一种状况应负责任，并认定南非有义务从纳米比亚撤销其政府，但仍认为南非对纳米比亚的事实上的控制产生了某些法律后果。”</w:t>
      </w:r>
      <w:r w:rsidRPr="00CC052C">
        <w:rPr>
          <w:rFonts w:hint="eastAsia"/>
          <w:w w:val="150"/>
          <w:vertAlign w:val="superscript"/>
        </w:rPr>
        <w:footnoteReference w:id="280"/>
      </w:r>
    </w:p>
    <w:p w:rsidR="007C3A88" w:rsidRPr="00CC052C" w:rsidRDefault="007C3A88" w:rsidP="007C3A88">
      <w:pPr>
        <w:pStyle w:val="SingleTxt"/>
      </w:pPr>
      <w:r w:rsidRPr="00CC052C">
        <w:rPr>
          <w:rFonts w:hint="eastAsia"/>
        </w:rPr>
        <w:t xml:space="preserve">(19)  </w:t>
      </w:r>
      <w:r w:rsidRPr="00CC052C">
        <w:rPr>
          <w:rFonts w:hint="eastAsia"/>
        </w:rPr>
        <w:t>第四，国家做出第</w:t>
      </w:r>
      <w:r w:rsidRPr="00CC052C">
        <w:rPr>
          <w:rFonts w:hint="eastAsia"/>
        </w:rPr>
        <w:t>4</w:t>
      </w:r>
      <w:r w:rsidRPr="00CC052C">
        <w:rPr>
          <w:rFonts w:hint="eastAsia"/>
        </w:rPr>
        <w:t>条第</w:t>
      </w:r>
      <w:r w:rsidRPr="00CC052C">
        <w:rPr>
          <w:rFonts w:hint="eastAsia"/>
        </w:rPr>
        <w:t>1</w:t>
      </w:r>
      <w:r w:rsidRPr="00CC052C">
        <w:rPr>
          <w:rFonts w:hint="eastAsia"/>
        </w:rPr>
        <w:t>款草案规定的承诺，便有义务彼此间以及与联合国、</w:t>
      </w:r>
      <w:r w:rsidRPr="00CC052C">
        <w:t>红十字国际委员会</w:t>
      </w:r>
      <w:r w:rsidRPr="00CC052C">
        <w:rPr>
          <w:rFonts w:hint="eastAsia"/>
        </w:rPr>
        <w:t>和</w:t>
      </w:r>
      <w:r w:rsidRPr="00CC052C">
        <w:t>红十字会与红新月会国际联合会</w:t>
      </w:r>
      <w:r w:rsidRPr="00CC052C">
        <w:rPr>
          <w:rFonts w:hint="eastAsia"/>
        </w:rPr>
        <w:t>等组织开展某些形式的合</w:t>
      </w:r>
      <w:r w:rsidRPr="008940CB">
        <w:rPr>
          <w:rFonts w:hint="eastAsia"/>
          <w:spacing w:val="-4"/>
        </w:rPr>
        <w:t>作。各国合作防止危害人类罪的义务第一次出现在《联合国宪章》第一条第三款中：</w:t>
      </w:r>
      <w:r w:rsidRPr="008940CB">
        <w:rPr>
          <w:rFonts w:hint="eastAsia"/>
          <w:spacing w:val="-4"/>
          <w:w w:val="150"/>
          <w:vertAlign w:val="superscript"/>
        </w:rPr>
        <w:footnoteReference w:id="281"/>
      </w:r>
      <w:r w:rsidRPr="00CC052C">
        <w:rPr>
          <w:rFonts w:hint="eastAsia"/>
        </w:rPr>
        <w:t>《宪章》的宗旨之一是“</w:t>
      </w:r>
      <w:r w:rsidRPr="00CC052C">
        <w:t>促成国际合作，以解决国际间属于</w:t>
      </w:r>
      <w:r w:rsidRPr="00CC052C">
        <w:rPr>
          <w:rFonts w:hint="eastAsia"/>
        </w:rPr>
        <w:t>……</w:t>
      </w:r>
      <w:r w:rsidRPr="00CC052C">
        <w:t>人类福利性质之国际问题，且</w:t>
      </w:r>
      <w:r w:rsidRPr="00CC052C">
        <w:rPr>
          <w:rFonts w:hint="eastAsia"/>
        </w:rPr>
        <w:t>……</w:t>
      </w:r>
      <w:r w:rsidRPr="00CC052C">
        <w:t>增进并激励对于全体人类之人权及基本自由之尊重。</w:t>
      </w:r>
      <w:r w:rsidRPr="00CC052C">
        <w:rPr>
          <w:rFonts w:hint="eastAsia"/>
        </w:rPr>
        <w:t>”此外，在《宪章》第五十五和第五十六条中，联合国所有会员国担允“</w:t>
      </w:r>
      <w:r w:rsidRPr="00CC052C">
        <w:t>采取共同及个别行动与本组织合作，以达成</w:t>
      </w:r>
      <w:r w:rsidRPr="00CC052C">
        <w:rPr>
          <w:rFonts w:hint="eastAsia"/>
        </w:rPr>
        <w:t>”某些宗旨，包括“</w:t>
      </w:r>
      <w:r w:rsidRPr="00CC052C">
        <w:t>全体人类之人权及基本自由之普遍尊重与遵守</w:t>
      </w:r>
      <w:r w:rsidRPr="00CC052C">
        <w:rPr>
          <w:rFonts w:hint="eastAsia"/>
        </w:rPr>
        <w:t>……”。在具体防止危害人类罪的方面，联合国大会在</w:t>
      </w:r>
      <w:r w:rsidRPr="00CC052C">
        <w:rPr>
          <w:rFonts w:hint="eastAsia"/>
        </w:rPr>
        <w:t>1973</w:t>
      </w:r>
      <w:r w:rsidRPr="00CC052C">
        <w:rPr>
          <w:rFonts w:hint="eastAsia"/>
        </w:rPr>
        <w:t>年《</w:t>
      </w:r>
      <w:r w:rsidRPr="00CC052C">
        <w:t>关于侦察、逮捕、</w:t>
      </w:r>
      <w:r w:rsidRPr="00CC052C">
        <w:lastRenderedPageBreak/>
        <w:t>引渡和惩治战争罪犯和危害人类罪犯的国际合作原则</w:t>
      </w:r>
      <w:r w:rsidRPr="00CC052C">
        <w:rPr>
          <w:rFonts w:hint="eastAsia"/>
        </w:rPr>
        <w:t>》中承认，为了防止实施战争罪和危害人类罪而应开展国家间合作、采取国家间行动的一般义务。除其他事项外，大会宣布“</w:t>
      </w:r>
      <w:r w:rsidRPr="00CC052C">
        <w:t>各国应在双边和多边基础上相互合作，以期制止并防止战争罪和危害人类罪，并为此目的，采取必要的国内和国际措施。</w:t>
      </w:r>
      <w:r w:rsidRPr="00CC052C">
        <w:rPr>
          <w:rFonts w:hint="eastAsia"/>
        </w:rPr>
        <w:t>”</w:t>
      </w:r>
      <w:r w:rsidRPr="00CC052C">
        <w:rPr>
          <w:rFonts w:hint="eastAsia"/>
          <w:w w:val="150"/>
          <w:vertAlign w:val="superscript"/>
        </w:rPr>
        <w:footnoteReference w:id="282"/>
      </w:r>
      <w:r w:rsidRPr="00CC052C">
        <w:rPr>
          <w:rFonts w:hint="eastAsia"/>
        </w:rPr>
        <w:t xml:space="preserve"> </w:t>
      </w:r>
    </w:p>
    <w:p w:rsidR="007C3A88" w:rsidRPr="00CC052C" w:rsidRDefault="007C3A88" w:rsidP="007C3A88">
      <w:pPr>
        <w:pStyle w:val="SingleTxt"/>
      </w:pPr>
      <w:r w:rsidRPr="00CC052C">
        <w:rPr>
          <w:rFonts w:hint="eastAsia"/>
        </w:rPr>
        <w:t xml:space="preserve">(20)  </w:t>
      </w:r>
      <w:r w:rsidRPr="00CC052C">
        <w:rPr>
          <w:rFonts w:hint="eastAsia"/>
        </w:rPr>
        <w:t>因此，第</w:t>
      </w:r>
      <w:r w:rsidRPr="00CC052C">
        <w:rPr>
          <w:rFonts w:hint="eastAsia"/>
        </w:rPr>
        <w:t>4</w:t>
      </w:r>
      <w:r w:rsidRPr="00CC052C">
        <w:rPr>
          <w:rFonts w:hint="eastAsia"/>
        </w:rPr>
        <w:t>条</w:t>
      </w:r>
      <w:r w:rsidRPr="00CC052C">
        <w:t>(b)</w:t>
      </w:r>
      <w:r w:rsidRPr="00CC052C">
        <w:rPr>
          <w:rFonts w:hint="eastAsia"/>
        </w:rPr>
        <w:t>项草案写明各国应互相合作防止危害人类罪，并与有关政府间组织合作。“有关”一词意在表明与任何特定政府间组织的合作将取决于该组织的职能、国家与该组织的关系、需要开展合作的背景，等等。</w:t>
      </w:r>
      <w:r w:rsidRPr="00CC052C">
        <w:t>(b)</w:t>
      </w:r>
      <w:r w:rsidRPr="00CC052C">
        <w:rPr>
          <w:rFonts w:hint="eastAsia"/>
        </w:rPr>
        <w:t>项还规定各国应酌情与其他组织合作。这些组织包括可以在具体国家防止危害人类罪中发挥重要作用的非政府组织。使用“酌情”一词是为了表明合作义务在本质上取决于具体情况，而且对这些组织的适用程度不同于对国家和相关政府间组织的适用程度。</w:t>
      </w:r>
    </w:p>
    <w:p w:rsidR="007C3A88" w:rsidRPr="00CC052C" w:rsidRDefault="007C3A88" w:rsidP="007C3A88">
      <w:pPr>
        <w:pStyle w:val="SingleTxt"/>
      </w:pPr>
      <w:r w:rsidRPr="00CC052C">
        <w:rPr>
          <w:rFonts w:hint="eastAsia"/>
        </w:rPr>
        <w:t xml:space="preserve">(21)  </w:t>
      </w:r>
      <w:r w:rsidRPr="00CC052C">
        <w:rPr>
          <w:rFonts w:hint="eastAsia"/>
        </w:rPr>
        <w:t>第</w:t>
      </w:r>
      <w:r w:rsidRPr="00CC052C">
        <w:rPr>
          <w:rFonts w:hint="eastAsia"/>
        </w:rPr>
        <w:t>4</w:t>
      </w:r>
      <w:r w:rsidRPr="00CC052C">
        <w:rPr>
          <w:rFonts w:hint="eastAsia"/>
        </w:rPr>
        <w:t>条第</w:t>
      </w:r>
      <w:r w:rsidRPr="00CC052C">
        <w:rPr>
          <w:rFonts w:hint="eastAsia"/>
        </w:rPr>
        <w:t>2</w:t>
      </w:r>
      <w:r w:rsidRPr="00CC052C">
        <w:rPr>
          <w:rFonts w:hint="eastAsia"/>
        </w:rPr>
        <w:t>款草案写明，任何情况均不得用来作为危害人类罪的辩护理由。这段文字受到了《禁止酷刑公约》第</w:t>
      </w:r>
      <w:r w:rsidRPr="00CC052C">
        <w:rPr>
          <w:rFonts w:hint="eastAsia"/>
        </w:rPr>
        <w:t>2</w:t>
      </w:r>
      <w:r w:rsidRPr="00CC052C">
        <w:rPr>
          <w:rFonts w:hint="eastAsia"/>
        </w:rPr>
        <w:t>条第</w:t>
      </w:r>
      <w:r w:rsidRPr="00CC052C">
        <w:rPr>
          <w:rFonts w:hint="eastAsia"/>
        </w:rPr>
        <w:t>2</w:t>
      </w:r>
      <w:r w:rsidRPr="00CC052C">
        <w:rPr>
          <w:rFonts w:hint="eastAsia"/>
        </w:rPr>
        <w:t>款的启发，</w:t>
      </w:r>
      <w:r w:rsidRPr="00CC052C">
        <w:rPr>
          <w:rFonts w:hint="eastAsia"/>
          <w:w w:val="150"/>
          <w:vertAlign w:val="superscript"/>
        </w:rPr>
        <w:footnoteReference w:id="283"/>
      </w:r>
      <w:r w:rsidRPr="00CC052C">
        <w:rPr>
          <w:rFonts w:hint="eastAsia"/>
        </w:rPr>
        <w:t xml:space="preserve"> </w:t>
      </w:r>
      <w:r w:rsidRPr="00CC052C">
        <w:rPr>
          <w:rFonts w:hint="eastAsia"/>
        </w:rPr>
        <w:t>但有所微调，以便更好地切合危害人类罪的上下文。如第</w:t>
      </w:r>
      <w:r w:rsidRPr="00CC052C">
        <w:rPr>
          <w:rFonts w:hint="eastAsia"/>
        </w:rPr>
        <w:t>2</w:t>
      </w:r>
      <w:r w:rsidRPr="00CC052C">
        <w:rPr>
          <w:rFonts w:hint="eastAsia"/>
        </w:rPr>
        <w:t>条草案一样，用“武装冲突”一语取代了“战争状态或战争威胁”的表述。另外，用“诸如”一词是为了强调所举例子并非详尽无遗。</w:t>
      </w:r>
    </w:p>
    <w:p w:rsidR="007C3A88" w:rsidRPr="00CC052C" w:rsidRDefault="007C3A88" w:rsidP="007C3A88">
      <w:pPr>
        <w:pStyle w:val="SingleTxt"/>
      </w:pPr>
      <w:r w:rsidRPr="00CC052C">
        <w:rPr>
          <w:rFonts w:hint="eastAsia"/>
        </w:rPr>
        <w:t xml:space="preserve">(22)  </w:t>
      </w:r>
      <w:r w:rsidRPr="00CC052C">
        <w:rPr>
          <w:rFonts w:hint="eastAsia"/>
        </w:rPr>
        <w:t>在全球或区域层面处理严重罪行的其他条约中可以找到相似的语言。例如，</w:t>
      </w:r>
      <w:r w:rsidRPr="00CC052C">
        <w:rPr>
          <w:rFonts w:hint="eastAsia"/>
        </w:rPr>
        <w:t>2006</w:t>
      </w:r>
      <w:r w:rsidRPr="00CC052C">
        <w:rPr>
          <w:rFonts w:hint="eastAsia"/>
        </w:rPr>
        <w:t>年《</w:t>
      </w:r>
      <w:r w:rsidRPr="00CC052C">
        <w:t>保护所有人免遭强迫失踪国际公约</w:t>
      </w:r>
      <w:r w:rsidRPr="00CC052C">
        <w:rPr>
          <w:rFonts w:hint="eastAsia"/>
        </w:rPr>
        <w:t>》第一条第二款</w:t>
      </w:r>
      <w:r w:rsidRPr="00CC052C">
        <w:rPr>
          <w:rFonts w:hint="eastAsia"/>
          <w:w w:val="150"/>
          <w:vertAlign w:val="superscript"/>
        </w:rPr>
        <w:footnoteReference w:id="284"/>
      </w:r>
      <w:r w:rsidRPr="00CC052C">
        <w:rPr>
          <w:rFonts w:hint="eastAsia"/>
        </w:rPr>
        <w:t>，以及</w:t>
      </w:r>
      <w:r w:rsidRPr="00CC052C">
        <w:rPr>
          <w:rFonts w:hint="eastAsia"/>
        </w:rPr>
        <w:t>1985</w:t>
      </w:r>
      <w:r w:rsidRPr="00CC052C">
        <w:rPr>
          <w:rFonts w:hint="eastAsia"/>
        </w:rPr>
        <w:t>年《</w:t>
      </w:r>
      <w:r w:rsidRPr="00CC052C">
        <w:t>美洲防止和惩处酷刑公约</w:t>
      </w:r>
      <w:r w:rsidRPr="00CC052C">
        <w:rPr>
          <w:rFonts w:hint="eastAsia"/>
        </w:rPr>
        <w:t>》第</w:t>
      </w:r>
      <w:r w:rsidRPr="00CC052C">
        <w:rPr>
          <w:rFonts w:hint="eastAsia"/>
        </w:rPr>
        <w:t>5</w:t>
      </w:r>
      <w:r w:rsidRPr="00CC052C">
        <w:rPr>
          <w:rFonts w:hint="eastAsia"/>
        </w:rPr>
        <w:t>条</w:t>
      </w:r>
      <w:r w:rsidRPr="00CC052C">
        <w:rPr>
          <w:rFonts w:hint="eastAsia"/>
          <w:w w:val="150"/>
          <w:vertAlign w:val="superscript"/>
        </w:rPr>
        <w:footnoteReference w:id="285"/>
      </w:r>
      <w:r w:rsidRPr="00CC052C">
        <w:rPr>
          <w:rFonts w:hint="eastAsia"/>
        </w:rPr>
        <w:t xml:space="preserve"> </w:t>
      </w:r>
      <w:r w:rsidRPr="00CC052C">
        <w:rPr>
          <w:rFonts w:hint="eastAsia"/>
        </w:rPr>
        <w:t>都载有类似语言。</w:t>
      </w:r>
    </w:p>
    <w:p w:rsidR="007C3A88" w:rsidRDefault="007C3A88" w:rsidP="007C3A88">
      <w:pPr>
        <w:pStyle w:val="SingleTxt"/>
      </w:pPr>
      <w:r w:rsidRPr="00CC052C">
        <w:rPr>
          <w:rFonts w:hint="eastAsia"/>
        </w:rPr>
        <w:t xml:space="preserve">(23)  </w:t>
      </w:r>
      <w:r w:rsidRPr="00CC052C">
        <w:rPr>
          <w:rFonts w:hint="eastAsia"/>
        </w:rPr>
        <w:t>在危害人类罪方面用这种表述方式的好处之一是，这种写法既可以指向国家行为方的行为，也可以指向非国家行为方的行为。同时，本款处理这一问题所联系的仅是预防的义务，而不是刑事诉讼中个人可用的辩护理由或是其他排除刑事责任的理由等，这些理由将在以后处理。</w:t>
      </w:r>
    </w:p>
    <w:p w:rsidR="007C3A88" w:rsidRDefault="007C3A88" w:rsidP="007C3A88">
      <w:pPr>
        <w:spacing w:line="240" w:lineRule="auto"/>
        <w:jc w:val="left"/>
      </w:pPr>
    </w:p>
    <w:p w:rsidR="00890C69" w:rsidRDefault="00890C69" w:rsidP="007C3A88">
      <w:pPr>
        <w:spacing w:line="240" w:lineRule="auto"/>
        <w:jc w:val="left"/>
        <w:rPr>
          <w:szCs w:val="21"/>
        </w:rPr>
      </w:pPr>
      <w:r>
        <w:rPr>
          <w:szCs w:val="21"/>
        </w:rPr>
        <w:br w:type="page"/>
      </w:r>
    </w:p>
    <w:p w:rsidR="00890C69" w:rsidRDefault="00890C69">
      <w:pPr>
        <w:spacing w:line="240" w:lineRule="auto"/>
        <w:jc w:val="left"/>
        <w:rPr>
          <w:szCs w:val="21"/>
        </w:rPr>
      </w:pPr>
    </w:p>
    <w:p w:rsidR="00632C9B" w:rsidRPr="00632C9B" w:rsidRDefault="00632C9B" w:rsidP="00632C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632C9B" w:rsidRDefault="00632C9B" w:rsidP="00632C9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632C9B">
        <w:rPr>
          <w:rFonts w:hint="eastAsia"/>
        </w:rPr>
        <w:t>第八章</w:t>
      </w:r>
      <w:r w:rsidRPr="00632C9B">
        <w:br/>
      </w:r>
      <w:r w:rsidRPr="00632C9B">
        <w:rPr>
          <w:rFonts w:hint="eastAsia"/>
        </w:rPr>
        <w:t>与条约解释相关的嗣后协定和嗣后惯例</w:t>
      </w:r>
    </w:p>
    <w:p w:rsidR="00632C9B" w:rsidRPr="00933E56"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632C9B"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A724F7"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724F7">
        <w:rPr>
          <w:rFonts w:hint="eastAsia"/>
        </w:rPr>
        <w:tab/>
      </w:r>
      <w:r w:rsidRPr="00A724F7">
        <w:t>A.</w:t>
      </w:r>
      <w:r w:rsidRPr="00A724F7">
        <w:rPr>
          <w:rFonts w:hint="eastAsia"/>
        </w:rPr>
        <w:tab/>
        <w:t>导言</w:t>
      </w:r>
    </w:p>
    <w:p w:rsidR="00632C9B" w:rsidRPr="00933E56" w:rsidRDefault="00632C9B" w:rsidP="00632C9B">
      <w:pPr>
        <w:pStyle w:val="SingleTxt"/>
        <w:spacing w:after="0" w:line="120" w:lineRule="exact"/>
        <w:rPr>
          <w:rFonts w:eastAsia="Calibri"/>
          <w:sz w:val="10"/>
          <w:szCs w:val="21"/>
        </w:rPr>
      </w:pPr>
    </w:p>
    <w:p w:rsidR="00632C9B" w:rsidRPr="00632C9B" w:rsidRDefault="00632C9B" w:rsidP="00632C9B">
      <w:pPr>
        <w:pStyle w:val="SingleTxt"/>
        <w:spacing w:after="0" w:line="120" w:lineRule="exact"/>
        <w:rPr>
          <w:rFonts w:eastAsia="Calibri"/>
          <w:sz w:val="10"/>
          <w:szCs w:val="21"/>
        </w:rPr>
      </w:pPr>
    </w:p>
    <w:p w:rsidR="00632C9B" w:rsidRPr="00A724F7" w:rsidRDefault="00632C9B" w:rsidP="00632C9B">
      <w:pPr>
        <w:pStyle w:val="SingleTxt"/>
        <w:rPr>
          <w:szCs w:val="21"/>
        </w:rPr>
      </w:pPr>
      <w:r w:rsidRPr="00A724F7">
        <w:rPr>
          <w:rFonts w:eastAsia="Calibri"/>
          <w:szCs w:val="21"/>
        </w:rPr>
        <w:t>1</w:t>
      </w:r>
      <w:r w:rsidRPr="00A724F7">
        <w:rPr>
          <w:rFonts w:eastAsia="Calibri" w:hint="eastAsia"/>
          <w:szCs w:val="21"/>
        </w:rPr>
        <w:t>18</w:t>
      </w:r>
      <w:r w:rsidRPr="00A724F7">
        <w:rPr>
          <w:rFonts w:eastAsia="Calibri"/>
          <w:szCs w:val="21"/>
        </w:rPr>
        <w:t>.</w:t>
      </w:r>
      <w:r>
        <w:rPr>
          <w:rFonts w:eastAsiaTheme="minorEastAsia" w:hint="eastAsia"/>
          <w:szCs w:val="21"/>
        </w:rPr>
        <w:t xml:space="preserve">  </w:t>
      </w:r>
      <w:r w:rsidRPr="00A724F7">
        <w:rPr>
          <w:rFonts w:hint="eastAsia"/>
          <w:szCs w:val="21"/>
        </w:rPr>
        <w:t>委员会第六十届会议</w:t>
      </w:r>
      <w:r w:rsidRPr="00A724F7">
        <w:rPr>
          <w:rFonts w:hint="eastAsia"/>
          <w:szCs w:val="21"/>
        </w:rPr>
        <w:t>(2008</w:t>
      </w:r>
      <w:r w:rsidRPr="00A724F7">
        <w:rPr>
          <w:rFonts w:hint="eastAsia"/>
          <w:szCs w:val="21"/>
        </w:rPr>
        <w:t>年</w:t>
      </w:r>
      <w:r w:rsidRPr="00A724F7">
        <w:rPr>
          <w:rFonts w:hint="eastAsia"/>
          <w:szCs w:val="21"/>
        </w:rPr>
        <w:t>)</w:t>
      </w:r>
      <w:r w:rsidRPr="00A724F7">
        <w:rPr>
          <w:rFonts w:hint="eastAsia"/>
          <w:szCs w:val="21"/>
        </w:rPr>
        <w:t>决定将“条约随时间演变”专题列入</w:t>
      </w:r>
      <w:r w:rsidRPr="00A724F7">
        <w:rPr>
          <w:szCs w:val="21"/>
        </w:rPr>
        <w:t>工作方案</w:t>
      </w:r>
      <w:r w:rsidRPr="00A724F7">
        <w:rPr>
          <w:rFonts w:hint="eastAsia"/>
          <w:szCs w:val="21"/>
        </w:rPr>
        <w:t>，并在第六十一届会议上设立一个关于该专题的研究组。</w:t>
      </w:r>
      <w:r w:rsidRPr="003F1277">
        <w:rPr>
          <w:rStyle w:val="a3"/>
          <w:rFonts w:eastAsia="Calibri"/>
          <w:color w:val="000000" w:themeColor="text1"/>
          <w:szCs w:val="21"/>
        </w:rPr>
        <w:footnoteReference w:id="286"/>
      </w:r>
      <w:r w:rsidRPr="00A724F7">
        <w:rPr>
          <w:rFonts w:hint="eastAsia"/>
          <w:szCs w:val="21"/>
        </w:rPr>
        <w:t xml:space="preserve"> </w:t>
      </w:r>
      <w:r w:rsidRPr="00A724F7">
        <w:rPr>
          <w:rFonts w:hint="eastAsia"/>
          <w:szCs w:val="21"/>
        </w:rPr>
        <w:t>委员会第六十一届会议</w:t>
      </w:r>
      <w:r w:rsidRPr="00A724F7">
        <w:rPr>
          <w:rFonts w:hint="eastAsia"/>
          <w:szCs w:val="21"/>
        </w:rPr>
        <w:t>(2009</w:t>
      </w:r>
      <w:r w:rsidRPr="00A724F7">
        <w:rPr>
          <w:rFonts w:hint="eastAsia"/>
          <w:szCs w:val="21"/>
        </w:rPr>
        <w:t>年</w:t>
      </w:r>
      <w:r w:rsidRPr="00A724F7">
        <w:rPr>
          <w:rFonts w:hint="eastAsia"/>
          <w:szCs w:val="21"/>
        </w:rPr>
        <w:t>)</w:t>
      </w:r>
      <w:r w:rsidRPr="00A724F7">
        <w:rPr>
          <w:rFonts w:hint="eastAsia"/>
          <w:szCs w:val="21"/>
        </w:rPr>
        <w:t>设立了条约随时间演变专题研究组，由格奥尔格·诺尔特先生担任主席。在该届会议上，研究组的讨论侧重于确定要涵盖的问题、研究组的工作方法和委员会关于该专题的工作可能产生的成果。</w:t>
      </w:r>
      <w:r w:rsidRPr="003F1277">
        <w:rPr>
          <w:rStyle w:val="a3"/>
          <w:rFonts w:eastAsia="Calibri"/>
          <w:color w:val="000000" w:themeColor="text1"/>
          <w:szCs w:val="21"/>
        </w:rPr>
        <w:footnoteReference w:id="287"/>
      </w:r>
    </w:p>
    <w:p w:rsidR="00632C9B" w:rsidRPr="00A724F7" w:rsidRDefault="00632C9B" w:rsidP="00632C9B">
      <w:pPr>
        <w:pStyle w:val="SingleTxt"/>
        <w:rPr>
          <w:szCs w:val="21"/>
        </w:rPr>
      </w:pPr>
      <w:r w:rsidRPr="00A724F7">
        <w:rPr>
          <w:rFonts w:hint="eastAsia"/>
          <w:szCs w:val="21"/>
        </w:rPr>
        <w:t>119</w:t>
      </w:r>
      <w:r w:rsidRPr="00A724F7">
        <w:rPr>
          <w:szCs w:val="21"/>
        </w:rPr>
        <w:t xml:space="preserve">. </w:t>
      </w:r>
      <w:r>
        <w:rPr>
          <w:rFonts w:hint="eastAsia"/>
          <w:szCs w:val="21"/>
        </w:rPr>
        <w:t xml:space="preserve"> </w:t>
      </w:r>
      <w:r w:rsidRPr="00A724F7">
        <w:rPr>
          <w:rFonts w:hint="eastAsia"/>
          <w:szCs w:val="21"/>
        </w:rPr>
        <w:t>从第六十二届至第六十四届会议</w:t>
      </w:r>
      <w:r w:rsidRPr="00A724F7">
        <w:rPr>
          <w:rFonts w:hint="eastAsia"/>
          <w:szCs w:val="21"/>
        </w:rPr>
        <w:t>(2010-2012</w:t>
      </w:r>
      <w:r w:rsidRPr="00A724F7">
        <w:rPr>
          <w:rFonts w:hint="eastAsia"/>
          <w:szCs w:val="21"/>
        </w:rPr>
        <w:t>年</w:t>
      </w:r>
      <w:r w:rsidRPr="00A724F7">
        <w:rPr>
          <w:rFonts w:hint="eastAsia"/>
          <w:szCs w:val="21"/>
        </w:rPr>
        <w:t>)</w:t>
      </w:r>
      <w:r w:rsidRPr="00A724F7">
        <w:rPr>
          <w:rFonts w:hint="eastAsia"/>
          <w:szCs w:val="21"/>
        </w:rPr>
        <w:t>，都重新组建了研究组，由格奥尔格·诺尔特先生任主席。</w:t>
      </w:r>
      <w:r w:rsidRPr="00A724F7">
        <w:rPr>
          <w:rFonts w:ascii="宋体" w:hAnsi="宋体" w:cs="宋体" w:hint="eastAsia"/>
          <w:szCs w:val="21"/>
        </w:rPr>
        <w:t>研究组审查了研究组主席非正式提交的三份报告，这些报告分别讨论了国际法院和具有特别管辖权的仲裁法庭的相关判例</w:t>
      </w:r>
      <w:r w:rsidRPr="00A724F7">
        <w:rPr>
          <w:rFonts w:hint="eastAsia"/>
          <w:szCs w:val="21"/>
        </w:rPr>
        <w:t>；</w:t>
      </w:r>
      <w:r w:rsidRPr="003F1277">
        <w:rPr>
          <w:rStyle w:val="a3"/>
          <w:color w:val="000000" w:themeColor="text1"/>
          <w:szCs w:val="21"/>
        </w:rPr>
        <w:footnoteReference w:id="288"/>
      </w:r>
      <w:r w:rsidRPr="00A724F7">
        <w:rPr>
          <w:rFonts w:hint="eastAsia"/>
          <w:szCs w:val="21"/>
        </w:rPr>
        <w:t xml:space="preserve"> </w:t>
      </w:r>
      <w:r w:rsidRPr="00A724F7">
        <w:rPr>
          <w:rFonts w:ascii="宋体" w:hAnsi="宋体" w:cs="宋体" w:hint="eastAsia"/>
          <w:szCs w:val="21"/>
        </w:rPr>
        <w:t>特殊制度下与嗣后协定和嗣后惯例有关的判例</w:t>
      </w:r>
      <w:r w:rsidRPr="00A724F7">
        <w:rPr>
          <w:rFonts w:hint="eastAsia"/>
          <w:szCs w:val="21"/>
        </w:rPr>
        <w:t>；</w:t>
      </w:r>
      <w:r w:rsidRPr="003F1277">
        <w:rPr>
          <w:rStyle w:val="a3"/>
          <w:color w:val="000000" w:themeColor="text1"/>
          <w:szCs w:val="21"/>
        </w:rPr>
        <w:footnoteReference w:id="289"/>
      </w:r>
      <w:r w:rsidRPr="00A724F7">
        <w:rPr>
          <w:rFonts w:hint="eastAsia"/>
          <w:szCs w:val="21"/>
        </w:rPr>
        <w:t xml:space="preserve"> </w:t>
      </w:r>
      <w:r w:rsidRPr="00A724F7">
        <w:rPr>
          <w:rFonts w:ascii="宋体" w:hAnsi="宋体" w:cs="宋体" w:hint="eastAsia"/>
          <w:szCs w:val="21"/>
        </w:rPr>
        <w:t>以及司法和准司法程序外的国家嗣后协定和嗣后惯例。</w:t>
      </w:r>
      <w:r w:rsidRPr="003F1277">
        <w:rPr>
          <w:rStyle w:val="a3"/>
          <w:color w:val="000000" w:themeColor="text1"/>
          <w:szCs w:val="21"/>
        </w:rPr>
        <w:footnoteReference w:id="290"/>
      </w:r>
    </w:p>
    <w:p w:rsidR="00632C9B" w:rsidRPr="00721E9E" w:rsidRDefault="00632C9B" w:rsidP="00632C9B">
      <w:pPr>
        <w:pStyle w:val="SingleTxt"/>
        <w:rPr>
          <w:spacing w:val="-2"/>
          <w:szCs w:val="21"/>
        </w:rPr>
      </w:pPr>
      <w:r w:rsidRPr="00A724F7">
        <w:rPr>
          <w:rFonts w:hint="eastAsia"/>
          <w:szCs w:val="21"/>
        </w:rPr>
        <w:t>120</w:t>
      </w:r>
      <w:r w:rsidRPr="00A724F7">
        <w:rPr>
          <w:szCs w:val="21"/>
        </w:rPr>
        <w:t>.</w:t>
      </w:r>
      <w:r w:rsidRPr="00A724F7">
        <w:rPr>
          <w:rFonts w:hint="eastAsia"/>
          <w:szCs w:val="21"/>
        </w:rPr>
        <w:t xml:space="preserve"> </w:t>
      </w:r>
      <w:r w:rsidRPr="00721E9E">
        <w:rPr>
          <w:rFonts w:hint="eastAsia"/>
          <w:spacing w:val="-2"/>
          <w:szCs w:val="21"/>
        </w:rPr>
        <w:t xml:space="preserve"> </w:t>
      </w:r>
      <w:r w:rsidRPr="00721E9E">
        <w:rPr>
          <w:rFonts w:ascii="宋体" w:hAnsi="宋体" w:cs="宋体" w:hint="eastAsia"/>
          <w:spacing w:val="-2"/>
          <w:szCs w:val="21"/>
        </w:rPr>
        <w:t>在第六十四届会议上</w:t>
      </w:r>
      <w:r w:rsidRPr="00721E9E">
        <w:rPr>
          <w:spacing w:val="-2"/>
          <w:szCs w:val="21"/>
        </w:rPr>
        <w:t>(2012</w:t>
      </w:r>
      <w:r w:rsidRPr="00721E9E">
        <w:rPr>
          <w:spacing w:val="-2"/>
          <w:szCs w:val="21"/>
        </w:rPr>
        <w:t>年</w:t>
      </w:r>
      <w:r w:rsidRPr="00721E9E">
        <w:rPr>
          <w:spacing w:val="-2"/>
          <w:szCs w:val="21"/>
        </w:rPr>
        <w:t>)</w:t>
      </w:r>
      <w:r w:rsidRPr="00721E9E">
        <w:rPr>
          <w:spacing w:val="-2"/>
          <w:szCs w:val="21"/>
        </w:rPr>
        <w:t>，委员会根据研究组的建议</w:t>
      </w:r>
      <w:r w:rsidRPr="00721E9E">
        <w:rPr>
          <w:rFonts w:hint="eastAsia"/>
          <w:spacing w:val="-2"/>
          <w:szCs w:val="21"/>
        </w:rPr>
        <w:t xml:space="preserve"> </w:t>
      </w:r>
      <w:r w:rsidRPr="003F1277">
        <w:rPr>
          <w:rStyle w:val="a3"/>
          <w:color w:val="000000" w:themeColor="text1"/>
          <w:spacing w:val="-2"/>
          <w:szCs w:val="21"/>
        </w:rPr>
        <w:footnoteReference w:id="291"/>
      </w:r>
      <w:r w:rsidRPr="00721E9E">
        <w:rPr>
          <w:rFonts w:hint="eastAsia"/>
          <w:spacing w:val="-2"/>
          <w:szCs w:val="21"/>
        </w:rPr>
        <w:t xml:space="preserve"> </w:t>
      </w:r>
      <w:r w:rsidRPr="00721E9E">
        <w:rPr>
          <w:spacing w:val="-2"/>
          <w:szCs w:val="21"/>
        </w:rPr>
        <w:t>决定：</w:t>
      </w:r>
      <w:r w:rsidRPr="00721E9E">
        <w:rPr>
          <w:spacing w:val="-2"/>
          <w:szCs w:val="21"/>
        </w:rPr>
        <w:t xml:space="preserve">(a) </w:t>
      </w:r>
      <w:r w:rsidRPr="00721E9E">
        <w:rPr>
          <w:spacing w:val="-2"/>
          <w:szCs w:val="21"/>
        </w:rPr>
        <w:t>按照研究组的建议自第六十五届会议</w:t>
      </w:r>
      <w:r w:rsidRPr="00721E9E">
        <w:rPr>
          <w:spacing w:val="-2"/>
          <w:szCs w:val="21"/>
        </w:rPr>
        <w:t>(2013</w:t>
      </w:r>
      <w:r w:rsidRPr="00721E9E">
        <w:rPr>
          <w:spacing w:val="-2"/>
          <w:szCs w:val="21"/>
        </w:rPr>
        <w:t>年</w:t>
      </w:r>
      <w:r w:rsidRPr="00721E9E">
        <w:rPr>
          <w:spacing w:val="-2"/>
          <w:szCs w:val="21"/>
        </w:rPr>
        <w:t>)</w:t>
      </w:r>
      <w:r w:rsidRPr="00721E9E">
        <w:rPr>
          <w:spacing w:val="-2"/>
          <w:szCs w:val="21"/>
        </w:rPr>
        <w:t>起</w:t>
      </w:r>
      <w:r w:rsidRPr="00721E9E">
        <w:rPr>
          <w:rFonts w:ascii="宋体" w:hAnsi="宋体" w:cs="宋体" w:hint="eastAsia"/>
          <w:spacing w:val="-2"/>
          <w:szCs w:val="21"/>
        </w:rPr>
        <w:t>改变本专题的工作方式；</w:t>
      </w:r>
      <w:r w:rsidRPr="00721E9E">
        <w:rPr>
          <w:spacing w:val="-2"/>
          <w:szCs w:val="21"/>
        </w:rPr>
        <w:t xml:space="preserve">(b) </w:t>
      </w:r>
      <w:r w:rsidRPr="00721E9E">
        <w:rPr>
          <w:rFonts w:ascii="宋体" w:hAnsi="宋体" w:cs="宋体" w:hint="eastAsia"/>
          <w:spacing w:val="-2"/>
          <w:szCs w:val="21"/>
        </w:rPr>
        <w:t>任命格奥尔格</w:t>
      </w:r>
      <w:r w:rsidRPr="00721E9E">
        <w:rPr>
          <w:rFonts w:hint="eastAsia"/>
          <w:spacing w:val="-2"/>
          <w:szCs w:val="21"/>
        </w:rPr>
        <w:t>·</w:t>
      </w:r>
      <w:r w:rsidRPr="00721E9E">
        <w:rPr>
          <w:rFonts w:ascii="宋体" w:hAnsi="宋体" w:cs="宋体" w:hint="eastAsia"/>
          <w:spacing w:val="-2"/>
          <w:szCs w:val="21"/>
        </w:rPr>
        <w:t>诺尔特先生为</w:t>
      </w:r>
      <w:r w:rsidRPr="00721E9E">
        <w:rPr>
          <w:rFonts w:cs="Calibri" w:hint="eastAsia"/>
          <w:spacing w:val="-2"/>
          <w:szCs w:val="21"/>
        </w:rPr>
        <w:t>“</w:t>
      </w:r>
      <w:r w:rsidRPr="00721E9E">
        <w:rPr>
          <w:rFonts w:ascii="宋体" w:hAnsi="宋体" w:cs="宋体" w:hint="eastAsia"/>
          <w:spacing w:val="-2"/>
          <w:szCs w:val="21"/>
        </w:rPr>
        <w:t>与条约解释相关的嗣后协定和嗣后惯例</w:t>
      </w:r>
      <w:r w:rsidRPr="00721E9E">
        <w:rPr>
          <w:rFonts w:cs="Calibri" w:hint="eastAsia"/>
          <w:spacing w:val="-2"/>
          <w:szCs w:val="21"/>
        </w:rPr>
        <w:t>”</w:t>
      </w:r>
      <w:r w:rsidRPr="00721E9E">
        <w:rPr>
          <w:rFonts w:ascii="宋体" w:hAnsi="宋体" w:cs="宋体" w:hint="eastAsia"/>
          <w:spacing w:val="-2"/>
          <w:szCs w:val="21"/>
        </w:rPr>
        <w:t>专题特别报告员。</w:t>
      </w:r>
      <w:r w:rsidRPr="003F1277">
        <w:rPr>
          <w:rStyle w:val="a3"/>
          <w:color w:val="000000" w:themeColor="text1"/>
          <w:spacing w:val="-2"/>
          <w:szCs w:val="21"/>
        </w:rPr>
        <w:footnoteReference w:id="292"/>
      </w:r>
    </w:p>
    <w:p w:rsidR="00632C9B" w:rsidRPr="00A724F7" w:rsidRDefault="00632C9B" w:rsidP="00632C9B">
      <w:pPr>
        <w:pStyle w:val="SingleTxt"/>
        <w:rPr>
          <w:szCs w:val="21"/>
        </w:rPr>
      </w:pPr>
      <w:r w:rsidRPr="00A724F7">
        <w:rPr>
          <w:rFonts w:hint="eastAsia"/>
          <w:szCs w:val="21"/>
        </w:rPr>
        <w:t>121</w:t>
      </w:r>
      <w:r>
        <w:rPr>
          <w:szCs w:val="21"/>
        </w:rPr>
        <w:t>.</w:t>
      </w:r>
      <w:r w:rsidRPr="00A724F7">
        <w:rPr>
          <w:rFonts w:hint="eastAsia"/>
          <w:szCs w:val="21"/>
        </w:rPr>
        <w:t xml:space="preserve">  </w:t>
      </w:r>
      <w:r w:rsidRPr="00A724F7">
        <w:rPr>
          <w:rFonts w:ascii="宋体" w:hAnsi="宋体" w:cs="宋体" w:hint="eastAsia"/>
          <w:szCs w:val="21"/>
        </w:rPr>
        <w:t>在第六十五届会议上</w:t>
      </w:r>
      <w:r w:rsidRPr="00A724F7">
        <w:rPr>
          <w:szCs w:val="21"/>
        </w:rPr>
        <w:t>(2013</w:t>
      </w:r>
      <w:r w:rsidRPr="00A724F7">
        <w:rPr>
          <w:szCs w:val="21"/>
        </w:rPr>
        <w:t>年</w:t>
      </w:r>
      <w:r w:rsidRPr="00A724F7">
        <w:rPr>
          <w:szCs w:val="21"/>
        </w:rPr>
        <w:t>)</w:t>
      </w:r>
      <w:r w:rsidRPr="00A724F7">
        <w:rPr>
          <w:szCs w:val="21"/>
        </w:rPr>
        <w:t>，委员会审议了特别报告员的第一次报告</w:t>
      </w:r>
      <w:r w:rsidRPr="00A724F7">
        <w:rPr>
          <w:szCs w:val="21"/>
        </w:rPr>
        <w:t>(A/CN.4/660)</w:t>
      </w:r>
      <w:r w:rsidRPr="00A724F7">
        <w:rPr>
          <w:rFonts w:hint="eastAsia"/>
          <w:szCs w:val="21"/>
        </w:rPr>
        <w:t>，</w:t>
      </w:r>
      <w:r w:rsidRPr="00A724F7">
        <w:rPr>
          <w:rFonts w:ascii="宋体" w:hAnsi="宋体" w:cs="宋体" w:hint="eastAsia"/>
          <w:szCs w:val="21"/>
        </w:rPr>
        <w:t>并暂时通过了五条结论草案。</w:t>
      </w:r>
      <w:r w:rsidRPr="003F1277">
        <w:rPr>
          <w:rStyle w:val="a3"/>
          <w:color w:val="000000" w:themeColor="text1"/>
          <w:szCs w:val="21"/>
        </w:rPr>
        <w:footnoteReference w:id="293"/>
      </w:r>
    </w:p>
    <w:p w:rsidR="00632C9B" w:rsidRPr="00A724F7" w:rsidRDefault="00632C9B" w:rsidP="00632C9B">
      <w:pPr>
        <w:pStyle w:val="SingleTxt"/>
        <w:rPr>
          <w:szCs w:val="21"/>
        </w:rPr>
      </w:pPr>
      <w:r w:rsidRPr="00A724F7">
        <w:rPr>
          <w:rFonts w:hint="eastAsia"/>
          <w:szCs w:val="21"/>
        </w:rPr>
        <w:lastRenderedPageBreak/>
        <w:t>122</w:t>
      </w:r>
      <w:r w:rsidRPr="00A724F7">
        <w:rPr>
          <w:szCs w:val="21"/>
        </w:rPr>
        <w:t>.</w:t>
      </w:r>
      <w:r w:rsidRPr="00A724F7">
        <w:rPr>
          <w:rFonts w:hint="eastAsia"/>
          <w:szCs w:val="21"/>
        </w:rPr>
        <w:t xml:space="preserve">  </w:t>
      </w:r>
      <w:r w:rsidRPr="00A724F7">
        <w:rPr>
          <w:rFonts w:hint="eastAsia"/>
          <w:szCs w:val="21"/>
        </w:rPr>
        <w:t>在</w:t>
      </w:r>
      <w:r w:rsidRPr="00A724F7">
        <w:rPr>
          <w:rFonts w:ascii="宋体" w:hAnsi="宋体" w:cs="宋体" w:hint="eastAsia"/>
          <w:szCs w:val="21"/>
        </w:rPr>
        <w:t>第六十六届会议上</w:t>
      </w:r>
      <w:r w:rsidRPr="00A724F7">
        <w:rPr>
          <w:szCs w:val="21"/>
        </w:rPr>
        <w:t>(201</w:t>
      </w:r>
      <w:r w:rsidRPr="00A724F7">
        <w:rPr>
          <w:rFonts w:hint="eastAsia"/>
          <w:szCs w:val="21"/>
        </w:rPr>
        <w:t>4</w:t>
      </w:r>
      <w:r w:rsidRPr="00A724F7">
        <w:rPr>
          <w:szCs w:val="21"/>
        </w:rPr>
        <w:t>年</w:t>
      </w:r>
      <w:r w:rsidRPr="00A724F7">
        <w:rPr>
          <w:szCs w:val="21"/>
        </w:rPr>
        <w:t>)</w:t>
      </w:r>
      <w:r w:rsidRPr="00A724F7">
        <w:rPr>
          <w:szCs w:val="21"/>
        </w:rPr>
        <w:t>，委员会审议了特别报告员的第</w:t>
      </w:r>
      <w:r w:rsidRPr="00A724F7">
        <w:rPr>
          <w:rFonts w:hint="eastAsia"/>
          <w:szCs w:val="21"/>
        </w:rPr>
        <w:t>二</w:t>
      </w:r>
      <w:r w:rsidRPr="00A724F7">
        <w:rPr>
          <w:szCs w:val="21"/>
        </w:rPr>
        <w:t>次报告</w:t>
      </w:r>
      <w:r w:rsidRPr="00A724F7">
        <w:rPr>
          <w:szCs w:val="21"/>
        </w:rPr>
        <w:t>(A/CN.4/671)</w:t>
      </w:r>
      <w:r w:rsidRPr="00A724F7">
        <w:rPr>
          <w:rFonts w:hint="eastAsia"/>
          <w:szCs w:val="21"/>
        </w:rPr>
        <w:t>，</w:t>
      </w:r>
      <w:r w:rsidRPr="00A724F7">
        <w:rPr>
          <w:rFonts w:ascii="宋体" w:hAnsi="宋体" w:cs="宋体" w:hint="eastAsia"/>
          <w:szCs w:val="21"/>
        </w:rPr>
        <w:t>并暂时通过了五条结论草案。</w:t>
      </w:r>
      <w:r w:rsidRPr="003F1277">
        <w:rPr>
          <w:rStyle w:val="a3"/>
          <w:color w:val="000000" w:themeColor="text1"/>
          <w:szCs w:val="21"/>
        </w:rPr>
        <w:footnoteReference w:id="294"/>
      </w:r>
    </w:p>
    <w:p w:rsidR="00632C9B" w:rsidRPr="00933E56"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4ED4" w:rsidRPr="00454ED4" w:rsidRDefault="00454ED4" w:rsidP="00454E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A724F7"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724F7">
        <w:rPr>
          <w:rFonts w:hint="eastAsia"/>
        </w:rPr>
        <w:tab/>
      </w:r>
      <w:r w:rsidRPr="00A724F7">
        <w:t>B.</w:t>
      </w:r>
      <w:r w:rsidRPr="00A724F7">
        <w:rPr>
          <w:rFonts w:hint="eastAsia"/>
        </w:rPr>
        <w:tab/>
        <w:t>本届会议审议此专题的情况</w:t>
      </w:r>
    </w:p>
    <w:p w:rsidR="00632C9B" w:rsidRPr="00933E56" w:rsidRDefault="00632C9B" w:rsidP="00632C9B">
      <w:pPr>
        <w:pStyle w:val="SingleTxt"/>
        <w:spacing w:after="0" w:line="120" w:lineRule="exact"/>
        <w:rPr>
          <w:sz w:val="10"/>
        </w:rPr>
      </w:pPr>
    </w:p>
    <w:p w:rsidR="00632C9B" w:rsidRPr="00632C9B" w:rsidRDefault="00632C9B" w:rsidP="00632C9B">
      <w:pPr>
        <w:pStyle w:val="SingleTxt"/>
        <w:spacing w:after="0" w:line="120" w:lineRule="exact"/>
        <w:rPr>
          <w:sz w:val="10"/>
        </w:rPr>
      </w:pPr>
    </w:p>
    <w:p w:rsidR="00632C9B" w:rsidRPr="00A724F7" w:rsidRDefault="00632C9B" w:rsidP="00632C9B">
      <w:pPr>
        <w:pStyle w:val="SingleTxt"/>
      </w:pPr>
      <w:r w:rsidRPr="00A724F7">
        <w:rPr>
          <w:rFonts w:hint="eastAsia"/>
        </w:rPr>
        <w:t>123</w:t>
      </w:r>
      <w:r>
        <w:t>.</w:t>
      </w:r>
      <w:r w:rsidRPr="00A724F7">
        <w:rPr>
          <w:rFonts w:hint="eastAsia"/>
        </w:rPr>
        <w:t xml:space="preserve">  </w:t>
      </w:r>
      <w:r w:rsidRPr="00A724F7">
        <w:rPr>
          <w:rFonts w:hint="eastAsia"/>
        </w:rPr>
        <w:t>委员会本届会议收到了特别报告员的第三次报告</w:t>
      </w:r>
      <w:r w:rsidRPr="00A724F7">
        <w:t>(A/CN.4/683)</w:t>
      </w:r>
      <w:r w:rsidRPr="00A724F7">
        <w:rPr>
          <w:rFonts w:hint="eastAsia"/>
        </w:rPr>
        <w:t>，其中分析了与作为国际组织组成文书的条约有关的嗣后协定和嗣后惯例的作用，并就此问题提出了结论草案</w:t>
      </w:r>
      <w:r w:rsidRPr="00A724F7">
        <w:rPr>
          <w:rFonts w:hint="eastAsia"/>
        </w:rPr>
        <w:t>11</w:t>
      </w:r>
      <w:r w:rsidRPr="00A724F7">
        <w:rPr>
          <w:rFonts w:hint="eastAsia"/>
        </w:rPr>
        <w:t>。特别是，第三次报告在探讨了《维也纳条约法公约》第五条</w:t>
      </w:r>
      <w:r w:rsidRPr="00A724F7">
        <w:rPr>
          <w:rFonts w:hint="eastAsia"/>
        </w:rPr>
        <w:t>(</w:t>
      </w:r>
      <w:r w:rsidRPr="00A724F7">
        <w:rPr>
          <w:rFonts w:ascii="宋体" w:hAnsi="宋体" w:cs="宋体" w:hint="eastAsia"/>
          <w:spacing w:val="10"/>
          <w:lang w:val="fr-CH"/>
        </w:rPr>
        <w:t>组成国际组织的条约和在国际组织内议定的条约</w:t>
      </w:r>
      <w:r w:rsidRPr="00A724F7">
        <w:rPr>
          <w:rFonts w:hint="eastAsia"/>
        </w:rPr>
        <w:t>)</w:t>
      </w:r>
      <w:r w:rsidRPr="00A724F7">
        <w:rPr>
          <w:rFonts w:hint="eastAsia"/>
        </w:rPr>
        <w:t>后，转而研究了《维也纳公约》关于条约解释的规则对国际组织组成文书的适用问题。报告还探讨了《维也纳条约法公约》第三十一条第三款</w:t>
      </w:r>
      <w:r w:rsidRPr="00A724F7">
        <w:rPr>
          <w:rFonts w:hint="eastAsia"/>
        </w:rPr>
        <w:t>(a)</w:t>
      </w:r>
      <w:r w:rsidRPr="00A724F7">
        <w:rPr>
          <w:rFonts w:hint="eastAsia"/>
        </w:rPr>
        <w:t>项和</w:t>
      </w:r>
      <w:r w:rsidRPr="00A724F7">
        <w:t>(b)</w:t>
      </w:r>
      <w:r w:rsidRPr="00A724F7">
        <w:rPr>
          <w:rFonts w:hint="eastAsia"/>
        </w:rPr>
        <w:t>项和第三十二条所称的嗣后协定作为国际组织组成文书的解释资料涉及的若干问题。</w:t>
      </w:r>
    </w:p>
    <w:p w:rsidR="00632C9B" w:rsidRPr="00A724F7" w:rsidRDefault="00632C9B" w:rsidP="00632C9B">
      <w:pPr>
        <w:pStyle w:val="SingleTxt"/>
        <w:rPr>
          <w:szCs w:val="21"/>
        </w:rPr>
      </w:pPr>
      <w:r w:rsidRPr="00A724F7">
        <w:rPr>
          <w:rFonts w:hint="eastAsia"/>
          <w:szCs w:val="21"/>
        </w:rPr>
        <w:t>124</w:t>
      </w:r>
      <w:r>
        <w:rPr>
          <w:szCs w:val="21"/>
        </w:rPr>
        <w:t>.</w:t>
      </w:r>
      <w:r w:rsidRPr="00A724F7">
        <w:rPr>
          <w:rFonts w:hint="eastAsia"/>
          <w:szCs w:val="21"/>
        </w:rPr>
        <w:t xml:space="preserve">  </w:t>
      </w:r>
      <w:r w:rsidRPr="00A724F7">
        <w:rPr>
          <w:rFonts w:hint="eastAsia"/>
          <w:szCs w:val="21"/>
        </w:rPr>
        <w:t>委员会在</w:t>
      </w:r>
      <w:r w:rsidRPr="00A724F7">
        <w:rPr>
          <w:rFonts w:hint="eastAsia"/>
          <w:szCs w:val="21"/>
        </w:rPr>
        <w:t>2015</w:t>
      </w:r>
      <w:r w:rsidRPr="00A724F7">
        <w:rPr>
          <w:rFonts w:hint="eastAsia"/>
          <w:szCs w:val="21"/>
        </w:rPr>
        <w:t>年</w:t>
      </w:r>
      <w:r w:rsidRPr="00A724F7">
        <w:rPr>
          <w:rFonts w:hint="eastAsia"/>
          <w:szCs w:val="21"/>
        </w:rPr>
        <w:t>5</w:t>
      </w:r>
      <w:r w:rsidRPr="00A724F7">
        <w:rPr>
          <w:rFonts w:hint="eastAsia"/>
          <w:szCs w:val="21"/>
        </w:rPr>
        <w:t>月</w:t>
      </w:r>
      <w:r w:rsidRPr="00A724F7">
        <w:rPr>
          <w:rFonts w:hint="eastAsia"/>
          <w:szCs w:val="21"/>
        </w:rPr>
        <w:t>29</w:t>
      </w:r>
      <w:r w:rsidRPr="00A724F7">
        <w:rPr>
          <w:rFonts w:hint="eastAsia"/>
          <w:szCs w:val="21"/>
        </w:rPr>
        <w:t>日和</w:t>
      </w:r>
      <w:r w:rsidRPr="00A724F7">
        <w:rPr>
          <w:rFonts w:hint="eastAsia"/>
          <w:szCs w:val="21"/>
        </w:rPr>
        <w:t>6</w:t>
      </w:r>
      <w:r w:rsidRPr="00A724F7">
        <w:rPr>
          <w:rFonts w:hint="eastAsia"/>
          <w:szCs w:val="21"/>
        </w:rPr>
        <w:t>月</w:t>
      </w:r>
      <w:r w:rsidRPr="00A724F7">
        <w:rPr>
          <w:rFonts w:hint="eastAsia"/>
          <w:szCs w:val="21"/>
        </w:rPr>
        <w:t>2</w:t>
      </w:r>
      <w:r w:rsidRPr="00A724F7">
        <w:rPr>
          <w:rFonts w:hint="eastAsia"/>
          <w:szCs w:val="21"/>
        </w:rPr>
        <w:t>、</w:t>
      </w:r>
      <w:r w:rsidRPr="00A724F7">
        <w:rPr>
          <w:rFonts w:hint="eastAsia"/>
          <w:szCs w:val="21"/>
        </w:rPr>
        <w:t>3</w:t>
      </w:r>
      <w:r w:rsidRPr="00A724F7">
        <w:rPr>
          <w:rFonts w:hint="eastAsia"/>
          <w:szCs w:val="21"/>
        </w:rPr>
        <w:t>、</w:t>
      </w:r>
      <w:r w:rsidRPr="00A724F7">
        <w:rPr>
          <w:rFonts w:hint="eastAsia"/>
          <w:szCs w:val="21"/>
        </w:rPr>
        <w:t>4</w:t>
      </w:r>
      <w:r w:rsidRPr="00A724F7">
        <w:rPr>
          <w:rFonts w:hint="eastAsia"/>
          <w:szCs w:val="21"/>
        </w:rPr>
        <w:t>日举行的第</w:t>
      </w:r>
      <w:r w:rsidRPr="00A724F7">
        <w:rPr>
          <w:szCs w:val="21"/>
        </w:rPr>
        <w:t>3259</w:t>
      </w:r>
      <w:r w:rsidRPr="00A724F7">
        <w:rPr>
          <w:rFonts w:hint="eastAsia"/>
          <w:szCs w:val="21"/>
        </w:rPr>
        <w:t>次至第</w:t>
      </w:r>
      <w:r w:rsidRPr="00A724F7">
        <w:rPr>
          <w:szCs w:val="21"/>
        </w:rPr>
        <w:t>3262</w:t>
      </w:r>
      <w:r w:rsidRPr="00A724F7">
        <w:rPr>
          <w:rFonts w:hint="eastAsia"/>
          <w:szCs w:val="21"/>
        </w:rPr>
        <w:t>次会议上审议了该报告。</w:t>
      </w:r>
    </w:p>
    <w:p w:rsidR="00632C9B" w:rsidRPr="00A724F7" w:rsidRDefault="00632C9B" w:rsidP="00632C9B">
      <w:pPr>
        <w:pStyle w:val="SingleTxt"/>
        <w:rPr>
          <w:szCs w:val="21"/>
        </w:rPr>
      </w:pPr>
      <w:r w:rsidRPr="00A724F7">
        <w:rPr>
          <w:rFonts w:hint="eastAsia"/>
          <w:szCs w:val="21"/>
        </w:rPr>
        <w:t>125</w:t>
      </w:r>
      <w:r w:rsidRPr="00A724F7">
        <w:rPr>
          <w:szCs w:val="21"/>
        </w:rPr>
        <w:t>.</w:t>
      </w:r>
      <w:r w:rsidRPr="00A724F7">
        <w:rPr>
          <w:rFonts w:hint="eastAsia"/>
          <w:szCs w:val="21"/>
        </w:rPr>
        <w:t xml:space="preserve">  </w:t>
      </w:r>
      <w:r w:rsidRPr="00A724F7">
        <w:rPr>
          <w:rFonts w:hint="eastAsia"/>
          <w:szCs w:val="21"/>
        </w:rPr>
        <w:t>委员会在对第三次报告进行辩论后，在</w:t>
      </w:r>
      <w:r w:rsidRPr="00A724F7">
        <w:rPr>
          <w:rFonts w:hint="eastAsia"/>
          <w:szCs w:val="21"/>
        </w:rPr>
        <w:t>2015</w:t>
      </w:r>
      <w:r w:rsidRPr="00A724F7">
        <w:rPr>
          <w:rFonts w:hint="eastAsia"/>
          <w:szCs w:val="21"/>
        </w:rPr>
        <w:t>年</w:t>
      </w:r>
      <w:r w:rsidRPr="00A724F7">
        <w:rPr>
          <w:rFonts w:hint="eastAsia"/>
          <w:szCs w:val="21"/>
        </w:rPr>
        <w:t>6</w:t>
      </w:r>
      <w:r w:rsidRPr="00A724F7">
        <w:rPr>
          <w:rFonts w:hint="eastAsia"/>
          <w:szCs w:val="21"/>
        </w:rPr>
        <w:t>月</w:t>
      </w:r>
      <w:r w:rsidRPr="00A724F7">
        <w:rPr>
          <w:rFonts w:hint="eastAsia"/>
          <w:szCs w:val="21"/>
        </w:rPr>
        <w:t>4</w:t>
      </w:r>
      <w:r w:rsidRPr="00A724F7">
        <w:rPr>
          <w:rFonts w:hint="eastAsia"/>
          <w:szCs w:val="21"/>
        </w:rPr>
        <w:t>日第</w:t>
      </w:r>
      <w:r w:rsidRPr="00A724F7">
        <w:rPr>
          <w:rFonts w:hint="eastAsia"/>
          <w:szCs w:val="21"/>
        </w:rPr>
        <w:t>3262</w:t>
      </w:r>
      <w:r w:rsidRPr="00A724F7">
        <w:rPr>
          <w:rFonts w:hint="eastAsia"/>
          <w:szCs w:val="21"/>
        </w:rPr>
        <w:t>次会议上决定将特别报告员提出的关于国际组织组成文书的第</w:t>
      </w:r>
      <w:r w:rsidRPr="00A724F7">
        <w:rPr>
          <w:rFonts w:hint="eastAsia"/>
          <w:szCs w:val="21"/>
        </w:rPr>
        <w:t>11</w:t>
      </w:r>
      <w:r w:rsidRPr="00A724F7">
        <w:rPr>
          <w:rFonts w:hint="eastAsia"/>
          <w:szCs w:val="21"/>
        </w:rPr>
        <w:t>条结论草案转交起草委员会。</w:t>
      </w:r>
    </w:p>
    <w:p w:rsidR="00632C9B" w:rsidRPr="00A724F7" w:rsidRDefault="00632C9B" w:rsidP="00632C9B">
      <w:pPr>
        <w:pStyle w:val="SingleTxt"/>
        <w:rPr>
          <w:szCs w:val="21"/>
        </w:rPr>
      </w:pPr>
      <w:r w:rsidRPr="00A724F7">
        <w:rPr>
          <w:rFonts w:hint="eastAsia"/>
          <w:szCs w:val="21"/>
        </w:rPr>
        <w:t>126</w:t>
      </w:r>
      <w:r>
        <w:rPr>
          <w:szCs w:val="21"/>
        </w:rPr>
        <w:t>.</w:t>
      </w:r>
      <w:r w:rsidRPr="00A724F7">
        <w:rPr>
          <w:rFonts w:hint="eastAsia"/>
          <w:szCs w:val="21"/>
        </w:rPr>
        <w:t xml:space="preserve">  </w:t>
      </w:r>
      <w:r w:rsidRPr="00A724F7">
        <w:rPr>
          <w:rFonts w:hint="eastAsia"/>
          <w:szCs w:val="21"/>
        </w:rPr>
        <w:t>委员会在</w:t>
      </w:r>
      <w:r w:rsidRPr="00A724F7">
        <w:rPr>
          <w:rFonts w:hint="eastAsia"/>
          <w:szCs w:val="21"/>
        </w:rPr>
        <w:t>2015</w:t>
      </w:r>
      <w:r w:rsidRPr="00A724F7">
        <w:rPr>
          <w:rFonts w:hint="eastAsia"/>
          <w:szCs w:val="21"/>
        </w:rPr>
        <w:t>年</w:t>
      </w:r>
      <w:r w:rsidRPr="00A724F7">
        <w:rPr>
          <w:rFonts w:hint="eastAsia"/>
          <w:szCs w:val="21"/>
        </w:rPr>
        <w:t>7</w:t>
      </w:r>
      <w:r w:rsidRPr="00A724F7">
        <w:rPr>
          <w:rFonts w:hint="eastAsia"/>
          <w:szCs w:val="21"/>
        </w:rPr>
        <w:t>月</w:t>
      </w:r>
      <w:r w:rsidRPr="00A724F7">
        <w:rPr>
          <w:rFonts w:hint="eastAsia"/>
          <w:szCs w:val="21"/>
        </w:rPr>
        <w:t>8</w:t>
      </w:r>
      <w:r w:rsidRPr="00A724F7">
        <w:rPr>
          <w:rFonts w:hint="eastAsia"/>
          <w:szCs w:val="21"/>
        </w:rPr>
        <w:t>日第</w:t>
      </w:r>
      <w:r w:rsidRPr="00A724F7">
        <w:rPr>
          <w:rFonts w:hint="eastAsia"/>
          <w:szCs w:val="21"/>
        </w:rPr>
        <w:t>3266</w:t>
      </w:r>
      <w:r w:rsidRPr="00A724F7">
        <w:rPr>
          <w:rFonts w:hint="eastAsia"/>
          <w:szCs w:val="21"/>
        </w:rPr>
        <w:t>次会议上收到了起草委员会的报告，并暂时通过了结论草案</w:t>
      </w:r>
      <w:r w:rsidRPr="00A724F7">
        <w:rPr>
          <w:szCs w:val="21"/>
        </w:rPr>
        <w:t>11</w:t>
      </w:r>
      <w:r w:rsidRPr="00A724F7">
        <w:rPr>
          <w:rFonts w:hint="eastAsia"/>
          <w:szCs w:val="21"/>
        </w:rPr>
        <w:t>(</w:t>
      </w:r>
      <w:r w:rsidRPr="00A724F7">
        <w:rPr>
          <w:rFonts w:hint="eastAsia"/>
          <w:szCs w:val="21"/>
        </w:rPr>
        <w:t>见下文</w:t>
      </w:r>
      <w:r w:rsidRPr="00A724F7">
        <w:rPr>
          <w:rFonts w:hint="eastAsia"/>
          <w:szCs w:val="21"/>
        </w:rPr>
        <w:t>C.1</w:t>
      </w:r>
      <w:r w:rsidRPr="00A724F7">
        <w:rPr>
          <w:rFonts w:hint="eastAsia"/>
          <w:szCs w:val="21"/>
        </w:rPr>
        <w:t>节</w:t>
      </w:r>
      <w:r w:rsidRPr="00A724F7">
        <w:rPr>
          <w:rFonts w:hint="eastAsia"/>
          <w:szCs w:val="21"/>
        </w:rPr>
        <w:t>)</w:t>
      </w:r>
      <w:r w:rsidRPr="00A724F7">
        <w:rPr>
          <w:rFonts w:hint="eastAsia"/>
          <w:szCs w:val="21"/>
        </w:rPr>
        <w:t>。</w:t>
      </w:r>
    </w:p>
    <w:p w:rsidR="00632C9B" w:rsidRPr="00A724F7" w:rsidRDefault="00632C9B" w:rsidP="00632C9B">
      <w:pPr>
        <w:pStyle w:val="SingleTxt"/>
        <w:rPr>
          <w:szCs w:val="21"/>
        </w:rPr>
      </w:pPr>
      <w:r w:rsidRPr="00A724F7">
        <w:rPr>
          <w:szCs w:val="21"/>
        </w:rPr>
        <w:t>1</w:t>
      </w:r>
      <w:r w:rsidRPr="00A724F7">
        <w:rPr>
          <w:rFonts w:hint="eastAsia"/>
          <w:szCs w:val="21"/>
        </w:rPr>
        <w:t>27</w:t>
      </w:r>
      <w:r w:rsidRPr="00A724F7">
        <w:rPr>
          <w:szCs w:val="21"/>
        </w:rPr>
        <w:t>.</w:t>
      </w:r>
      <w:r w:rsidRPr="00A724F7">
        <w:rPr>
          <w:rFonts w:hint="eastAsia"/>
          <w:szCs w:val="21"/>
        </w:rPr>
        <w:t xml:space="preserve">  </w:t>
      </w:r>
      <w:r w:rsidRPr="00A724F7">
        <w:rPr>
          <w:rFonts w:hint="eastAsia"/>
          <w:szCs w:val="21"/>
        </w:rPr>
        <w:t>委员会在</w:t>
      </w:r>
      <w:r w:rsidRPr="00A724F7">
        <w:rPr>
          <w:rFonts w:hint="eastAsia"/>
          <w:szCs w:val="21"/>
        </w:rPr>
        <w:t>2015</w:t>
      </w:r>
      <w:r w:rsidRPr="00A724F7">
        <w:rPr>
          <w:rFonts w:hint="eastAsia"/>
          <w:szCs w:val="21"/>
        </w:rPr>
        <w:t>年</w:t>
      </w:r>
      <w:r w:rsidRPr="00A724F7">
        <w:rPr>
          <w:rFonts w:hint="eastAsia"/>
          <w:szCs w:val="21"/>
        </w:rPr>
        <w:t>8</w:t>
      </w:r>
      <w:r w:rsidRPr="00A724F7">
        <w:rPr>
          <w:rFonts w:hint="eastAsia"/>
          <w:szCs w:val="21"/>
        </w:rPr>
        <w:t>月</w:t>
      </w:r>
      <w:r w:rsidRPr="00A724F7">
        <w:rPr>
          <w:rFonts w:hint="eastAsia"/>
          <w:szCs w:val="21"/>
        </w:rPr>
        <w:t>4</w:t>
      </w:r>
      <w:r w:rsidRPr="00A724F7">
        <w:rPr>
          <w:rFonts w:hint="eastAsia"/>
          <w:szCs w:val="21"/>
        </w:rPr>
        <w:t>日和</w:t>
      </w:r>
      <w:r w:rsidRPr="00A724F7">
        <w:rPr>
          <w:rFonts w:hint="eastAsia"/>
          <w:szCs w:val="21"/>
        </w:rPr>
        <w:t>6</w:t>
      </w:r>
      <w:r w:rsidRPr="00A724F7">
        <w:rPr>
          <w:rFonts w:hint="eastAsia"/>
          <w:szCs w:val="21"/>
        </w:rPr>
        <w:t>日分别举行的第</w:t>
      </w:r>
      <w:r w:rsidRPr="00A724F7">
        <w:rPr>
          <w:rFonts w:hint="eastAsia"/>
          <w:szCs w:val="21"/>
        </w:rPr>
        <w:t>3284</w:t>
      </w:r>
      <w:r w:rsidRPr="00A724F7">
        <w:rPr>
          <w:rFonts w:hint="eastAsia"/>
          <w:szCs w:val="21"/>
        </w:rPr>
        <w:t>次至第</w:t>
      </w:r>
      <w:r w:rsidRPr="00A724F7">
        <w:rPr>
          <w:rFonts w:hint="eastAsia"/>
          <w:szCs w:val="21"/>
        </w:rPr>
        <w:t>3285</w:t>
      </w:r>
      <w:r w:rsidRPr="00A724F7">
        <w:rPr>
          <w:rFonts w:hint="eastAsia"/>
          <w:szCs w:val="21"/>
        </w:rPr>
        <w:t>次和第</w:t>
      </w:r>
      <w:r w:rsidRPr="00A724F7">
        <w:rPr>
          <w:rFonts w:hint="eastAsia"/>
          <w:szCs w:val="21"/>
        </w:rPr>
        <w:t>3288</w:t>
      </w:r>
      <w:r w:rsidRPr="00A724F7">
        <w:rPr>
          <w:rFonts w:hint="eastAsia"/>
          <w:szCs w:val="21"/>
        </w:rPr>
        <w:t>次会议上，通过了本届会议暂时通过的结论草案的评注</w:t>
      </w:r>
      <w:r w:rsidRPr="00A724F7">
        <w:rPr>
          <w:rFonts w:hint="eastAsia"/>
          <w:szCs w:val="21"/>
        </w:rPr>
        <w:t>(</w:t>
      </w:r>
      <w:r w:rsidRPr="00A724F7">
        <w:rPr>
          <w:rFonts w:hint="eastAsia"/>
          <w:szCs w:val="21"/>
        </w:rPr>
        <w:t>见下文</w:t>
      </w:r>
      <w:r w:rsidRPr="00A724F7">
        <w:rPr>
          <w:rFonts w:hint="eastAsia"/>
          <w:szCs w:val="21"/>
        </w:rPr>
        <w:t>C.2</w:t>
      </w:r>
      <w:r w:rsidRPr="00A724F7">
        <w:rPr>
          <w:rFonts w:hint="eastAsia"/>
          <w:szCs w:val="21"/>
        </w:rPr>
        <w:t>节</w:t>
      </w:r>
      <w:r w:rsidRPr="00A724F7">
        <w:rPr>
          <w:rFonts w:hint="eastAsia"/>
          <w:szCs w:val="21"/>
        </w:rPr>
        <w:t>)</w:t>
      </w:r>
      <w:r w:rsidRPr="00A724F7">
        <w:rPr>
          <w:rFonts w:hint="eastAsia"/>
          <w:szCs w:val="21"/>
        </w:rPr>
        <w:t>。</w:t>
      </w:r>
    </w:p>
    <w:p w:rsidR="00632C9B" w:rsidRPr="00933E56"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54ED4" w:rsidRPr="00454ED4" w:rsidRDefault="00454ED4" w:rsidP="00454E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A724F7" w:rsidRDefault="00632C9B" w:rsidP="00632C9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724F7">
        <w:rPr>
          <w:rFonts w:hint="eastAsia"/>
        </w:rPr>
        <w:tab/>
      </w:r>
      <w:r w:rsidRPr="00A724F7">
        <w:t>C.</w:t>
      </w:r>
      <w:r w:rsidRPr="00A724F7">
        <w:rPr>
          <w:rFonts w:hint="eastAsia"/>
        </w:rPr>
        <w:tab/>
        <w:t>委员会迄今为止暂时通过的关于与条约解释相关的嗣后协定和嗣后惯例的结论草案案文</w:t>
      </w:r>
    </w:p>
    <w:p w:rsidR="00632C9B" w:rsidRPr="00933E56" w:rsidRDefault="00632C9B" w:rsidP="00632C9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632C9B" w:rsidRDefault="00632C9B" w:rsidP="00632C9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32C9B" w:rsidRPr="00A724F7" w:rsidRDefault="00632C9B" w:rsidP="00632C9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724F7">
        <w:rPr>
          <w:rFonts w:hint="eastAsia"/>
        </w:rPr>
        <w:tab/>
      </w:r>
      <w:r w:rsidRPr="00A724F7">
        <w:t>1.</w:t>
      </w:r>
      <w:r w:rsidRPr="00A724F7">
        <w:rPr>
          <w:rFonts w:hint="eastAsia"/>
        </w:rPr>
        <w:tab/>
        <w:t>结论草案案文</w:t>
      </w:r>
    </w:p>
    <w:p w:rsidR="00632C9B" w:rsidRPr="00933E56" w:rsidRDefault="00632C9B" w:rsidP="00632C9B">
      <w:pPr>
        <w:pStyle w:val="SingleTxt"/>
        <w:spacing w:after="0" w:line="120" w:lineRule="exact"/>
        <w:rPr>
          <w:sz w:val="10"/>
          <w:szCs w:val="21"/>
        </w:rPr>
      </w:pPr>
    </w:p>
    <w:p w:rsidR="00F900A2" w:rsidRPr="00F900A2" w:rsidRDefault="00F900A2" w:rsidP="00F900A2">
      <w:pPr>
        <w:pStyle w:val="SingleTxt"/>
        <w:spacing w:after="0" w:line="120" w:lineRule="exact"/>
        <w:rPr>
          <w:sz w:val="10"/>
          <w:szCs w:val="21"/>
        </w:rPr>
      </w:pPr>
    </w:p>
    <w:p w:rsidR="00632C9B" w:rsidRPr="00A724F7" w:rsidRDefault="00632C9B" w:rsidP="00632C9B">
      <w:pPr>
        <w:pStyle w:val="SingleTxt"/>
        <w:rPr>
          <w:b/>
          <w:bCs/>
          <w:szCs w:val="21"/>
        </w:rPr>
      </w:pPr>
      <w:r w:rsidRPr="00A724F7">
        <w:rPr>
          <w:szCs w:val="21"/>
        </w:rPr>
        <w:t>1</w:t>
      </w:r>
      <w:r w:rsidRPr="00A724F7">
        <w:rPr>
          <w:rFonts w:hint="eastAsia"/>
          <w:szCs w:val="21"/>
        </w:rPr>
        <w:t>28</w:t>
      </w:r>
      <w:r w:rsidRPr="00A724F7">
        <w:rPr>
          <w:szCs w:val="21"/>
        </w:rPr>
        <w:t xml:space="preserve">. </w:t>
      </w:r>
      <w:r w:rsidRPr="00A724F7">
        <w:rPr>
          <w:rFonts w:hint="eastAsia"/>
          <w:szCs w:val="21"/>
        </w:rPr>
        <w:t xml:space="preserve"> </w:t>
      </w:r>
      <w:r w:rsidRPr="00A724F7">
        <w:rPr>
          <w:rFonts w:hint="eastAsia"/>
          <w:szCs w:val="21"/>
        </w:rPr>
        <w:t>委员会迄今为止暂时通过的结论草案案文载录如下。</w:t>
      </w:r>
      <w:r w:rsidRPr="003F1277">
        <w:rPr>
          <w:rStyle w:val="a3"/>
          <w:color w:val="000000" w:themeColor="text1"/>
          <w:szCs w:val="21"/>
        </w:rPr>
        <w:footnoteReference w:id="295"/>
      </w:r>
      <w:r w:rsidRPr="00A724F7">
        <w:rPr>
          <w:rFonts w:hint="eastAsia"/>
          <w:b/>
          <w:bCs/>
          <w:szCs w:val="21"/>
        </w:rPr>
        <w:t xml:space="preserve"> </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结论1</w:t>
      </w:r>
      <w:r w:rsidRPr="00A83F6F">
        <w:br/>
      </w:r>
      <w:r w:rsidRPr="00A83F6F">
        <w:rPr>
          <w:rFonts w:hint="eastAsia"/>
        </w:rPr>
        <w:t>条约解释通则和资料</w:t>
      </w:r>
    </w:p>
    <w:p w:rsidR="00632C9B" w:rsidRPr="00933E56" w:rsidRDefault="00632C9B" w:rsidP="00632C9B">
      <w:pPr>
        <w:pStyle w:val="SingleTxt"/>
        <w:spacing w:after="0" w:line="120" w:lineRule="exact"/>
        <w:ind w:left="1695"/>
        <w:rPr>
          <w:sz w:val="10"/>
        </w:rPr>
      </w:pPr>
    </w:p>
    <w:p w:rsidR="00632C9B" w:rsidRPr="00A724F7" w:rsidRDefault="00632C9B" w:rsidP="00632C9B">
      <w:pPr>
        <w:pStyle w:val="SingleTxt"/>
        <w:ind w:left="1695"/>
      </w:pPr>
      <w:r w:rsidRPr="00A724F7">
        <w:rPr>
          <w:rFonts w:hint="eastAsia"/>
        </w:rPr>
        <w:t>1.</w:t>
      </w:r>
      <w:r>
        <w:rPr>
          <w:rFonts w:hint="eastAsia"/>
        </w:rPr>
        <w:t xml:space="preserve">  </w:t>
      </w:r>
      <w:r w:rsidRPr="00A724F7">
        <w:rPr>
          <w:rFonts w:hint="eastAsia"/>
        </w:rPr>
        <w:t>《维也纳条约法公约》第三十一和第三十二条分别规定了解释条约的通则和关于解释条约的补充资料的规则。这些规则也作为习惯国际法适用。</w:t>
      </w:r>
    </w:p>
    <w:p w:rsidR="00632C9B" w:rsidRPr="00A724F7" w:rsidRDefault="00632C9B" w:rsidP="00632C9B">
      <w:pPr>
        <w:pStyle w:val="SingleTxt"/>
        <w:ind w:left="1695"/>
        <w:rPr>
          <w:szCs w:val="21"/>
        </w:rPr>
      </w:pPr>
      <w:r w:rsidRPr="00A724F7">
        <w:rPr>
          <w:rFonts w:hint="eastAsia"/>
          <w:szCs w:val="21"/>
        </w:rPr>
        <w:lastRenderedPageBreak/>
        <w:t>2.</w:t>
      </w:r>
      <w:r>
        <w:rPr>
          <w:rFonts w:hint="eastAsia"/>
          <w:szCs w:val="21"/>
        </w:rPr>
        <w:t xml:space="preserve">  </w:t>
      </w:r>
      <w:r w:rsidRPr="00A724F7">
        <w:rPr>
          <w:rFonts w:hint="eastAsia"/>
          <w:szCs w:val="21"/>
        </w:rPr>
        <w:t>条约应按照其用语按上下文所具有的通常含义并参照该条约的目的和宗旨善意地予以解释。</w:t>
      </w:r>
    </w:p>
    <w:p w:rsidR="00632C9B" w:rsidRPr="00A724F7" w:rsidRDefault="00632C9B" w:rsidP="00632C9B">
      <w:pPr>
        <w:pStyle w:val="SingleTxt"/>
        <w:ind w:left="1695"/>
      </w:pPr>
      <w:r w:rsidRPr="00A724F7">
        <w:rPr>
          <w:rFonts w:hint="eastAsia"/>
        </w:rPr>
        <w:t>3.</w:t>
      </w:r>
      <w:r>
        <w:rPr>
          <w:rFonts w:hint="eastAsia"/>
        </w:rPr>
        <w:t xml:space="preserve">  </w:t>
      </w:r>
      <w:r w:rsidRPr="00A724F7">
        <w:rPr>
          <w:rFonts w:hint="eastAsia"/>
        </w:rPr>
        <w:t>第三十一条第三款除其他外规定，应与上下文一并考虑到的还有：</w:t>
      </w:r>
      <w:r w:rsidRPr="00A724F7">
        <w:rPr>
          <w:rFonts w:hint="eastAsia"/>
        </w:rPr>
        <w:t xml:space="preserve">(a) </w:t>
      </w:r>
      <w:r w:rsidRPr="00A724F7">
        <w:rPr>
          <w:rFonts w:hint="eastAsia"/>
        </w:rPr>
        <w:t>缔约方之间嗣后所订关于条约的解释或其规定的适用的任何协定；和</w:t>
      </w:r>
      <w:r w:rsidRPr="00A724F7">
        <w:rPr>
          <w:rFonts w:hint="eastAsia"/>
        </w:rPr>
        <w:t xml:space="preserve">(b) </w:t>
      </w:r>
      <w:r w:rsidRPr="00A724F7">
        <w:rPr>
          <w:rFonts w:hint="eastAsia"/>
        </w:rPr>
        <w:t>在条约适用方面确定各缔约方对条约的解释意思一致的任何嗣后惯例。</w:t>
      </w:r>
    </w:p>
    <w:p w:rsidR="00632C9B" w:rsidRPr="00A724F7" w:rsidRDefault="00632C9B" w:rsidP="00632C9B">
      <w:pPr>
        <w:pStyle w:val="SingleTxt"/>
        <w:ind w:left="1695"/>
      </w:pPr>
      <w:r w:rsidRPr="00A724F7">
        <w:rPr>
          <w:rFonts w:hint="eastAsia"/>
        </w:rPr>
        <w:t>4.</w:t>
      </w:r>
      <w:r>
        <w:rPr>
          <w:rFonts w:hint="eastAsia"/>
        </w:rPr>
        <w:t xml:space="preserve">  </w:t>
      </w:r>
      <w:r w:rsidRPr="00A724F7">
        <w:rPr>
          <w:rFonts w:hint="eastAsia"/>
        </w:rPr>
        <w:t>可将条约适用方面的其他嗣后惯例作为第三十二条所称的补充的解释资料加以使用。</w:t>
      </w:r>
    </w:p>
    <w:p w:rsidR="00632C9B" w:rsidRPr="00A724F7" w:rsidRDefault="00632C9B" w:rsidP="00632C9B">
      <w:pPr>
        <w:pStyle w:val="SingleTxt"/>
        <w:ind w:left="1695"/>
        <w:rPr>
          <w:szCs w:val="21"/>
        </w:rPr>
      </w:pPr>
      <w:r w:rsidRPr="00A724F7">
        <w:rPr>
          <w:rFonts w:hint="eastAsia"/>
          <w:szCs w:val="21"/>
        </w:rPr>
        <w:t>5.</w:t>
      </w:r>
      <w:r>
        <w:rPr>
          <w:rFonts w:hint="eastAsia"/>
          <w:szCs w:val="21"/>
        </w:rPr>
        <w:t xml:space="preserve">  </w:t>
      </w:r>
      <w:r w:rsidRPr="00A724F7">
        <w:rPr>
          <w:rFonts w:hint="eastAsia"/>
          <w:szCs w:val="21"/>
        </w:rPr>
        <w:t>条约的解释是单一的综合行动，这一行动对第三十一和第三十二条分别载明的各种解释资料各给予适当的强调。</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结论2</w:t>
      </w:r>
      <w:r w:rsidRPr="00A83F6F">
        <w:br/>
      </w:r>
      <w:r w:rsidRPr="00A83F6F">
        <w:rPr>
          <w:rFonts w:hint="eastAsia"/>
        </w:rPr>
        <w:t>以嗣后协定和嗣后惯例作为作准的解释资料</w:t>
      </w:r>
    </w:p>
    <w:p w:rsidR="00632C9B" w:rsidRPr="00933E56" w:rsidRDefault="00632C9B" w:rsidP="00632C9B">
      <w:pPr>
        <w:pStyle w:val="SingleTxt"/>
        <w:spacing w:after="0" w:line="120" w:lineRule="exact"/>
        <w:ind w:left="1695"/>
        <w:rPr>
          <w:sz w:val="10"/>
          <w:szCs w:val="21"/>
        </w:rPr>
      </w:pPr>
    </w:p>
    <w:p w:rsidR="00632C9B" w:rsidRPr="00A724F7" w:rsidRDefault="00632C9B" w:rsidP="00632C9B">
      <w:pPr>
        <w:pStyle w:val="SingleTxt"/>
        <w:ind w:left="1695"/>
        <w:rPr>
          <w:szCs w:val="21"/>
        </w:rPr>
      </w:pPr>
      <w:r w:rsidRPr="00A724F7">
        <w:rPr>
          <w:rFonts w:hint="eastAsia"/>
          <w:szCs w:val="21"/>
        </w:rPr>
        <w:tab/>
      </w:r>
      <w:r w:rsidRPr="00A724F7">
        <w:rPr>
          <w:rFonts w:hint="eastAsia"/>
          <w:szCs w:val="21"/>
        </w:rPr>
        <w:t>第三十一条第三款</w:t>
      </w:r>
      <w:r w:rsidRPr="00A724F7">
        <w:rPr>
          <w:rFonts w:hint="eastAsia"/>
          <w:szCs w:val="21"/>
        </w:rPr>
        <w:t>(a)</w:t>
      </w:r>
      <w:r w:rsidRPr="00A724F7">
        <w:rPr>
          <w:rFonts w:hint="eastAsia"/>
          <w:szCs w:val="21"/>
        </w:rPr>
        <w:t>项和</w:t>
      </w:r>
      <w:r w:rsidRPr="00A724F7">
        <w:rPr>
          <w:rFonts w:hint="eastAsia"/>
          <w:szCs w:val="21"/>
        </w:rPr>
        <w:t>(b)</w:t>
      </w:r>
      <w:r w:rsidRPr="00A724F7">
        <w:rPr>
          <w:rFonts w:hint="eastAsia"/>
          <w:szCs w:val="21"/>
        </w:rPr>
        <w:t>项所称的嗣后协定和嗣后惯例是缔约方对条约含义理解的客观证据，因而是适用第三十一条所反映的条约解释通则时的作准的解释资料。</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结论3</w:t>
      </w:r>
      <w:r w:rsidRPr="00A83F6F">
        <w:rPr>
          <w:rFonts w:hint="eastAsia"/>
        </w:rPr>
        <w:br/>
        <w:t>能够随时间演变的条约用语的解释</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rFonts w:hint="eastAsia"/>
          <w:szCs w:val="21"/>
        </w:rPr>
        <w:tab/>
      </w:r>
      <w:r w:rsidRPr="00A724F7">
        <w:rPr>
          <w:rFonts w:hint="eastAsia"/>
          <w:szCs w:val="21"/>
        </w:rPr>
        <w:t>第三十一和第三十二条所称的嗣后协定和嗣后惯例可协助确定缔约方在缔结条约之时的推定意图是不是赋予用语以能够随时间演变的含义。</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结论4</w:t>
      </w:r>
      <w:r w:rsidRPr="00A83F6F">
        <w:br/>
      </w:r>
      <w:r w:rsidRPr="00A83F6F">
        <w:rPr>
          <w:rFonts w:hint="eastAsia"/>
        </w:rPr>
        <w:t>嗣后协定和嗣后惯例的定义</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rFonts w:hint="eastAsia"/>
          <w:szCs w:val="21"/>
        </w:rPr>
        <w:t>1.</w:t>
      </w:r>
      <w:r>
        <w:rPr>
          <w:rFonts w:hint="eastAsia"/>
          <w:szCs w:val="21"/>
        </w:rPr>
        <w:t xml:space="preserve">  </w:t>
      </w:r>
      <w:r w:rsidRPr="00A724F7">
        <w:rPr>
          <w:rFonts w:hint="eastAsia"/>
          <w:szCs w:val="21"/>
        </w:rPr>
        <w:t>“嗣后协定”作为第三十一条第三款</w:t>
      </w:r>
      <w:r w:rsidRPr="00A724F7">
        <w:rPr>
          <w:rFonts w:hint="eastAsia"/>
          <w:szCs w:val="21"/>
        </w:rPr>
        <w:t>(a)</w:t>
      </w:r>
      <w:r w:rsidRPr="00A724F7">
        <w:rPr>
          <w:rFonts w:hint="eastAsia"/>
          <w:szCs w:val="21"/>
        </w:rPr>
        <w:t>项之下作准的解释资料是指缔约方在条约缔结后达成的关于解释条约或适用条约规定的协定。</w:t>
      </w:r>
    </w:p>
    <w:p w:rsidR="00632C9B" w:rsidRPr="00A724F7" w:rsidRDefault="00632C9B" w:rsidP="00632C9B">
      <w:pPr>
        <w:pStyle w:val="SingleTxt"/>
        <w:ind w:left="1695"/>
        <w:rPr>
          <w:szCs w:val="21"/>
        </w:rPr>
      </w:pPr>
      <w:r w:rsidRPr="00A724F7">
        <w:rPr>
          <w:rFonts w:hint="eastAsia"/>
          <w:szCs w:val="21"/>
        </w:rPr>
        <w:t>2.</w:t>
      </w:r>
      <w:r>
        <w:rPr>
          <w:rFonts w:hint="eastAsia"/>
          <w:szCs w:val="21"/>
        </w:rPr>
        <w:t xml:space="preserve">  </w:t>
      </w:r>
      <w:r w:rsidRPr="00A724F7">
        <w:rPr>
          <w:rFonts w:hint="eastAsia"/>
          <w:szCs w:val="21"/>
        </w:rPr>
        <w:t>“嗣后惯例”作为第三十一条第三款</w:t>
      </w:r>
      <w:r w:rsidRPr="00A724F7">
        <w:rPr>
          <w:rFonts w:hint="eastAsia"/>
          <w:szCs w:val="21"/>
        </w:rPr>
        <w:t>(b)</w:t>
      </w:r>
      <w:r w:rsidRPr="00A724F7">
        <w:rPr>
          <w:rFonts w:hint="eastAsia"/>
          <w:szCs w:val="21"/>
        </w:rPr>
        <w:t>项之下作准的解释资料是指条约缔结后确定各缔约方对条约的解释意思一致的适用条约的行为。</w:t>
      </w:r>
    </w:p>
    <w:p w:rsidR="00632C9B" w:rsidRPr="00A724F7" w:rsidRDefault="00632C9B" w:rsidP="00632C9B">
      <w:pPr>
        <w:pStyle w:val="SingleTxt"/>
        <w:ind w:left="1695"/>
        <w:rPr>
          <w:szCs w:val="21"/>
        </w:rPr>
      </w:pPr>
      <w:r w:rsidRPr="00A724F7">
        <w:rPr>
          <w:rFonts w:hint="eastAsia"/>
          <w:szCs w:val="21"/>
        </w:rPr>
        <w:t>3.</w:t>
      </w:r>
      <w:r>
        <w:rPr>
          <w:rFonts w:hint="eastAsia"/>
          <w:szCs w:val="21"/>
        </w:rPr>
        <w:t xml:space="preserve">  </w:t>
      </w:r>
      <w:r w:rsidRPr="00A724F7">
        <w:rPr>
          <w:rFonts w:hint="eastAsia"/>
          <w:szCs w:val="21"/>
        </w:rPr>
        <w:t>其他“嗣后惯例”作为第三十二条之下的补充的解释资料是指条约缔结后一个或多个缔约方适用条约的行为。</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结论5</w:t>
      </w:r>
      <w:r w:rsidRPr="00A83F6F">
        <w:br/>
      </w:r>
      <w:r w:rsidRPr="00A83F6F">
        <w:rPr>
          <w:rFonts w:hint="eastAsia"/>
        </w:rPr>
        <w:t>嗣后惯例的归属</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rFonts w:hint="eastAsia"/>
          <w:szCs w:val="21"/>
        </w:rPr>
        <w:t>1.</w:t>
      </w:r>
      <w:r>
        <w:rPr>
          <w:rFonts w:hint="eastAsia"/>
          <w:szCs w:val="21"/>
        </w:rPr>
        <w:t xml:space="preserve">  </w:t>
      </w:r>
      <w:r w:rsidRPr="00A724F7">
        <w:rPr>
          <w:rFonts w:hint="eastAsia"/>
          <w:szCs w:val="21"/>
        </w:rPr>
        <w:t>第三十一和第三十二条所称的嗣后惯例可包括依国际法可归属于条约某一缔约方的任何适用条约的行为。</w:t>
      </w:r>
    </w:p>
    <w:p w:rsidR="00632C9B" w:rsidRPr="00A724F7" w:rsidRDefault="00632C9B" w:rsidP="00632C9B">
      <w:pPr>
        <w:pStyle w:val="SingleTxt"/>
        <w:ind w:left="1695"/>
        <w:rPr>
          <w:szCs w:val="21"/>
        </w:rPr>
      </w:pPr>
      <w:r w:rsidRPr="00A724F7">
        <w:rPr>
          <w:rFonts w:hint="eastAsia"/>
          <w:szCs w:val="21"/>
        </w:rPr>
        <w:t>2.</w:t>
      </w:r>
      <w:r>
        <w:rPr>
          <w:rFonts w:hint="eastAsia"/>
          <w:szCs w:val="21"/>
        </w:rPr>
        <w:t xml:space="preserve">  </w:t>
      </w:r>
      <w:r w:rsidRPr="00A724F7">
        <w:rPr>
          <w:rFonts w:hint="eastAsia"/>
          <w:szCs w:val="21"/>
        </w:rPr>
        <w:t>其他行为，包括非国家行为者的行为，不构成第三十一和第三十二条</w:t>
      </w:r>
      <w:r w:rsidRPr="00A724F7">
        <w:rPr>
          <w:rFonts w:hint="eastAsia"/>
          <w:spacing w:val="-4"/>
          <w:szCs w:val="21"/>
        </w:rPr>
        <w:t>所称的嗣后惯例。然而此种行为在评估条约缔约方的嗣后惯例时可能具有意义。</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lastRenderedPageBreak/>
        <w:tab/>
      </w:r>
      <w:r>
        <w:rPr>
          <w:rFonts w:hint="eastAsia"/>
        </w:rPr>
        <w:tab/>
      </w:r>
      <w:r w:rsidRPr="00A83F6F">
        <w:rPr>
          <w:rFonts w:hint="eastAsia"/>
        </w:rPr>
        <w:t>结论6</w:t>
      </w:r>
      <w:r w:rsidRPr="00A83F6F">
        <w:br/>
      </w:r>
      <w:r w:rsidRPr="00A83F6F">
        <w:rPr>
          <w:rFonts w:hint="eastAsia"/>
        </w:rPr>
        <w:t>嗣后协定和嗣后惯例的识别</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pacing w:val="-6"/>
          <w:szCs w:val="21"/>
        </w:rPr>
      </w:pPr>
      <w:r w:rsidRPr="00A724F7">
        <w:rPr>
          <w:szCs w:val="21"/>
        </w:rPr>
        <w:t>1.</w:t>
      </w:r>
      <w:r>
        <w:rPr>
          <w:rFonts w:hint="eastAsia"/>
          <w:szCs w:val="21"/>
        </w:rPr>
        <w:t xml:space="preserve">  </w:t>
      </w:r>
      <w:r w:rsidRPr="00A724F7">
        <w:rPr>
          <w:rFonts w:hint="eastAsia"/>
          <w:szCs w:val="21"/>
        </w:rPr>
        <w:t>为识别第三十一条第三款所称的嗣后协定和嗣后惯例，尤其须确定缔约方是否通过协定或惯例就条约的解释采取了立场。通常，如果缔约方只是</w:t>
      </w:r>
      <w:r w:rsidRPr="00A724F7">
        <w:rPr>
          <w:rFonts w:hint="eastAsia"/>
          <w:spacing w:val="2"/>
          <w:szCs w:val="21"/>
        </w:rPr>
        <w:t>商定暂不适用条约，或商定确立一种实际安排</w:t>
      </w:r>
      <w:r w:rsidRPr="00A724F7">
        <w:rPr>
          <w:rFonts w:hint="eastAsia"/>
          <w:spacing w:val="2"/>
          <w:szCs w:val="21"/>
        </w:rPr>
        <w:t>(</w:t>
      </w:r>
      <w:r w:rsidRPr="00A724F7">
        <w:rPr>
          <w:rFonts w:hint="eastAsia"/>
          <w:spacing w:val="2"/>
          <w:szCs w:val="21"/>
        </w:rPr>
        <w:t>临时协议</w:t>
      </w:r>
      <w:r w:rsidRPr="00A724F7">
        <w:rPr>
          <w:rFonts w:hint="eastAsia"/>
          <w:spacing w:val="2"/>
          <w:szCs w:val="21"/>
        </w:rPr>
        <w:t>)</w:t>
      </w:r>
      <w:r w:rsidRPr="00A724F7">
        <w:rPr>
          <w:rFonts w:hint="eastAsia"/>
          <w:spacing w:val="2"/>
          <w:szCs w:val="21"/>
        </w:rPr>
        <w:t>，便不属于这种情况</w:t>
      </w:r>
      <w:r w:rsidRPr="00A724F7">
        <w:rPr>
          <w:rFonts w:hint="eastAsia"/>
          <w:szCs w:val="21"/>
        </w:rPr>
        <w:t>。</w:t>
      </w:r>
    </w:p>
    <w:p w:rsidR="00632C9B" w:rsidRPr="00A724F7" w:rsidRDefault="00632C9B" w:rsidP="00632C9B">
      <w:pPr>
        <w:pStyle w:val="SingleTxt"/>
        <w:ind w:left="1695"/>
        <w:rPr>
          <w:szCs w:val="21"/>
        </w:rPr>
      </w:pPr>
      <w:r w:rsidRPr="00A724F7">
        <w:rPr>
          <w:szCs w:val="21"/>
        </w:rPr>
        <w:t>2.</w:t>
      </w:r>
      <w:r>
        <w:rPr>
          <w:rFonts w:hint="eastAsia"/>
          <w:szCs w:val="21"/>
        </w:rPr>
        <w:t xml:space="preserve">  </w:t>
      </w:r>
      <w:r w:rsidRPr="00A724F7">
        <w:rPr>
          <w:rFonts w:hint="eastAsia"/>
          <w:szCs w:val="21"/>
        </w:rPr>
        <w:t>第三十一条第三款所称的嗣后协定和嗣后惯例可能具有各种形式。</w:t>
      </w:r>
    </w:p>
    <w:p w:rsidR="00632C9B" w:rsidRPr="00A724F7" w:rsidRDefault="00632C9B" w:rsidP="00632C9B">
      <w:pPr>
        <w:pStyle w:val="SingleTxt"/>
        <w:ind w:left="1695"/>
        <w:rPr>
          <w:szCs w:val="21"/>
        </w:rPr>
      </w:pPr>
      <w:r w:rsidRPr="00A724F7">
        <w:rPr>
          <w:szCs w:val="21"/>
        </w:rPr>
        <w:t>3.</w:t>
      </w:r>
      <w:r>
        <w:rPr>
          <w:rFonts w:hint="eastAsia"/>
          <w:szCs w:val="21"/>
        </w:rPr>
        <w:t xml:space="preserve">  </w:t>
      </w:r>
      <w:r w:rsidRPr="00A724F7">
        <w:rPr>
          <w:rFonts w:hint="eastAsia"/>
          <w:szCs w:val="21"/>
        </w:rPr>
        <w:t>在根据第三十二条识别嗣后惯例时，尤其须确定一个或多个缔约方的行为是否处在适用条约过程之中。</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结论7</w:t>
      </w:r>
      <w:r w:rsidRPr="00A83F6F">
        <w:rPr>
          <w:rFonts w:hint="eastAsia"/>
        </w:rPr>
        <w:br/>
        <w:t>嗣后协定和嗣后惯例可能对解释产生的影响</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szCs w:val="21"/>
        </w:rPr>
        <w:t>1.</w:t>
      </w:r>
      <w:r>
        <w:rPr>
          <w:rFonts w:hint="eastAsia"/>
          <w:szCs w:val="21"/>
        </w:rPr>
        <w:t xml:space="preserve">  </w:t>
      </w:r>
      <w:r w:rsidRPr="00A724F7">
        <w:rPr>
          <w:rFonts w:hint="eastAsia"/>
          <w:szCs w:val="21"/>
        </w:rPr>
        <w:t>第三十一条第三款所称的嗣后协定和嗣后惯例经与其他解释资料互动，有助于澄清条约的含义。这可能导致可能的解释范围、包括条约给予缔约方行使自由裁量权的任何范围变窄、变宽或受到另外的影响。</w:t>
      </w:r>
    </w:p>
    <w:p w:rsidR="00632C9B" w:rsidRPr="00A724F7" w:rsidRDefault="00632C9B" w:rsidP="00632C9B">
      <w:pPr>
        <w:pStyle w:val="SingleTxt"/>
        <w:ind w:left="1695"/>
        <w:rPr>
          <w:szCs w:val="21"/>
        </w:rPr>
      </w:pPr>
      <w:r w:rsidRPr="00A724F7">
        <w:rPr>
          <w:szCs w:val="21"/>
        </w:rPr>
        <w:t>2.</w:t>
      </w:r>
      <w:r>
        <w:rPr>
          <w:rFonts w:hint="eastAsia"/>
          <w:szCs w:val="21"/>
        </w:rPr>
        <w:t xml:space="preserve">  </w:t>
      </w:r>
      <w:r w:rsidRPr="00A724F7">
        <w:rPr>
          <w:rFonts w:hint="eastAsia"/>
          <w:szCs w:val="21"/>
        </w:rPr>
        <w:t>根据第三十二条确定的嗣后惯例也能有助于澄清条约的含义。</w:t>
      </w:r>
    </w:p>
    <w:p w:rsidR="00632C9B" w:rsidRPr="00A724F7" w:rsidRDefault="00632C9B" w:rsidP="00632C9B">
      <w:pPr>
        <w:pStyle w:val="SingleTxt"/>
        <w:ind w:left="1695"/>
        <w:rPr>
          <w:szCs w:val="21"/>
        </w:rPr>
      </w:pPr>
      <w:r w:rsidRPr="00A724F7">
        <w:rPr>
          <w:szCs w:val="21"/>
        </w:rPr>
        <w:t>3.</w:t>
      </w:r>
      <w:r>
        <w:rPr>
          <w:rFonts w:hint="eastAsia"/>
          <w:szCs w:val="21"/>
        </w:rPr>
        <w:t xml:space="preserve">  </w:t>
      </w:r>
      <w:r w:rsidRPr="00A724F7">
        <w:rPr>
          <w:rFonts w:hint="eastAsia"/>
          <w:szCs w:val="21"/>
        </w:rPr>
        <w:t>可以推定，条约缔约方嗣后达成协定或在适用条约方面采用一种惯例，其用意是为了解释条约，而不是修正或修改条约。缔约方通过嗣后惯例修正或修改条约的可能性尚未得到普遍认可。本结论草案不影响《维也纳条约法公约》和习惯国际法关于修正或修改条约的规则。</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w:t>
      </w:r>
      <w:r w:rsidRPr="00A83F6F">
        <w:t>8</w:t>
      </w:r>
      <w:r w:rsidRPr="00A83F6F">
        <w:rPr>
          <w:rFonts w:hint="eastAsia"/>
        </w:rPr>
        <w:br/>
        <w:t>嗣后协定和嗣后惯例作为解释资料的权重</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szCs w:val="21"/>
        </w:rPr>
        <w:t>1.</w:t>
      </w:r>
      <w:r w:rsidRPr="00A724F7">
        <w:rPr>
          <w:rFonts w:hint="eastAsia"/>
          <w:szCs w:val="21"/>
        </w:rPr>
        <w:t xml:space="preserve">  </w:t>
      </w:r>
      <w:r w:rsidRPr="00A724F7">
        <w:rPr>
          <w:rFonts w:hint="eastAsia"/>
          <w:szCs w:val="21"/>
        </w:rPr>
        <w:t>嗣后协定或嗣后惯例作为第三十一条第三款所称的解释资料的权重，除其他外，取决于其清晰性和特定性。</w:t>
      </w:r>
    </w:p>
    <w:p w:rsidR="00632C9B" w:rsidRPr="00A724F7" w:rsidRDefault="00632C9B" w:rsidP="00632C9B">
      <w:pPr>
        <w:pStyle w:val="SingleTxt"/>
        <w:ind w:left="1695"/>
        <w:rPr>
          <w:szCs w:val="21"/>
        </w:rPr>
      </w:pPr>
      <w:r w:rsidRPr="00A724F7">
        <w:rPr>
          <w:szCs w:val="21"/>
        </w:rPr>
        <w:t>2.</w:t>
      </w:r>
      <w:r w:rsidRPr="00A724F7">
        <w:rPr>
          <w:rFonts w:hint="eastAsia"/>
          <w:szCs w:val="21"/>
        </w:rPr>
        <w:t xml:space="preserve">  </w:t>
      </w:r>
      <w:r w:rsidRPr="00A724F7">
        <w:rPr>
          <w:rFonts w:hint="eastAsia"/>
          <w:szCs w:val="21"/>
        </w:rPr>
        <w:t>第三十一条第三款</w:t>
      </w:r>
      <w:r w:rsidRPr="00A724F7">
        <w:rPr>
          <w:rFonts w:hint="eastAsia"/>
          <w:szCs w:val="21"/>
        </w:rPr>
        <w:t>(b)</w:t>
      </w:r>
      <w:r w:rsidRPr="00A724F7">
        <w:rPr>
          <w:rFonts w:hint="eastAsia"/>
          <w:szCs w:val="21"/>
        </w:rPr>
        <w:t>项所称的嗣后惯例的权重还取决于该惯例是否以及如何重复出现。</w:t>
      </w:r>
    </w:p>
    <w:p w:rsidR="00632C9B" w:rsidRPr="00A724F7" w:rsidRDefault="00632C9B" w:rsidP="00632C9B">
      <w:pPr>
        <w:pStyle w:val="SingleTxt"/>
        <w:ind w:left="1695"/>
        <w:rPr>
          <w:szCs w:val="21"/>
        </w:rPr>
      </w:pPr>
      <w:r w:rsidRPr="00A724F7">
        <w:rPr>
          <w:szCs w:val="21"/>
        </w:rPr>
        <w:t>3.</w:t>
      </w:r>
      <w:r w:rsidRPr="00A724F7">
        <w:rPr>
          <w:rFonts w:hint="eastAsia"/>
          <w:szCs w:val="21"/>
        </w:rPr>
        <w:t xml:space="preserve">  </w:t>
      </w:r>
      <w:r w:rsidRPr="00A724F7">
        <w:rPr>
          <w:rFonts w:hint="eastAsia"/>
          <w:szCs w:val="21"/>
        </w:rPr>
        <w:t>嗣后惯例作为第三十二条所称的补充的解释资料的权重可取决于第</w:t>
      </w:r>
      <w:r w:rsidRPr="00A724F7">
        <w:rPr>
          <w:rFonts w:hint="eastAsia"/>
          <w:szCs w:val="21"/>
        </w:rPr>
        <w:t>1</w:t>
      </w:r>
      <w:r w:rsidRPr="00A724F7">
        <w:rPr>
          <w:rFonts w:hint="eastAsia"/>
          <w:szCs w:val="21"/>
        </w:rPr>
        <w:t>和第</w:t>
      </w:r>
      <w:r w:rsidRPr="00A724F7">
        <w:rPr>
          <w:rFonts w:hint="eastAsia"/>
          <w:szCs w:val="21"/>
        </w:rPr>
        <w:t>2</w:t>
      </w:r>
      <w:r w:rsidRPr="00A724F7">
        <w:rPr>
          <w:rFonts w:hint="eastAsia"/>
          <w:szCs w:val="21"/>
        </w:rPr>
        <w:t>段所述标准。</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w:t>
      </w:r>
      <w:r w:rsidRPr="00A83F6F">
        <w:t>9</w:t>
      </w:r>
      <w:r w:rsidRPr="00A83F6F">
        <w:rPr>
          <w:rFonts w:hint="eastAsia"/>
        </w:rPr>
        <w:br/>
        <w:t>与条约解释有关的缔约方协定</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szCs w:val="21"/>
        </w:rPr>
        <w:t>1.</w:t>
      </w:r>
      <w:r w:rsidRPr="00A724F7">
        <w:rPr>
          <w:rFonts w:hint="eastAsia"/>
          <w:szCs w:val="21"/>
        </w:rPr>
        <w:t xml:space="preserve">  </w:t>
      </w:r>
      <w:r w:rsidRPr="00A724F7">
        <w:rPr>
          <w:rFonts w:hint="eastAsia"/>
          <w:szCs w:val="21"/>
        </w:rPr>
        <w:t>第三十一条第三款</w:t>
      </w:r>
      <w:r w:rsidRPr="00A724F7">
        <w:rPr>
          <w:rFonts w:hint="eastAsia"/>
          <w:szCs w:val="21"/>
        </w:rPr>
        <w:t>(a)</w:t>
      </w:r>
      <w:r w:rsidRPr="00A724F7">
        <w:rPr>
          <w:rFonts w:hint="eastAsia"/>
          <w:szCs w:val="21"/>
        </w:rPr>
        <w:t>项和</w:t>
      </w:r>
      <w:r w:rsidRPr="00A724F7">
        <w:rPr>
          <w:rFonts w:hint="eastAsia"/>
          <w:szCs w:val="21"/>
        </w:rPr>
        <w:t>(b)</w:t>
      </w:r>
      <w:r w:rsidRPr="00A724F7">
        <w:rPr>
          <w:rFonts w:hint="eastAsia"/>
          <w:szCs w:val="21"/>
        </w:rPr>
        <w:t>项所称的协定必须是各缔约方知悉并接受的关于条约解释的共同理解。这种协定虽然应予以考虑，但不必具有法律约束力。</w:t>
      </w:r>
    </w:p>
    <w:p w:rsidR="00632C9B" w:rsidRPr="00A724F7" w:rsidRDefault="00632C9B" w:rsidP="00632C9B">
      <w:pPr>
        <w:pStyle w:val="SingleTxt"/>
        <w:ind w:left="1695"/>
        <w:rPr>
          <w:szCs w:val="21"/>
        </w:rPr>
      </w:pPr>
      <w:r w:rsidRPr="00A724F7">
        <w:rPr>
          <w:szCs w:val="21"/>
        </w:rPr>
        <w:t>2.</w:t>
      </w:r>
      <w:r w:rsidRPr="00A724F7">
        <w:rPr>
          <w:rFonts w:hint="eastAsia"/>
          <w:szCs w:val="21"/>
        </w:rPr>
        <w:t xml:space="preserve">  </w:t>
      </w:r>
      <w:r w:rsidRPr="00A724F7">
        <w:rPr>
          <w:rFonts w:hint="eastAsia"/>
          <w:szCs w:val="21"/>
        </w:rPr>
        <w:t>为确立第三十一条第三款</w:t>
      </w:r>
      <w:r w:rsidRPr="00A724F7">
        <w:rPr>
          <w:rFonts w:hint="eastAsia"/>
          <w:szCs w:val="21"/>
        </w:rPr>
        <w:t>(b)</w:t>
      </w:r>
      <w:r w:rsidRPr="00A724F7">
        <w:rPr>
          <w:rFonts w:hint="eastAsia"/>
          <w:szCs w:val="21"/>
        </w:rPr>
        <w:t>项所称的协定而必须积极适用嗣后惯例的缔约方数目可能不尽相同。在有关情况要求作出某种反应时，一个或多个缔约方的沉默可构成对嗣后惯例的接受。</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lastRenderedPageBreak/>
        <w:tab/>
      </w:r>
      <w:r>
        <w:rPr>
          <w:rFonts w:hint="eastAsia"/>
        </w:rPr>
        <w:tab/>
      </w:r>
      <w:r w:rsidRPr="00A83F6F">
        <w:rPr>
          <w:rFonts w:hint="eastAsia"/>
        </w:rPr>
        <w:t>结论</w:t>
      </w:r>
      <w:r w:rsidRPr="00A83F6F">
        <w:t>10</w:t>
      </w:r>
      <w:r w:rsidRPr="00A83F6F">
        <w:rPr>
          <w:rFonts w:hint="eastAsia"/>
        </w:rPr>
        <w:br/>
        <w:t>在缔约国大会框架内通过的决定</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szCs w:val="21"/>
        </w:rPr>
        <w:t>1.</w:t>
      </w:r>
      <w:r w:rsidRPr="00A724F7">
        <w:rPr>
          <w:rFonts w:hint="eastAsia"/>
          <w:szCs w:val="21"/>
        </w:rPr>
        <w:t xml:space="preserve">  </w:t>
      </w:r>
      <w:r w:rsidRPr="00A724F7">
        <w:rPr>
          <w:rFonts w:hint="eastAsia"/>
          <w:szCs w:val="21"/>
        </w:rPr>
        <w:t>根据这些结论草案，缔约国大会是缔约国根据条约为审查或执行条约举行的会议，但缔约国作为国际组织机构成员而行事的情况不在此列。</w:t>
      </w:r>
    </w:p>
    <w:p w:rsidR="00632C9B" w:rsidRPr="00A724F7" w:rsidRDefault="00632C9B" w:rsidP="00632C9B">
      <w:pPr>
        <w:pStyle w:val="SingleTxt"/>
        <w:ind w:left="1695"/>
        <w:rPr>
          <w:szCs w:val="21"/>
        </w:rPr>
      </w:pPr>
      <w:r w:rsidRPr="00A724F7">
        <w:rPr>
          <w:szCs w:val="21"/>
        </w:rPr>
        <w:t>2.</w:t>
      </w:r>
      <w:r w:rsidRPr="00A724F7">
        <w:rPr>
          <w:rFonts w:hint="eastAsia"/>
          <w:szCs w:val="21"/>
        </w:rPr>
        <w:t xml:space="preserve">  </w:t>
      </w:r>
      <w:r w:rsidRPr="00A724F7">
        <w:rPr>
          <w:rFonts w:hint="eastAsia"/>
          <w:szCs w:val="21"/>
        </w:rPr>
        <w:t>在缔约国大会框架内通过的决定所具有的法律效力主要取决于条约和可适用的议事规则。根据情况，这种决定可明确或间接地体现第三十一条第三款</w:t>
      </w:r>
      <w:r w:rsidRPr="00A724F7">
        <w:rPr>
          <w:rFonts w:hint="eastAsia"/>
          <w:szCs w:val="21"/>
        </w:rPr>
        <w:t>(a)</w:t>
      </w:r>
      <w:r w:rsidRPr="00A724F7">
        <w:rPr>
          <w:rFonts w:hint="eastAsia"/>
          <w:szCs w:val="21"/>
        </w:rPr>
        <w:t>项所称的嗣后协定，或产生第三十一条第三款</w:t>
      </w:r>
      <w:r w:rsidRPr="00A724F7">
        <w:rPr>
          <w:rFonts w:hint="eastAsia"/>
          <w:szCs w:val="21"/>
        </w:rPr>
        <w:t>(b)</w:t>
      </w:r>
      <w:r w:rsidRPr="00A724F7">
        <w:rPr>
          <w:rFonts w:hint="eastAsia"/>
          <w:szCs w:val="21"/>
        </w:rPr>
        <w:t>项或第三十二条所称的嗣后惯例。在缔约国大会框架内通过的决定通常为执行条约提供了非排他性的一系列可行选择。</w:t>
      </w:r>
    </w:p>
    <w:p w:rsidR="00632C9B" w:rsidRPr="00A724F7" w:rsidRDefault="00632C9B" w:rsidP="00632C9B">
      <w:pPr>
        <w:pStyle w:val="SingleTxt"/>
        <w:ind w:left="1695"/>
        <w:rPr>
          <w:szCs w:val="21"/>
        </w:rPr>
      </w:pPr>
      <w:r w:rsidRPr="00A724F7">
        <w:rPr>
          <w:szCs w:val="21"/>
        </w:rPr>
        <w:t>3.</w:t>
      </w:r>
      <w:r w:rsidRPr="00A724F7">
        <w:rPr>
          <w:rFonts w:hint="eastAsia"/>
          <w:szCs w:val="21"/>
        </w:rPr>
        <w:t xml:space="preserve">  </w:t>
      </w:r>
      <w:r w:rsidRPr="00A724F7">
        <w:rPr>
          <w:rFonts w:hint="eastAsia"/>
          <w:szCs w:val="21"/>
        </w:rPr>
        <w:t>在缔约国大会框架内通过的决定只要表达了缔约国之间就条约解释达成的实质性协议，则不论决定以何种形式和程序通过，包括经协商一致通过，均体现第三十一条第三款所称的嗣后协定或嗣后惯例。</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w:t>
      </w:r>
      <w:r w:rsidRPr="00A83F6F">
        <w:t>1</w:t>
      </w:r>
      <w:r w:rsidRPr="00A83F6F">
        <w:rPr>
          <w:rFonts w:hint="eastAsia"/>
        </w:rPr>
        <w:t>1</w:t>
      </w:r>
      <w:r w:rsidRPr="00A83F6F">
        <w:br/>
      </w:r>
      <w:r w:rsidRPr="00A83F6F">
        <w:rPr>
          <w:rFonts w:hint="eastAsia"/>
        </w:rPr>
        <w:t>国际组织的组成文书</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rFonts w:hint="eastAsia"/>
          <w:szCs w:val="21"/>
        </w:rPr>
        <w:t xml:space="preserve">1.  </w:t>
      </w:r>
      <w:r w:rsidRPr="00A724F7">
        <w:rPr>
          <w:rFonts w:hint="eastAsia"/>
          <w:szCs w:val="21"/>
        </w:rPr>
        <w:t>第三十一条和第三十二条适用于作为国际组织组成文书的条约。因此，第三十一条第三款所称的嗣后协定和嗣后惯例是这类条约的解释资料，第三十二条所称的其他嗣后惯例可以作为这类条约的解释资料。</w:t>
      </w:r>
    </w:p>
    <w:p w:rsidR="00632C9B" w:rsidRPr="00A724F7" w:rsidRDefault="00632C9B" w:rsidP="00632C9B">
      <w:pPr>
        <w:pStyle w:val="SingleTxt"/>
        <w:ind w:left="1695"/>
        <w:rPr>
          <w:szCs w:val="21"/>
        </w:rPr>
      </w:pPr>
      <w:r w:rsidRPr="00A724F7">
        <w:rPr>
          <w:rFonts w:hint="eastAsia"/>
          <w:szCs w:val="21"/>
        </w:rPr>
        <w:t xml:space="preserve">2.  </w:t>
      </w:r>
      <w:r w:rsidRPr="00A724F7">
        <w:rPr>
          <w:rFonts w:hint="eastAsia"/>
          <w:szCs w:val="21"/>
        </w:rPr>
        <w:t>第三十一条第三款所称的嗣后协定和嗣后惯例或第三十二条所称的其他嗣后惯例可以出自国际组织适用其组成文书的惯例，或体现在这类惯例中。</w:t>
      </w:r>
    </w:p>
    <w:p w:rsidR="00632C9B" w:rsidRPr="00A724F7" w:rsidRDefault="00632C9B" w:rsidP="00632C9B">
      <w:pPr>
        <w:pStyle w:val="SingleTxt"/>
        <w:ind w:left="1695"/>
        <w:rPr>
          <w:szCs w:val="21"/>
        </w:rPr>
      </w:pPr>
      <w:r w:rsidRPr="00A724F7">
        <w:rPr>
          <w:rFonts w:hint="eastAsia"/>
          <w:szCs w:val="21"/>
        </w:rPr>
        <w:t xml:space="preserve">3.  </w:t>
      </w:r>
      <w:r w:rsidRPr="00A724F7">
        <w:rPr>
          <w:rFonts w:hint="eastAsia"/>
          <w:szCs w:val="21"/>
        </w:rPr>
        <w:t>在适用第三十一条第一款和第三十二条时，国际组织适用其组成文书的惯例可以有助于解释该文书。</w:t>
      </w:r>
    </w:p>
    <w:p w:rsidR="00632C9B" w:rsidRPr="00A724F7" w:rsidRDefault="00632C9B" w:rsidP="00632C9B">
      <w:pPr>
        <w:pStyle w:val="SingleTxt"/>
        <w:ind w:left="1695"/>
        <w:rPr>
          <w:szCs w:val="21"/>
        </w:rPr>
      </w:pPr>
      <w:r w:rsidRPr="00A724F7">
        <w:rPr>
          <w:rFonts w:hint="eastAsia"/>
          <w:szCs w:val="21"/>
        </w:rPr>
        <w:t xml:space="preserve">4.  </w:t>
      </w:r>
      <w:r w:rsidRPr="00A724F7">
        <w:rPr>
          <w:rFonts w:hint="eastAsia"/>
          <w:szCs w:val="21"/>
        </w:rPr>
        <w:t>第</w:t>
      </w:r>
      <w:r w:rsidRPr="00A724F7">
        <w:rPr>
          <w:rFonts w:hint="eastAsia"/>
          <w:szCs w:val="21"/>
        </w:rPr>
        <w:t>1</w:t>
      </w:r>
      <w:r w:rsidRPr="00A724F7">
        <w:rPr>
          <w:rFonts w:hint="eastAsia"/>
          <w:szCs w:val="21"/>
        </w:rPr>
        <w:t>至</w:t>
      </w:r>
      <w:r w:rsidRPr="00A724F7">
        <w:rPr>
          <w:rFonts w:hint="eastAsia"/>
          <w:szCs w:val="21"/>
        </w:rPr>
        <w:t>3</w:t>
      </w:r>
      <w:r w:rsidRPr="00A724F7">
        <w:rPr>
          <w:rFonts w:hint="eastAsia"/>
          <w:szCs w:val="21"/>
        </w:rPr>
        <w:t>段适用于对作为国际组织组成文书的任何条约的解释，但不妨碍该组织的任何有关规则。</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sidRPr="00A724F7">
        <w:rPr>
          <w:lang w:val="en-GB"/>
        </w:rPr>
        <w:t>2.</w:t>
      </w:r>
      <w:r w:rsidRPr="00A724F7">
        <w:rPr>
          <w:lang w:val="en-GB"/>
        </w:rPr>
        <w:tab/>
      </w:r>
      <w:r w:rsidRPr="00A724F7">
        <w:rPr>
          <w:rFonts w:hint="eastAsia"/>
          <w:lang w:val="en-GB"/>
        </w:rPr>
        <w:t>委员会第六十七届会议暂时通过的</w:t>
      </w:r>
      <w:r w:rsidRPr="00A724F7">
        <w:rPr>
          <w:rFonts w:hint="eastAsia"/>
          <w:bCs/>
        </w:rPr>
        <w:t>结论草案</w:t>
      </w:r>
      <w:r w:rsidRPr="00A724F7">
        <w:rPr>
          <w:rFonts w:hint="eastAsia"/>
          <w:lang w:val="en-GB"/>
        </w:rPr>
        <w:t>案文及其评注</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496316" w:rsidRPr="00496316" w:rsidRDefault="00496316" w:rsidP="00496316">
      <w:pPr>
        <w:pStyle w:val="SingleTxt"/>
        <w:spacing w:after="0" w:line="120" w:lineRule="exact"/>
        <w:rPr>
          <w:bCs/>
          <w:sz w:val="10"/>
        </w:rPr>
      </w:pPr>
    </w:p>
    <w:p w:rsidR="00632C9B" w:rsidRPr="00A724F7" w:rsidRDefault="00632C9B" w:rsidP="00632C9B">
      <w:pPr>
        <w:pStyle w:val="SingleTxt"/>
        <w:rPr>
          <w:lang w:val="en-GB"/>
        </w:rPr>
      </w:pPr>
      <w:r w:rsidRPr="00A724F7">
        <w:rPr>
          <w:rFonts w:hint="eastAsia"/>
          <w:bCs/>
        </w:rPr>
        <w:t>129.</w:t>
      </w:r>
      <w:r>
        <w:rPr>
          <w:rFonts w:hint="eastAsia"/>
          <w:bCs/>
        </w:rPr>
        <w:t xml:space="preserve">  </w:t>
      </w:r>
      <w:r w:rsidRPr="00A724F7">
        <w:rPr>
          <w:rFonts w:hint="eastAsia"/>
          <w:lang w:val="en-GB"/>
        </w:rPr>
        <w:t>委员会第六十七届会议暂时通过的</w:t>
      </w:r>
      <w:r w:rsidRPr="00A724F7">
        <w:rPr>
          <w:rFonts w:hint="eastAsia"/>
          <w:bCs/>
        </w:rPr>
        <w:t>结论草案</w:t>
      </w:r>
      <w:r w:rsidRPr="00A724F7">
        <w:rPr>
          <w:rFonts w:hint="eastAsia"/>
          <w:lang w:val="en-GB"/>
        </w:rPr>
        <w:t>案文及其评注载录如下。</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83F6F"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ind w:left="1695" w:right="1259" w:hanging="1264"/>
      </w:pPr>
      <w:r>
        <w:rPr>
          <w:rFonts w:hint="eastAsia"/>
        </w:rPr>
        <w:tab/>
      </w:r>
      <w:r>
        <w:rPr>
          <w:rFonts w:hint="eastAsia"/>
        </w:rPr>
        <w:tab/>
      </w:r>
      <w:r w:rsidRPr="00A83F6F">
        <w:rPr>
          <w:rFonts w:hint="eastAsia"/>
        </w:rPr>
        <w:t>结论</w:t>
      </w:r>
      <w:r w:rsidRPr="00A83F6F">
        <w:t>11</w:t>
      </w:r>
      <w:r w:rsidRPr="00A83F6F">
        <w:rPr>
          <w:rFonts w:hint="eastAsia"/>
        </w:rPr>
        <w:br/>
        <w:t>国际组织的组成文书</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ind w:left="1695"/>
        <w:rPr>
          <w:szCs w:val="21"/>
        </w:rPr>
      </w:pPr>
      <w:r w:rsidRPr="00A724F7">
        <w:rPr>
          <w:rFonts w:hint="eastAsia"/>
          <w:szCs w:val="21"/>
        </w:rPr>
        <w:t xml:space="preserve">1.  </w:t>
      </w:r>
      <w:r w:rsidRPr="00A724F7">
        <w:rPr>
          <w:rFonts w:hint="eastAsia"/>
          <w:szCs w:val="21"/>
        </w:rPr>
        <w:t>第三十一条和第三十二条适用于作为国际组织组成文书的条约。因此，第三十一条第三款所称的嗣后协定和嗣后惯例是这类条约的解释资料，第三十二条所称的其他嗣后惯例可以作为这类条约的解释资料。</w:t>
      </w:r>
    </w:p>
    <w:p w:rsidR="00632C9B" w:rsidRPr="00A724F7" w:rsidRDefault="00632C9B" w:rsidP="00632C9B">
      <w:pPr>
        <w:pStyle w:val="SingleTxt"/>
        <w:ind w:left="1695"/>
        <w:rPr>
          <w:szCs w:val="21"/>
        </w:rPr>
      </w:pPr>
      <w:r w:rsidRPr="00A724F7">
        <w:rPr>
          <w:rFonts w:hint="eastAsia"/>
          <w:szCs w:val="21"/>
        </w:rPr>
        <w:t xml:space="preserve">2.  </w:t>
      </w:r>
      <w:r w:rsidRPr="00A724F7">
        <w:rPr>
          <w:rFonts w:hint="eastAsia"/>
          <w:szCs w:val="21"/>
        </w:rPr>
        <w:t>第三十一条第三款所称的嗣后协定和嗣后惯例或第三十二条所称的其他嗣后惯例可以出自国际组织适用其组成文书的惯例，或体现在这类惯例中。</w:t>
      </w:r>
    </w:p>
    <w:p w:rsidR="00632C9B" w:rsidRPr="00A724F7" w:rsidRDefault="00632C9B" w:rsidP="00632C9B">
      <w:pPr>
        <w:pStyle w:val="SingleTxt"/>
        <w:ind w:left="1695"/>
        <w:rPr>
          <w:szCs w:val="21"/>
        </w:rPr>
      </w:pPr>
      <w:r w:rsidRPr="00A724F7">
        <w:rPr>
          <w:rFonts w:hint="eastAsia"/>
          <w:szCs w:val="21"/>
        </w:rPr>
        <w:lastRenderedPageBreak/>
        <w:t xml:space="preserve">3.  </w:t>
      </w:r>
      <w:r w:rsidRPr="00A724F7">
        <w:rPr>
          <w:rFonts w:hint="eastAsia"/>
          <w:szCs w:val="21"/>
        </w:rPr>
        <w:t>在适用第三十一条第一款和第三十二条时，国际组织适用其组成文书的惯例可以有助于解释该文书。</w:t>
      </w:r>
    </w:p>
    <w:p w:rsidR="00632C9B" w:rsidRPr="00A724F7" w:rsidRDefault="00632C9B" w:rsidP="00632C9B">
      <w:pPr>
        <w:pStyle w:val="SingleTxt"/>
        <w:spacing w:after="60"/>
        <w:ind w:left="1695"/>
        <w:rPr>
          <w:szCs w:val="21"/>
        </w:rPr>
      </w:pPr>
      <w:r w:rsidRPr="00A724F7">
        <w:rPr>
          <w:rFonts w:hint="eastAsia"/>
          <w:szCs w:val="21"/>
        </w:rPr>
        <w:t xml:space="preserve">4.  </w:t>
      </w:r>
      <w:r w:rsidRPr="00A724F7">
        <w:rPr>
          <w:rFonts w:hint="eastAsia"/>
          <w:szCs w:val="21"/>
        </w:rPr>
        <w:t>第</w:t>
      </w:r>
      <w:r w:rsidRPr="00A724F7">
        <w:rPr>
          <w:rFonts w:hint="eastAsia"/>
          <w:szCs w:val="21"/>
        </w:rPr>
        <w:t>1</w:t>
      </w:r>
      <w:r w:rsidRPr="00A724F7">
        <w:rPr>
          <w:rFonts w:hint="eastAsia"/>
          <w:szCs w:val="21"/>
        </w:rPr>
        <w:t>至</w:t>
      </w:r>
      <w:r w:rsidRPr="00A724F7">
        <w:rPr>
          <w:rFonts w:hint="eastAsia"/>
          <w:szCs w:val="21"/>
        </w:rPr>
        <w:t>3</w:t>
      </w:r>
      <w:r w:rsidRPr="00A724F7">
        <w:rPr>
          <w:rFonts w:hint="eastAsia"/>
          <w:szCs w:val="21"/>
        </w:rPr>
        <w:t>段适用于对作为国际组织组成文书的任何条约的解释，但不妨碍该组织的任何有关规则。</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724F7">
        <w:rPr>
          <w:rFonts w:hint="eastAsia"/>
        </w:rPr>
        <w:tab/>
      </w:r>
      <w:r w:rsidRPr="00A724F7">
        <w:rPr>
          <w:rFonts w:hint="eastAsia"/>
        </w:rPr>
        <w:tab/>
        <w:t>评注</w:t>
      </w:r>
    </w:p>
    <w:p w:rsidR="00632C9B" w:rsidRPr="00933E56" w:rsidRDefault="00632C9B" w:rsidP="00632C9B">
      <w:pPr>
        <w:pStyle w:val="H23"/>
        <w:tabs>
          <w:tab w:val="right" w:pos="1020"/>
          <w:tab w:val="left" w:pos="1890"/>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695" w:right="1259" w:hanging="1264"/>
        <w:rPr>
          <w:sz w:val="10"/>
        </w:rPr>
      </w:pPr>
    </w:p>
    <w:p w:rsidR="00632C9B" w:rsidRPr="00A724F7" w:rsidRDefault="00632C9B" w:rsidP="00632C9B">
      <w:pPr>
        <w:pStyle w:val="SingleTxt"/>
        <w:spacing w:after="120"/>
      </w:pPr>
      <w:r w:rsidRPr="00A724F7">
        <w:t>(1)</w:t>
      </w:r>
      <w:r>
        <w:rPr>
          <w:rFonts w:hint="eastAsia"/>
        </w:rPr>
        <w:t xml:space="preserve">  </w:t>
      </w:r>
      <w:r w:rsidRPr="00A724F7">
        <w:rPr>
          <w:rFonts w:hint="eastAsia"/>
        </w:rPr>
        <w:t>结论草案</w:t>
      </w:r>
      <w:r w:rsidRPr="00A724F7">
        <w:t>11</w:t>
      </w:r>
      <w:r w:rsidRPr="00A724F7">
        <w:rPr>
          <w:rFonts w:hint="eastAsia"/>
        </w:rPr>
        <w:t>涉及一种特定的条约，即国际组织的组成文书，以及根据《维也纳条约法公约》</w:t>
      </w:r>
      <w:r w:rsidRPr="00A724F7">
        <w:t>第三十一条和第三十二条</w:t>
      </w:r>
      <w:r w:rsidRPr="00A724F7">
        <w:rPr>
          <w:rFonts w:hint="eastAsia"/>
        </w:rPr>
        <w:t>解释此类条约时应该或可以考虑嗣后协定和嗣后惯例的方式。</w:t>
      </w:r>
    </w:p>
    <w:p w:rsidR="00632C9B" w:rsidRPr="00A724F7" w:rsidRDefault="00632C9B" w:rsidP="00632C9B">
      <w:pPr>
        <w:pStyle w:val="SingleTxt"/>
        <w:spacing w:after="120"/>
        <w:rPr>
          <w:szCs w:val="21"/>
        </w:rPr>
      </w:pPr>
      <w:r w:rsidRPr="00A724F7">
        <w:rPr>
          <w:szCs w:val="21"/>
        </w:rPr>
        <w:t>(2)</w:t>
      </w:r>
      <w:r>
        <w:rPr>
          <w:rFonts w:hint="eastAsia"/>
          <w:szCs w:val="21"/>
        </w:rPr>
        <w:t xml:space="preserve">  </w:t>
      </w:r>
      <w:r w:rsidRPr="00A724F7">
        <w:rPr>
          <w:rFonts w:hint="eastAsia"/>
          <w:szCs w:val="21"/>
        </w:rPr>
        <w:t>《维也纳条约法公约》第五条专门针对国际组织的组成文书，该条规定：</w:t>
      </w:r>
    </w:p>
    <w:p w:rsidR="00632C9B" w:rsidRPr="00A724F7" w:rsidRDefault="00632C9B" w:rsidP="00632C9B">
      <w:pPr>
        <w:pStyle w:val="SingleTxt"/>
        <w:spacing w:after="120"/>
        <w:ind w:left="1695"/>
        <w:rPr>
          <w:szCs w:val="21"/>
        </w:rPr>
      </w:pPr>
      <w:r w:rsidRPr="00A724F7">
        <w:rPr>
          <w:rFonts w:hint="eastAsia"/>
          <w:szCs w:val="21"/>
        </w:rPr>
        <w:t>“本公约适用于为一国际组织组织约章之任何条约及在一国际组织内议定之任何条约，但</w:t>
      </w:r>
      <w:bookmarkStart w:id="50" w:name="OLE_LINK5"/>
      <w:bookmarkStart w:id="51" w:name="OLE_LINK6"/>
      <w:r w:rsidRPr="00A724F7">
        <w:rPr>
          <w:rFonts w:hint="eastAsia"/>
          <w:szCs w:val="21"/>
        </w:rPr>
        <w:t>对该组织任何有关规则并无妨碍</w:t>
      </w:r>
      <w:bookmarkEnd w:id="50"/>
      <w:bookmarkEnd w:id="51"/>
      <w:r w:rsidRPr="00A724F7">
        <w:rPr>
          <w:rFonts w:hint="eastAsia"/>
          <w:szCs w:val="21"/>
        </w:rPr>
        <w:t>。”</w:t>
      </w:r>
      <w:r w:rsidRPr="003F1277">
        <w:rPr>
          <w:rStyle w:val="a3"/>
          <w:szCs w:val="21"/>
        </w:rPr>
        <w:footnoteReference w:id="296"/>
      </w:r>
    </w:p>
    <w:p w:rsidR="00632C9B" w:rsidRPr="00A724F7" w:rsidRDefault="00632C9B" w:rsidP="00632C9B">
      <w:pPr>
        <w:pStyle w:val="SingleTxt"/>
        <w:spacing w:after="120"/>
        <w:rPr>
          <w:szCs w:val="21"/>
        </w:rPr>
      </w:pPr>
      <w:r w:rsidRPr="00A724F7">
        <w:rPr>
          <w:szCs w:val="21"/>
        </w:rPr>
        <w:t>(3)</w:t>
      </w:r>
      <w:r>
        <w:rPr>
          <w:rFonts w:hint="eastAsia"/>
          <w:szCs w:val="21"/>
        </w:rPr>
        <w:t xml:space="preserve">  </w:t>
      </w:r>
      <w:r w:rsidRPr="00A724F7">
        <w:rPr>
          <w:rFonts w:hint="eastAsia"/>
          <w:szCs w:val="21"/>
        </w:rPr>
        <w:t>第五条所述国际组织的组成文书和其他条约一样，是“载于一项单独文书或两项以上相互有关之文书内”</w:t>
      </w:r>
      <w:r w:rsidRPr="00A724F7">
        <w:rPr>
          <w:rFonts w:hAnsi="宋体"/>
          <w:szCs w:val="21"/>
        </w:rPr>
        <w:t>(</w:t>
      </w:r>
      <w:r w:rsidRPr="00A724F7">
        <w:rPr>
          <w:rFonts w:hint="eastAsia"/>
          <w:szCs w:val="21"/>
        </w:rPr>
        <w:t>第二条第一款</w:t>
      </w:r>
      <w:r w:rsidRPr="00A724F7">
        <w:rPr>
          <w:rFonts w:hAnsi="宋体"/>
          <w:szCs w:val="21"/>
        </w:rPr>
        <w:t>(</w:t>
      </w:r>
      <w:r w:rsidRPr="00A724F7">
        <w:rPr>
          <w:szCs w:val="21"/>
        </w:rPr>
        <w:t>a</w:t>
      </w:r>
      <w:r w:rsidRPr="00A724F7">
        <w:rPr>
          <w:rFonts w:hAnsi="宋体"/>
          <w:szCs w:val="21"/>
        </w:rPr>
        <w:t>)</w:t>
      </w:r>
      <w:r w:rsidRPr="00A724F7">
        <w:rPr>
          <w:rFonts w:hint="eastAsia"/>
          <w:szCs w:val="21"/>
        </w:rPr>
        <w:t>项</w:t>
      </w:r>
      <w:r w:rsidRPr="00A724F7">
        <w:rPr>
          <w:rFonts w:hAnsi="宋体"/>
          <w:szCs w:val="21"/>
        </w:rPr>
        <w:t>)</w:t>
      </w:r>
      <w:r w:rsidRPr="00A724F7">
        <w:rPr>
          <w:rFonts w:hint="eastAsia"/>
          <w:szCs w:val="21"/>
        </w:rPr>
        <w:t>的国际协定。此类条约所包含的规定是组成文书的一部分。</w:t>
      </w:r>
      <w:bookmarkStart w:id="52" w:name="_Ref424551049"/>
      <w:r w:rsidRPr="003F1277">
        <w:rPr>
          <w:rStyle w:val="a3"/>
          <w:szCs w:val="21"/>
        </w:rPr>
        <w:footnoteReference w:id="297"/>
      </w:r>
      <w:bookmarkEnd w:id="52"/>
    </w:p>
    <w:p w:rsidR="00632C9B" w:rsidRPr="00A724F7" w:rsidRDefault="00632C9B" w:rsidP="00632C9B">
      <w:pPr>
        <w:pStyle w:val="SingleTxt"/>
        <w:spacing w:after="120"/>
        <w:rPr>
          <w:b/>
          <w:szCs w:val="21"/>
        </w:rPr>
      </w:pPr>
      <w:r w:rsidRPr="00A724F7">
        <w:rPr>
          <w:szCs w:val="21"/>
        </w:rPr>
        <w:t>(4)</w:t>
      </w:r>
      <w:r>
        <w:rPr>
          <w:rFonts w:hint="eastAsia"/>
          <w:szCs w:val="21"/>
        </w:rPr>
        <w:t xml:space="preserve">  </w:t>
      </w:r>
      <w:r w:rsidRPr="00A724F7">
        <w:rPr>
          <w:rFonts w:hint="eastAsia"/>
          <w:szCs w:val="21"/>
        </w:rPr>
        <w:t>一般来说，第五条通过规定《维也纳公约》适用于国际组织组成文书而不妨碍该组织相关规则，</w:t>
      </w:r>
      <w:bookmarkStart w:id="53" w:name="_Ref424551206"/>
      <w:r w:rsidRPr="003F1277">
        <w:rPr>
          <w:rStyle w:val="a3"/>
          <w:szCs w:val="21"/>
        </w:rPr>
        <w:footnoteReference w:id="298"/>
      </w:r>
      <w:bookmarkEnd w:id="53"/>
      <w:r w:rsidRPr="00A724F7">
        <w:rPr>
          <w:rFonts w:hint="eastAsia"/>
          <w:szCs w:val="21"/>
        </w:rPr>
        <w:t xml:space="preserve"> </w:t>
      </w:r>
      <w:r w:rsidRPr="00A724F7">
        <w:rPr>
          <w:rFonts w:hint="eastAsia"/>
          <w:szCs w:val="21"/>
        </w:rPr>
        <w:t>遵循了《公约》的一般原则，即“除条约另有规定外”，缔约国间的条约应遵循《公约》所载的规则。</w:t>
      </w:r>
      <w:r w:rsidRPr="003F1277">
        <w:rPr>
          <w:rStyle w:val="a3"/>
          <w:szCs w:val="21"/>
        </w:rPr>
        <w:footnoteReference w:id="299"/>
      </w:r>
    </w:p>
    <w:p w:rsidR="00632C9B" w:rsidRPr="00A724F7" w:rsidRDefault="00632C9B" w:rsidP="00632C9B">
      <w:pPr>
        <w:pStyle w:val="SingleTxt"/>
        <w:spacing w:after="120"/>
        <w:rPr>
          <w:b/>
          <w:szCs w:val="21"/>
        </w:rPr>
      </w:pPr>
      <w:r w:rsidRPr="00A724F7">
        <w:rPr>
          <w:szCs w:val="21"/>
        </w:rPr>
        <w:t>(5)</w:t>
      </w:r>
      <w:r>
        <w:rPr>
          <w:rFonts w:hint="eastAsia"/>
          <w:szCs w:val="21"/>
        </w:rPr>
        <w:t xml:space="preserve">  </w:t>
      </w:r>
      <w:r w:rsidRPr="00A724F7">
        <w:rPr>
          <w:rFonts w:hAnsi="宋体" w:hint="eastAsia"/>
          <w:szCs w:val="21"/>
        </w:rPr>
        <w:t>结论草案</w:t>
      </w:r>
      <w:r w:rsidRPr="00A724F7">
        <w:rPr>
          <w:szCs w:val="21"/>
        </w:rPr>
        <w:t>11</w:t>
      </w:r>
      <w:r w:rsidRPr="00A724F7">
        <w:rPr>
          <w:rFonts w:hAnsi="宋体" w:hint="eastAsia"/>
          <w:szCs w:val="21"/>
        </w:rPr>
        <w:t>仅涉及国际组织组成文书的解释。因此该草案不完全涵盖嗣后协定和嗣后</w:t>
      </w:r>
      <w:r w:rsidRPr="00A724F7">
        <w:rPr>
          <w:rFonts w:hint="eastAsia"/>
          <w:szCs w:val="21"/>
        </w:rPr>
        <w:t>惯例</w:t>
      </w:r>
      <w:r w:rsidRPr="00A724F7">
        <w:rPr>
          <w:rFonts w:hAnsi="宋体" w:hint="eastAsia"/>
          <w:szCs w:val="21"/>
        </w:rPr>
        <w:t>对国际组织条约解释作用的所有方面。特别是，该草案不适用于解释国际组织内部通过的条</w:t>
      </w:r>
      <w:r w:rsidRPr="00A724F7">
        <w:rPr>
          <w:rFonts w:hAnsi="宋体" w:hint="eastAsia"/>
          <w:spacing w:val="4"/>
          <w:szCs w:val="21"/>
        </w:rPr>
        <w:t>约或国际组织缔结的非组成文书类条约。</w:t>
      </w:r>
      <w:r w:rsidRPr="003F1277">
        <w:rPr>
          <w:rStyle w:val="a3"/>
          <w:szCs w:val="21"/>
        </w:rPr>
        <w:footnoteReference w:id="300"/>
      </w:r>
      <w:r w:rsidRPr="00A724F7">
        <w:rPr>
          <w:rFonts w:hAnsi="宋体" w:hint="eastAsia"/>
          <w:spacing w:val="4"/>
          <w:szCs w:val="21"/>
        </w:rPr>
        <w:t xml:space="preserve"> </w:t>
      </w:r>
      <w:r w:rsidRPr="007170E8">
        <w:rPr>
          <w:rFonts w:hint="eastAsia"/>
          <w:spacing w:val="2"/>
          <w:szCs w:val="21"/>
          <w:lang w:val="en-GB"/>
        </w:rPr>
        <w:t>此外，</w:t>
      </w:r>
      <w:r w:rsidRPr="007170E8">
        <w:rPr>
          <w:rFonts w:hAnsi="宋体" w:hint="eastAsia"/>
          <w:spacing w:val="2"/>
          <w:szCs w:val="21"/>
        </w:rPr>
        <w:t>结论草案</w:t>
      </w:r>
      <w:r w:rsidRPr="007170E8">
        <w:rPr>
          <w:spacing w:val="2"/>
          <w:szCs w:val="21"/>
        </w:rPr>
        <w:t>11</w:t>
      </w:r>
      <w:r w:rsidRPr="007170E8">
        <w:rPr>
          <w:rFonts w:hint="eastAsia"/>
          <w:spacing w:val="2"/>
          <w:szCs w:val="21"/>
        </w:rPr>
        <w:t>不适用于解释国际组织机关的决定本身，</w:t>
      </w:r>
      <w:bookmarkStart w:id="56" w:name="_Ref423338220"/>
      <w:r w:rsidRPr="003F1277">
        <w:rPr>
          <w:rStyle w:val="a3"/>
          <w:spacing w:val="2"/>
          <w:szCs w:val="21"/>
        </w:rPr>
        <w:footnoteReference w:id="301"/>
      </w:r>
      <w:bookmarkEnd w:id="56"/>
      <w:r w:rsidRPr="007170E8">
        <w:rPr>
          <w:rStyle w:val="a3"/>
          <w:rFonts w:hint="eastAsia"/>
          <w:spacing w:val="2"/>
        </w:rPr>
        <w:t xml:space="preserve"> </w:t>
      </w:r>
      <w:r w:rsidRPr="007170E8">
        <w:rPr>
          <w:rFonts w:hint="eastAsia"/>
          <w:spacing w:val="2"/>
          <w:szCs w:val="21"/>
        </w:rPr>
        <w:t>包括不适用于解释各国际法</w:t>
      </w:r>
      <w:r w:rsidRPr="007170E8">
        <w:rPr>
          <w:rFonts w:hint="eastAsia"/>
          <w:spacing w:val="2"/>
          <w:szCs w:val="21"/>
        </w:rPr>
        <w:lastRenderedPageBreak/>
        <w:t>院的裁决，</w:t>
      </w:r>
      <w:r w:rsidRPr="003F1277">
        <w:rPr>
          <w:rStyle w:val="a3"/>
          <w:spacing w:val="2"/>
          <w:szCs w:val="21"/>
        </w:rPr>
        <w:footnoteReference w:id="302"/>
      </w:r>
      <w:r w:rsidRPr="007170E8">
        <w:rPr>
          <w:rFonts w:hint="eastAsia"/>
          <w:spacing w:val="2"/>
          <w:szCs w:val="21"/>
        </w:rPr>
        <w:t xml:space="preserve"> </w:t>
      </w:r>
      <w:r w:rsidRPr="007170E8">
        <w:rPr>
          <w:rFonts w:hint="eastAsia"/>
          <w:spacing w:val="2"/>
          <w:szCs w:val="21"/>
        </w:rPr>
        <w:t>或解释法院或法庭“明确一贯的判例”</w:t>
      </w:r>
      <w:r w:rsidRPr="003F1277">
        <w:rPr>
          <w:rStyle w:val="a3"/>
          <w:spacing w:val="2"/>
          <w:szCs w:val="21"/>
        </w:rPr>
        <w:footnoteReference w:id="303"/>
      </w:r>
      <w:r w:rsidRPr="007170E8">
        <w:rPr>
          <w:rFonts w:hint="eastAsia"/>
          <w:spacing w:val="2"/>
          <w:szCs w:val="21"/>
        </w:rPr>
        <w:t xml:space="preserve"> </w:t>
      </w:r>
      <w:r w:rsidRPr="007170E8">
        <w:rPr>
          <w:rFonts w:hAnsi="宋体"/>
          <w:spacing w:val="2"/>
          <w:szCs w:val="21"/>
        </w:rPr>
        <w:t>(</w:t>
      </w:r>
      <w:r w:rsidRPr="007170E8">
        <w:rPr>
          <w:rFonts w:hAnsi="宋体" w:hint="eastAsia"/>
          <w:spacing w:val="2"/>
          <w:szCs w:val="21"/>
        </w:rPr>
        <w:t>“一贯判例”</w:t>
      </w:r>
      <w:r w:rsidRPr="007170E8">
        <w:rPr>
          <w:rFonts w:hAnsi="宋体"/>
          <w:spacing w:val="2"/>
          <w:szCs w:val="21"/>
        </w:rPr>
        <w:t>)</w:t>
      </w:r>
      <w:r w:rsidRPr="007170E8">
        <w:rPr>
          <w:rFonts w:hAnsi="宋体" w:hint="eastAsia"/>
          <w:spacing w:val="2"/>
          <w:szCs w:val="21"/>
        </w:rPr>
        <w:t>的效果。</w:t>
      </w:r>
      <w:r w:rsidRPr="003F1277">
        <w:rPr>
          <w:rStyle w:val="a3"/>
          <w:spacing w:val="2"/>
          <w:szCs w:val="21"/>
        </w:rPr>
        <w:footnoteReference w:id="304"/>
      </w:r>
      <w:r w:rsidRPr="007170E8">
        <w:rPr>
          <w:rFonts w:hAnsi="宋体" w:hint="eastAsia"/>
          <w:spacing w:val="2"/>
          <w:szCs w:val="21"/>
        </w:rPr>
        <w:t xml:space="preserve"> </w:t>
      </w:r>
      <w:r w:rsidRPr="00A724F7">
        <w:rPr>
          <w:rFonts w:hAnsi="宋体" w:hint="eastAsia"/>
          <w:spacing w:val="4"/>
          <w:szCs w:val="21"/>
        </w:rPr>
        <w:t>最后，该结论并非特别针对由独立专家组成的条约监测机构的声明涉及的问题，也非特别针对更一般意义上特定形式惯例的权重问题，这些问题可在后期阶段解决。</w:t>
      </w:r>
    </w:p>
    <w:p w:rsidR="00632C9B" w:rsidRPr="00A724F7" w:rsidRDefault="00632C9B" w:rsidP="00632C9B">
      <w:pPr>
        <w:pStyle w:val="SingleTxt"/>
        <w:rPr>
          <w:szCs w:val="21"/>
        </w:rPr>
      </w:pPr>
      <w:r w:rsidRPr="00A724F7">
        <w:rPr>
          <w:szCs w:val="21"/>
        </w:rPr>
        <w:t>(6)</w:t>
      </w:r>
      <w:r>
        <w:rPr>
          <w:rFonts w:hint="eastAsia"/>
          <w:szCs w:val="21"/>
        </w:rPr>
        <w:t xml:space="preserve">  </w:t>
      </w:r>
      <w:r w:rsidRPr="00A724F7">
        <w:rPr>
          <w:rFonts w:ascii="楷体" w:eastAsia="楷体" w:hAnsi="楷体" w:hint="eastAsia"/>
          <w:szCs w:val="21"/>
        </w:rPr>
        <w:t>结论草案</w:t>
      </w:r>
      <w:r w:rsidRPr="00A724F7">
        <w:rPr>
          <w:rFonts w:ascii="楷体" w:eastAsia="楷体" w:hAnsi="楷体"/>
          <w:szCs w:val="21"/>
        </w:rPr>
        <w:t>11</w:t>
      </w:r>
      <w:r w:rsidRPr="00A724F7">
        <w:rPr>
          <w:rFonts w:ascii="楷体" w:eastAsia="楷体" w:hAnsi="楷体" w:hint="eastAsia"/>
          <w:szCs w:val="21"/>
        </w:rPr>
        <w:t>第</w:t>
      </w:r>
      <w:r w:rsidRPr="00A724F7">
        <w:rPr>
          <w:rFonts w:ascii="楷体" w:eastAsia="楷体" w:hAnsi="楷体"/>
          <w:szCs w:val="21"/>
        </w:rPr>
        <w:t>1</w:t>
      </w:r>
      <w:r w:rsidRPr="00A724F7">
        <w:rPr>
          <w:rFonts w:ascii="楷体" w:eastAsia="楷体" w:hAnsi="楷体" w:hint="eastAsia"/>
          <w:szCs w:val="21"/>
        </w:rPr>
        <w:t>段的第</w:t>
      </w:r>
      <w:r w:rsidRPr="00A724F7">
        <w:rPr>
          <w:rFonts w:ascii="楷体" w:eastAsia="楷体" w:hAnsi="楷体"/>
          <w:szCs w:val="21"/>
        </w:rPr>
        <w:t>1</w:t>
      </w:r>
      <w:r w:rsidRPr="00A724F7">
        <w:rPr>
          <w:rFonts w:ascii="楷体" w:eastAsia="楷体" w:hAnsi="楷体" w:hint="eastAsia"/>
          <w:szCs w:val="21"/>
        </w:rPr>
        <w:t>句</w:t>
      </w:r>
      <w:r w:rsidRPr="00A724F7">
        <w:rPr>
          <w:rFonts w:hint="eastAsia"/>
          <w:szCs w:val="21"/>
        </w:rPr>
        <w:t>确认《维也纳公约》</w:t>
      </w:r>
      <w:r w:rsidRPr="00A724F7">
        <w:rPr>
          <w:szCs w:val="21"/>
        </w:rPr>
        <w:t>第三十一条和第三十二条</w:t>
      </w:r>
      <w:r w:rsidRPr="00A724F7">
        <w:rPr>
          <w:rFonts w:hint="eastAsia"/>
          <w:szCs w:val="21"/>
        </w:rPr>
        <w:t>适用于作为国际组织组成文书的条约。</w:t>
      </w:r>
      <w:r w:rsidRPr="003F1277">
        <w:rPr>
          <w:rStyle w:val="a3"/>
          <w:szCs w:val="21"/>
        </w:rPr>
        <w:footnoteReference w:id="305"/>
      </w:r>
      <w:r w:rsidRPr="00A724F7">
        <w:rPr>
          <w:rFonts w:hint="eastAsia"/>
          <w:szCs w:val="21"/>
        </w:rPr>
        <w:t xml:space="preserve"> </w:t>
      </w:r>
      <w:r w:rsidRPr="00A724F7">
        <w:rPr>
          <w:rFonts w:hint="eastAsia"/>
          <w:szCs w:val="21"/>
        </w:rPr>
        <w:t>国际法院在其关于“国家在武装冲突中使用核武器的合法性”的咨询意见中已确认这一点，即表示：</w:t>
      </w:r>
    </w:p>
    <w:p w:rsidR="00632C9B" w:rsidRPr="00A724F7" w:rsidRDefault="00632C9B" w:rsidP="00632C9B">
      <w:pPr>
        <w:pStyle w:val="SingleTxt"/>
        <w:ind w:left="1695"/>
        <w:rPr>
          <w:szCs w:val="21"/>
        </w:rPr>
      </w:pPr>
      <w:r w:rsidRPr="00A724F7">
        <w:rPr>
          <w:rFonts w:hint="eastAsia"/>
          <w:szCs w:val="21"/>
        </w:rPr>
        <w:t>从形式上看，国际组织组成文书是多边条约，而公认的条约解释规则适用于多边条约。</w:t>
      </w:r>
      <w:r w:rsidRPr="003F1277">
        <w:rPr>
          <w:rStyle w:val="a3"/>
          <w:szCs w:val="21"/>
        </w:rPr>
        <w:footnoteReference w:id="306"/>
      </w:r>
    </w:p>
    <w:p w:rsidR="00632C9B" w:rsidRPr="00A724F7" w:rsidRDefault="00632C9B" w:rsidP="00632C9B">
      <w:pPr>
        <w:pStyle w:val="SingleTxt"/>
        <w:rPr>
          <w:szCs w:val="21"/>
        </w:rPr>
      </w:pPr>
      <w:r w:rsidRPr="00A724F7">
        <w:rPr>
          <w:szCs w:val="21"/>
        </w:rPr>
        <w:t>(7)</w:t>
      </w:r>
      <w:r>
        <w:rPr>
          <w:rFonts w:hint="eastAsia"/>
          <w:szCs w:val="21"/>
        </w:rPr>
        <w:t xml:space="preserve">  </w:t>
      </w:r>
      <w:r w:rsidRPr="00A724F7">
        <w:rPr>
          <w:rFonts w:hint="eastAsia"/>
          <w:szCs w:val="21"/>
        </w:rPr>
        <w:t>关于《联合国宪章》，法院认为：</w:t>
      </w:r>
    </w:p>
    <w:p w:rsidR="00632C9B" w:rsidRPr="00A724F7" w:rsidRDefault="00632C9B" w:rsidP="00632C9B">
      <w:pPr>
        <w:pStyle w:val="SingleTxt"/>
        <w:ind w:left="1695"/>
        <w:rPr>
          <w:szCs w:val="21"/>
        </w:rPr>
      </w:pPr>
      <w:r w:rsidRPr="00A724F7">
        <w:rPr>
          <w:rFonts w:hint="eastAsia"/>
          <w:szCs w:val="21"/>
        </w:rPr>
        <w:t>“法院曾多次不得不解释《联合国宪章》，这时法院一直遵循一般适用于条约解释的原则和规则，因为法院确认《宪章》是一项多边条约，尽管是一项具有某些特殊特征的条约。”</w:t>
      </w:r>
      <w:r w:rsidRPr="003F1277">
        <w:rPr>
          <w:rStyle w:val="a3"/>
          <w:szCs w:val="21"/>
        </w:rPr>
        <w:footnoteReference w:id="307"/>
      </w:r>
    </w:p>
    <w:p w:rsidR="00632C9B" w:rsidRPr="00A724F7" w:rsidRDefault="00632C9B" w:rsidP="00632C9B">
      <w:pPr>
        <w:pStyle w:val="SingleTxt"/>
        <w:rPr>
          <w:szCs w:val="21"/>
        </w:rPr>
      </w:pPr>
      <w:r w:rsidRPr="00A724F7">
        <w:rPr>
          <w:szCs w:val="21"/>
        </w:rPr>
        <w:t>(8)</w:t>
      </w:r>
      <w:r>
        <w:rPr>
          <w:rFonts w:hint="eastAsia"/>
          <w:szCs w:val="21"/>
        </w:rPr>
        <w:t xml:space="preserve">  </w:t>
      </w:r>
      <w:r w:rsidRPr="00A724F7">
        <w:rPr>
          <w:rFonts w:hint="eastAsia"/>
          <w:szCs w:val="21"/>
        </w:rPr>
        <w:t>同时，第五条表明，国际法院判决也确认，国际组织组成文书也是一种特别类型的条约，可能需要以特别的方式加以解释。因此，国际法院表示：</w:t>
      </w:r>
    </w:p>
    <w:p w:rsidR="00632C9B" w:rsidRPr="00A724F7" w:rsidRDefault="00632C9B" w:rsidP="00632C9B">
      <w:pPr>
        <w:pStyle w:val="SingleTxt"/>
        <w:ind w:left="1695"/>
        <w:rPr>
          <w:szCs w:val="21"/>
        </w:rPr>
      </w:pPr>
      <w:r w:rsidRPr="00A724F7">
        <w:rPr>
          <w:rFonts w:hint="eastAsia"/>
          <w:szCs w:val="21"/>
        </w:rPr>
        <w:t>“</w:t>
      </w:r>
      <w:r w:rsidRPr="00A724F7">
        <w:rPr>
          <w:rFonts w:hint="eastAsia"/>
          <w:spacing w:val="6"/>
          <w:szCs w:val="21"/>
        </w:rPr>
        <w:t>但国际组织的组成文书也是特定类型的条约；其目的是组建具有一定自主权的新的</w:t>
      </w:r>
      <w:r w:rsidRPr="00A724F7">
        <w:rPr>
          <w:rFonts w:hint="eastAsia"/>
          <w:szCs w:val="21"/>
        </w:rPr>
        <w:t>法律主体，该法律主体受各缔约方的委托负责实现共同的目标。此类条约由于除其他外同时具有公约性和创设性特征，会引起具体的解释问题；</w:t>
      </w:r>
      <w:r w:rsidRPr="00A724F7">
        <w:rPr>
          <w:rFonts w:hint="eastAsia"/>
          <w:szCs w:val="21"/>
        </w:rPr>
        <w:lastRenderedPageBreak/>
        <w:t>所设组</w:t>
      </w:r>
      <w:r w:rsidRPr="00A724F7">
        <w:rPr>
          <w:rFonts w:hint="eastAsia"/>
          <w:spacing w:val="6"/>
          <w:szCs w:val="21"/>
        </w:rPr>
        <w:t>织的性质、创设者赋予的目标、与有效行使其职能相关的规则、以及其自身惯例，这些都是在需要解释组成条约时值得特别</w:t>
      </w:r>
      <w:r w:rsidRPr="00A724F7">
        <w:rPr>
          <w:rFonts w:hint="eastAsia"/>
          <w:szCs w:val="21"/>
        </w:rPr>
        <w:t>重视的要素。”</w:t>
      </w:r>
      <w:r w:rsidRPr="003F1277">
        <w:rPr>
          <w:rStyle w:val="a3"/>
          <w:szCs w:val="21"/>
        </w:rPr>
        <w:footnoteReference w:id="308"/>
      </w:r>
    </w:p>
    <w:p w:rsidR="00632C9B" w:rsidRPr="00A724F7" w:rsidRDefault="00632C9B" w:rsidP="00632C9B">
      <w:pPr>
        <w:pStyle w:val="SingleTxt"/>
        <w:rPr>
          <w:szCs w:val="21"/>
        </w:rPr>
      </w:pPr>
      <w:r w:rsidRPr="00A724F7">
        <w:rPr>
          <w:szCs w:val="21"/>
        </w:rPr>
        <w:t>(9)</w:t>
      </w:r>
      <w:r>
        <w:rPr>
          <w:szCs w:val="21"/>
        </w:rPr>
        <w:t xml:space="preserve">  </w:t>
      </w:r>
      <w:r w:rsidRPr="00A724F7">
        <w:rPr>
          <w:rFonts w:ascii="楷体" w:eastAsia="楷体" w:hAnsi="楷体" w:hint="eastAsia"/>
          <w:szCs w:val="21"/>
        </w:rPr>
        <w:t>结论草案</w:t>
      </w:r>
      <w:r w:rsidRPr="00A724F7">
        <w:rPr>
          <w:rFonts w:ascii="楷体" w:eastAsia="楷体" w:hAnsi="楷体"/>
          <w:szCs w:val="21"/>
        </w:rPr>
        <w:t>11</w:t>
      </w:r>
      <w:r w:rsidRPr="00A724F7">
        <w:rPr>
          <w:rFonts w:ascii="楷体" w:eastAsia="楷体" w:hAnsi="楷体" w:hint="eastAsia"/>
          <w:szCs w:val="21"/>
        </w:rPr>
        <w:t>第</w:t>
      </w:r>
      <w:r w:rsidRPr="00A724F7">
        <w:rPr>
          <w:rFonts w:ascii="楷体" w:eastAsia="楷体" w:hAnsi="楷体"/>
          <w:szCs w:val="21"/>
        </w:rPr>
        <w:t>1</w:t>
      </w:r>
      <w:r w:rsidRPr="00A724F7">
        <w:rPr>
          <w:rFonts w:ascii="楷体" w:eastAsia="楷体" w:hAnsi="楷体" w:hint="eastAsia"/>
          <w:szCs w:val="21"/>
        </w:rPr>
        <w:t>段第</w:t>
      </w:r>
      <w:r w:rsidRPr="00A724F7">
        <w:rPr>
          <w:rFonts w:ascii="楷体" w:eastAsia="楷体" w:hAnsi="楷体"/>
          <w:szCs w:val="21"/>
        </w:rPr>
        <w:t>2</w:t>
      </w:r>
      <w:r w:rsidRPr="00A724F7">
        <w:rPr>
          <w:rFonts w:ascii="楷体" w:eastAsia="楷体" w:hAnsi="楷体" w:hint="eastAsia"/>
          <w:szCs w:val="21"/>
        </w:rPr>
        <w:t>句</w:t>
      </w:r>
      <w:r w:rsidRPr="00A724F7">
        <w:rPr>
          <w:rFonts w:hint="eastAsia"/>
          <w:szCs w:val="21"/>
        </w:rPr>
        <w:t>更具体地说明了</w:t>
      </w:r>
      <w:r w:rsidRPr="00A724F7">
        <w:rPr>
          <w:szCs w:val="21"/>
        </w:rPr>
        <w:t>第三十一条和第三十二条</w:t>
      </w:r>
      <w:r w:rsidRPr="00A724F7">
        <w:rPr>
          <w:rFonts w:hint="eastAsia"/>
          <w:szCs w:val="21"/>
        </w:rPr>
        <w:t>涉及用嗣后协定和嗣后惯例作为解释手段的一些要素，并确认</w:t>
      </w:r>
      <w:r w:rsidRPr="00A724F7">
        <w:rPr>
          <w:szCs w:val="21"/>
        </w:rPr>
        <w:t>第三十一条第三款</w:t>
      </w:r>
      <w:r w:rsidRPr="00A724F7">
        <w:rPr>
          <w:rFonts w:hint="eastAsia"/>
          <w:szCs w:val="21"/>
        </w:rPr>
        <w:t>规定的嗣后协定和嗣后惯例</w:t>
      </w:r>
      <w:r w:rsidRPr="00A724F7">
        <w:rPr>
          <w:rFonts w:eastAsia="楷体" w:hint="eastAsia"/>
          <w:szCs w:val="21"/>
        </w:rPr>
        <w:t>属于</w:t>
      </w:r>
      <w:r w:rsidRPr="00A724F7">
        <w:rPr>
          <w:rFonts w:hint="eastAsia"/>
          <w:szCs w:val="21"/>
        </w:rPr>
        <w:t>际组织组成文书的解释手段，</w:t>
      </w:r>
      <w:r w:rsidRPr="00A724F7">
        <w:rPr>
          <w:szCs w:val="21"/>
        </w:rPr>
        <w:t>第三十二条</w:t>
      </w:r>
      <w:r w:rsidRPr="00A724F7">
        <w:rPr>
          <w:rFonts w:hint="eastAsia"/>
          <w:szCs w:val="21"/>
        </w:rPr>
        <w:t>规定的其他嗣后惯例</w:t>
      </w:r>
      <w:r w:rsidRPr="00A724F7">
        <w:rPr>
          <w:rFonts w:eastAsia="楷体" w:hint="eastAsia"/>
          <w:szCs w:val="21"/>
        </w:rPr>
        <w:t>可以作为</w:t>
      </w:r>
      <w:r w:rsidRPr="00A724F7">
        <w:rPr>
          <w:rFonts w:hint="eastAsia"/>
          <w:szCs w:val="21"/>
        </w:rPr>
        <w:t>国际组织组成文书的解释手段。</w:t>
      </w:r>
    </w:p>
    <w:p w:rsidR="00632C9B" w:rsidRPr="00A724F7" w:rsidRDefault="00632C9B" w:rsidP="00632C9B">
      <w:pPr>
        <w:pStyle w:val="SingleTxt"/>
        <w:rPr>
          <w:szCs w:val="21"/>
        </w:rPr>
      </w:pPr>
      <w:r w:rsidRPr="00A724F7">
        <w:rPr>
          <w:szCs w:val="21"/>
        </w:rPr>
        <w:t>(10)</w:t>
      </w:r>
      <w:r>
        <w:rPr>
          <w:szCs w:val="21"/>
        </w:rPr>
        <w:t xml:space="preserve">  </w:t>
      </w:r>
      <w:r w:rsidRPr="00A724F7">
        <w:rPr>
          <w:rFonts w:hint="eastAsia"/>
          <w:szCs w:val="21"/>
        </w:rPr>
        <w:t>国际法院确认</w:t>
      </w:r>
      <w:r w:rsidRPr="00A724F7">
        <w:rPr>
          <w:szCs w:val="21"/>
        </w:rPr>
        <w:t>第三十一条第三款</w:t>
      </w:r>
      <w:r w:rsidRPr="00A724F7">
        <w:rPr>
          <w:rFonts w:hAnsi="宋体"/>
          <w:szCs w:val="21"/>
        </w:rPr>
        <w:t>(</w:t>
      </w:r>
      <w:r w:rsidRPr="00A724F7">
        <w:rPr>
          <w:szCs w:val="21"/>
        </w:rPr>
        <w:t>b</w:t>
      </w:r>
      <w:r w:rsidRPr="00A724F7">
        <w:rPr>
          <w:rFonts w:hAnsi="宋体"/>
          <w:szCs w:val="21"/>
        </w:rPr>
        <w:t>)</w:t>
      </w:r>
      <w:r w:rsidRPr="00A724F7">
        <w:rPr>
          <w:rFonts w:hint="eastAsia"/>
          <w:szCs w:val="21"/>
        </w:rPr>
        <w:t>项适用于国际组织组成文书。法院在关于</w:t>
      </w:r>
      <w:r w:rsidRPr="00A724F7">
        <w:rPr>
          <w:rFonts w:hint="eastAsia"/>
          <w:iCs/>
          <w:szCs w:val="21"/>
        </w:rPr>
        <w:t>“国家在武装冲突中</w:t>
      </w:r>
      <w:r w:rsidRPr="00A724F7">
        <w:rPr>
          <w:rFonts w:hint="eastAsia"/>
          <w:szCs w:val="21"/>
        </w:rPr>
        <w:t>使用核武器的合法性”的咨询意见中，首先表示国际组织组成文书是一类特殊的条约，然后开始对《世界卫生组织组织法》进行解释：</w:t>
      </w:r>
    </w:p>
    <w:p w:rsidR="00632C9B" w:rsidRPr="00A724F7" w:rsidRDefault="00632C9B" w:rsidP="00632C9B">
      <w:pPr>
        <w:pStyle w:val="SingleTxt"/>
        <w:ind w:left="1695"/>
        <w:rPr>
          <w:szCs w:val="21"/>
        </w:rPr>
      </w:pPr>
      <w:r w:rsidRPr="00A724F7">
        <w:rPr>
          <w:rFonts w:hint="eastAsia"/>
          <w:szCs w:val="21"/>
        </w:rPr>
        <w:t>“按照</w:t>
      </w:r>
      <w:r w:rsidRPr="00A724F7">
        <w:rPr>
          <w:szCs w:val="21"/>
        </w:rPr>
        <w:t>1969</w:t>
      </w:r>
      <w:r w:rsidRPr="00A724F7">
        <w:rPr>
          <w:rFonts w:hint="eastAsia"/>
          <w:szCs w:val="21"/>
        </w:rPr>
        <w:t>年《维也纳条约法公约》第三十一条表述的习惯解释规则，条约的条款必须‘按其上下文并参照条约之目的及宗旨’来解释，而且应‘与上下文一并考虑者尚有：</w:t>
      </w:r>
    </w:p>
    <w:p w:rsidR="00632C9B" w:rsidRPr="00933E56" w:rsidRDefault="00632C9B" w:rsidP="00632C9B">
      <w:pPr>
        <w:pStyle w:val="SingleTxt"/>
        <w:ind w:left="1695"/>
        <w:rPr>
          <w:spacing w:val="2"/>
          <w:szCs w:val="21"/>
        </w:rPr>
      </w:pPr>
      <w:r w:rsidRPr="00933E56">
        <w:rPr>
          <w:spacing w:val="2"/>
          <w:szCs w:val="21"/>
        </w:rPr>
        <w:t>[</w:t>
      </w:r>
      <w:r w:rsidRPr="00933E56">
        <w:rPr>
          <w:rFonts w:hint="eastAsia"/>
          <w:spacing w:val="2"/>
          <w:szCs w:val="21"/>
        </w:rPr>
        <w:t>……</w:t>
      </w:r>
      <w:r w:rsidRPr="00933E56">
        <w:rPr>
          <w:spacing w:val="2"/>
          <w:szCs w:val="21"/>
        </w:rPr>
        <w:t>]</w:t>
      </w:r>
      <w:r w:rsidRPr="00933E56">
        <w:rPr>
          <w:rFonts w:hint="eastAsia"/>
          <w:spacing w:val="2"/>
          <w:szCs w:val="21"/>
        </w:rPr>
        <w:t xml:space="preserve"> </w:t>
      </w:r>
      <w:r w:rsidRPr="00933E56">
        <w:rPr>
          <w:spacing w:val="2"/>
          <w:szCs w:val="21"/>
        </w:rPr>
        <w:t xml:space="preserve">(b) </w:t>
      </w:r>
      <w:r w:rsidRPr="00933E56">
        <w:rPr>
          <w:rFonts w:hint="eastAsia"/>
          <w:spacing w:val="2"/>
          <w:szCs w:val="21"/>
        </w:rPr>
        <w:t>嗣后在条约适用方面确定各当事国对条约解释之协定之任何惯例。’”</w:t>
      </w:r>
      <w:r w:rsidRPr="003F1277">
        <w:rPr>
          <w:rStyle w:val="a3"/>
        </w:rPr>
        <w:footnoteReference w:id="309"/>
      </w:r>
    </w:p>
    <w:p w:rsidR="00632C9B" w:rsidRPr="00A724F7" w:rsidRDefault="00632C9B" w:rsidP="00632C9B">
      <w:pPr>
        <w:pStyle w:val="SingleTxt"/>
        <w:rPr>
          <w:szCs w:val="21"/>
        </w:rPr>
      </w:pPr>
      <w:r w:rsidRPr="00A724F7">
        <w:rPr>
          <w:rFonts w:hint="eastAsia"/>
          <w:szCs w:val="21"/>
        </w:rPr>
        <w:t>法院援引其自身判例法中把</w:t>
      </w:r>
      <w:r w:rsidRPr="00A724F7">
        <w:rPr>
          <w:szCs w:val="21"/>
        </w:rPr>
        <w:t>第三十一条第三款</w:t>
      </w:r>
      <w:r w:rsidRPr="00A724F7">
        <w:rPr>
          <w:szCs w:val="21"/>
        </w:rPr>
        <w:t>(b)</w:t>
      </w:r>
      <w:r w:rsidRPr="00A724F7">
        <w:rPr>
          <w:rFonts w:hint="eastAsia"/>
          <w:szCs w:val="21"/>
        </w:rPr>
        <w:t>项所述嗣后惯例作为解释资料的各种先例，然后宣布</w:t>
      </w:r>
      <w:r w:rsidRPr="00A724F7">
        <w:rPr>
          <w:szCs w:val="21"/>
        </w:rPr>
        <w:t>第三十一条第三款</w:t>
      </w:r>
      <w:r w:rsidRPr="00A724F7">
        <w:rPr>
          <w:szCs w:val="21"/>
        </w:rPr>
        <w:t>(b)</w:t>
      </w:r>
      <w:r w:rsidRPr="00A724F7">
        <w:rPr>
          <w:rFonts w:hint="eastAsia"/>
          <w:szCs w:val="21"/>
        </w:rPr>
        <w:t>项：</w:t>
      </w:r>
    </w:p>
    <w:p w:rsidR="00632C9B" w:rsidRPr="00A724F7" w:rsidRDefault="00632C9B" w:rsidP="00632C9B">
      <w:pPr>
        <w:pStyle w:val="SingleTxt"/>
        <w:ind w:left="1695"/>
        <w:rPr>
          <w:szCs w:val="21"/>
        </w:rPr>
      </w:pPr>
      <w:r w:rsidRPr="00A724F7">
        <w:rPr>
          <w:rFonts w:hint="eastAsia"/>
          <w:szCs w:val="21"/>
        </w:rPr>
        <w:t>“……将在本案中同样适用，以便法院裁定根据世卫组织《组织法》，法院要作出答复的问题是否该组织‘活动范畴内’产生的问题。”</w:t>
      </w:r>
      <w:r w:rsidRPr="003F1277">
        <w:rPr>
          <w:rStyle w:val="a3"/>
        </w:rPr>
        <w:footnoteReference w:id="310"/>
      </w:r>
    </w:p>
    <w:p w:rsidR="00632C9B" w:rsidRPr="00A724F7" w:rsidRDefault="00632C9B" w:rsidP="00632C9B">
      <w:pPr>
        <w:pStyle w:val="SingleTxt"/>
        <w:rPr>
          <w:szCs w:val="21"/>
        </w:rPr>
      </w:pPr>
      <w:r w:rsidRPr="00A724F7">
        <w:rPr>
          <w:szCs w:val="21"/>
        </w:rPr>
        <w:t>(11)</w:t>
      </w:r>
      <w:r>
        <w:rPr>
          <w:szCs w:val="21"/>
        </w:rPr>
        <w:t xml:space="preserve">  </w:t>
      </w:r>
      <w:r w:rsidRPr="00A724F7">
        <w:rPr>
          <w:rFonts w:hint="eastAsia"/>
          <w:szCs w:val="21"/>
        </w:rPr>
        <w:t>“喀麦隆和尼日利亚间陆地和海洋疆界”案作为一个涉及国际组织组成文书解释的案件，</w:t>
      </w:r>
      <w:r w:rsidRPr="003F1277">
        <w:rPr>
          <w:rStyle w:val="a3"/>
        </w:rPr>
        <w:footnoteReference w:id="311"/>
      </w:r>
      <w:r w:rsidRPr="00A724F7">
        <w:rPr>
          <w:rFonts w:hint="eastAsia"/>
          <w:szCs w:val="21"/>
        </w:rPr>
        <w:t xml:space="preserve"> </w:t>
      </w:r>
      <w:r w:rsidRPr="00A724F7">
        <w:rPr>
          <w:rFonts w:hint="eastAsia"/>
          <w:szCs w:val="21"/>
        </w:rPr>
        <w:t>法院在对该案的裁决中再次强调缔约方的嗣后惯例。法院基于“成员国还将条约原始文本中没有规定的某些任务委托给该委员会”的观察，</w:t>
      </w:r>
      <w:r w:rsidRPr="003F1277">
        <w:rPr>
          <w:rStyle w:val="a3"/>
        </w:rPr>
        <w:footnoteReference w:id="312"/>
      </w:r>
      <w:r w:rsidRPr="00A724F7">
        <w:rPr>
          <w:rFonts w:hint="eastAsia"/>
          <w:szCs w:val="21"/>
        </w:rPr>
        <w:t xml:space="preserve"> </w:t>
      </w:r>
      <w:r w:rsidRPr="00A724F7">
        <w:rPr>
          <w:rFonts w:hint="eastAsia"/>
          <w:szCs w:val="21"/>
        </w:rPr>
        <w:t>得出结论认为：</w:t>
      </w:r>
    </w:p>
    <w:p w:rsidR="00632C9B" w:rsidRPr="00A724F7" w:rsidRDefault="00632C9B" w:rsidP="00632C9B">
      <w:pPr>
        <w:pStyle w:val="SingleTxt"/>
        <w:ind w:left="1695"/>
        <w:rPr>
          <w:szCs w:val="21"/>
        </w:rPr>
      </w:pPr>
      <w:r w:rsidRPr="00A724F7">
        <w:rPr>
          <w:rFonts w:hint="eastAsia"/>
          <w:szCs w:val="21"/>
        </w:rPr>
        <w:t>“从上文第</w:t>
      </w:r>
      <w:r w:rsidRPr="00A724F7">
        <w:rPr>
          <w:szCs w:val="21"/>
        </w:rPr>
        <w:t>64</w:t>
      </w:r>
      <w:r w:rsidRPr="00A724F7">
        <w:rPr>
          <w:rFonts w:hint="eastAsia"/>
          <w:szCs w:val="21"/>
        </w:rPr>
        <w:t>段和第</w:t>
      </w:r>
      <w:r w:rsidRPr="00A724F7">
        <w:rPr>
          <w:szCs w:val="21"/>
        </w:rPr>
        <w:t>65</w:t>
      </w:r>
      <w:r w:rsidRPr="00A724F7">
        <w:rPr>
          <w:rFonts w:hint="eastAsia"/>
          <w:szCs w:val="21"/>
        </w:rPr>
        <w:t>段所分析的条约文本和</w:t>
      </w:r>
      <w:r w:rsidRPr="00A724F7">
        <w:rPr>
          <w:szCs w:val="21"/>
        </w:rPr>
        <w:t>[</w:t>
      </w:r>
      <w:r w:rsidRPr="00A724F7">
        <w:rPr>
          <w:rFonts w:hint="eastAsia"/>
          <w:szCs w:val="21"/>
        </w:rPr>
        <w:t>缔约方</w:t>
      </w:r>
      <w:r w:rsidRPr="00A724F7">
        <w:rPr>
          <w:szCs w:val="21"/>
        </w:rPr>
        <w:t>]</w:t>
      </w:r>
      <w:r w:rsidRPr="00A724F7">
        <w:rPr>
          <w:rFonts w:hint="eastAsia"/>
          <w:szCs w:val="21"/>
        </w:rPr>
        <w:t>惯例看，乍得湖盆地委员会是一个在特定地域范围内行使权力的国际组织；然而，该委员会的宗旨不包括在区域一级解决维护国际和平与安全方面的问题，因此不属于《宪章》第八章适用的范畴。”</w:t>
      </w:r>
      <w:r w:rsidRPr="003F1277">
        <w:rPr>
          <w:rStyle w:val="a3"/>
        </w:rPr>
        <w:footnoteReference w:id="313"/>
      </w:r>
    </w:p>
    <w:p w:rsidR="00632C9B" w:rsidRPr="00A724F7" w:rsidRDefault="00632C9B" w:rsidP="00632C9B">
      <w:pPr>
        <w:pStyle w:val="SingleTxt"/>
        <w:rPr>
          <w:szCs w:val="21"/>
        </w:rPr>
      </w:pPr>
      <w:r w:rsidRPr="00A724F7">
        <w:rPr>
          <w:szCs w:val="21"/>
        </w:rPr>
        <w:lastRenderedPageBreak/>
        <w:t>(12)</w:t>
      </w:r>
      <w:r>
        <w:rPr>
          <w:szCs w:val="21"/>
        </w:rPr>
        <w:t xml:space="preserve">  </w:t>
      </w:r>
      <w:r w:rsidRPr="00A724F7">
        <w:rPr>
          <w:szCs w:val="21"/>
        </w:rPr>
        <w:t>第三十一条第三款</w:t>
      </w:r>
      <w:r w:rsidRPr="00A724F7">
        <w:rPr>
          <w:szCs w:val="21"/>
        </w:rPr>
        <w:t>(a)</w:t>
      </w:r>
      <w:r w:rsidRPr="00A724F7">
        <w:rPr>
          <w:rFonts w:hint="eastAsia"/>
          <w:szCs w:val="21"/>
        </w:rPr>
        <w:t>项也适用于国际组织组成条约。</w:t>
      </w:r>
      <w:r w:rsidRPr="003F1277">
        <w:rPr>
          <w:rStyle w:val="a3"/>
        </w:rPr>
        <w:footnoteReference w:id="314"/>
      </w:r>
      <w:r w:rsidRPr="00A724F7">
        <w:rPr>
          <w:rFonts w:hint="eastAsia"/>
          <w:szCs w:val="21"/>
        </w:rPr>
        <w:t xml:space="preserve"> </w:t>
      </w:r>
      <w:r w:rsidRPr="00A724F7">
        <w:rPr>
          <w:rFonts w:hint="eastAsia"/>
          <w:szCs w:val="21"/>
        </w:rPr>
        <w:t>但是，成员国之间关于国际组织组成文书解释问题的单独嗣后协定很少见。此类文书产生解释问题时，缔约方通常在该组织的</w:t>
      </w:r>
      <w:r w:rsidRPr="00A724F7">
        <w:rPr>
          <w:szCs w:val="21"/>
        </w:rPr>
        <w:t>全体</w:t>
      </w:r>
      <w:r w:rsidRPr="00A724F7">
        <w:rPr>
          <w:rFonts w:hint="eastAsia"/>
          <w:szCs w:val="21"/>
        </w:rPr>
        <w:t>机关框架内以成员身份行事。如果需要对条约进行修改、修订或补充，成员国或者使用条约中规定的修订程序进行修订，或者另外订立一个条约，通常是议定书。</w:t>
      </w:r>
      <w:r w:rsidRPr="003F1277">
        <w:rPr>
          <w:rStyle w:val="a3"/>
          <w:szCs w:val="21"/>
        </w:rPr>
        <w:footnoteReference w:id="315"/>
      </w:r>
      <w:r w:rsidRPr="00A724F7">
        <w:rPr>
          <w:rFonts w:hint="eastAsia"/>
          <w:szCs w:val="21"/>
        </w:rPr>
        <w:t xml:space="preserve"> </w:t>
      </w:r>
      <w:r w:rsidRPr="00A724F7">
        <w:rPr>
          <w:rFonts w:hint="eastAsia"/>
          <w:szCs w:val="21"/>
        </w:rPr>
        <w:t>但是，缔约方在相关组织的</w:t>
      </w:r>
      <w:r w:rsidRPr="00A724F7">
        <w:rPr>
          <w:szCs w:val="21"/>
        </w:rPr>
        <w:t>全体</w:t>
      </w:r>
      <w:r w:rsidRPr="00A724F7">
        <w:rPr>
          <w:rFonts w:hint="eastAsia"/>
          <w:szCs w:val="21"/>
        </w:rPr>
        <w:t>机关内开会时也有可能</w:t>
      </w:r>
      <w:r w:rsidRPr="00A724F7">
        <w:rPr>
          <w:rFonts w:ascii="楷体" w:hAnsi="楷体" w:hint="eastAsia"/>
          <w:iCs/>
          <w:szCs w:val="21"/>
        </w:rPr>
        <w:t>以缔约方身份</w:t>
      </w:r>
      <w:r w:rsidRPr="00A724F7">
        <w:rPr>
          <w:rFonts w:hint="eastAsia"/>
          <w:szCs w:val="21"/>
        </w:rPr>
        <w:t>行事。</w:t>
      </w:r>
      <w:r w:rsidRPr="00A724F7">
        <w:rPr>
          <w:rFonts w:hint="eastAsia"/>
          <w:szCs w:val="21"/>
        </w:rPr>
        <w:t>1995</w:t>
      </w:r>
      <w:r w:rsidRPr="00A724F7">
        <w:rPr>
          <w:rFonts w:hint="eastAsia"/>
          <w:szCs w:val="21"/>
        </w:rPr>
        <w:t>年：</w:t>
      </w:r>
    </w:p>
    <w:p w:rsidR="00632C9B" w:rsidRPr="00A724F7" w:rsidRDefault="00632C9B" w:rsidP="00632C9B">
      <w:pPr>
        <w:pStyle w:val="SingleTxt"/>
        <w:ind w:left="1695"/>
        <w:rPr>
          <w:szCs w:val="21"/>
        </w:rPr>
      </w:pPr>
      <w:r w:rsidRPr="00A724F7">
        <w:rPr>
          <w:rFonts w:hint="eastAsia"/>
          <w:szCs w:val="21"/>
        </w:rPr>
        <w:t>“十五个成员国的政府已经达成共同协定，认为这项决定是对《条约》有关条款一致认同的最终解释。”</w:t>
      </w:r>
      <w:r w:rsidRPr="003F1277">
        <w:rPr>
          <w:rStyle w:val="a3"/>
        </w:rPr>
        <w:footnoteReference w:id="316"/>
      </w:r>
    </w:p>
    <w:p w:rsidR="00632C9B" w:rsidRPr="00A724F7" w:rsidRDefault="00632C9B" w:rsidP="00632C9B">
      <w:pPr>
        <w:pStyle w:val="SingleTxt"/>
        <w:rPr>
          <w:szCs w:val="21"/>
        </w:rPr>
      </w:pPr>
      <w:r w:rsidRPr="00A724F7">
        <w:rPr>
          <w:rFonts w:hint="eastAsia"/>
          <w:szCs w:val="21"/>
        </w:rPr>
        <w:t>也就是说：</w:t>
      </w:r>
    </w:p>
    <w:p w:rsidR="00632C9B" w:rsidRPr="00A724F7" w:rsidRDefault="00632C9B" w:rsidP="00632C9B">
      <w:pPr>
        <w:pStyle w:val="SingleTxt"/>
        <w:ind w:left="1695"/>
        <w:rPr>
          <w:szCs w:val="21"/>
        </w:rPr>
      </w:pPr>
      <w:r w:rsidRPr="00A724F7">
        <w:rPr>
          <w:rFonts w:hint="eastAsia"/>
          <w:szCs w:val="21"/>
        </w:rPr>
        <w:t>“</w:t>
      </w:r>
      <w:r w:rsidRPr="00A724F7">
        <w:rPr>
          <w:szCs w:val="21"/>
        </w:rPr>
        <w:t>[</w:t>
      </w:r>
      <w:r w:rsidRPr="00A724F7">
        <w:rPr>
          <w:rFonts w:hint="eastAsia"/>
          <w:szCs w:val="21"/>
        </w:rPr>
        <w:t>……</w:t>
      </w:r>
      <w:r w:rsidRPr="00A724F7">
        <w:rPr>
          <w:szCs w:val="21"/>
        </w:rPr>
        <w:t>]</w:t>
      </w:r>
      <w:r w:rsidRPr="00A724F7">
        <w:rPr>
          <w:rFonts w:hint="eastAsia"/>
          <w:szCs w:val="21"/>
        </w:rPr>
        <w:t>欧洲货币的名称定为欧元。</w:t>
      </w:r>
      <w:r w:rsidRPr="00A724F7">
        <w:rPr>
          <w:szCs w:val="21"/>
        </w:rPr>
        <w:t>[</w:t>
      </w:r>
      <w:r w:rsidRPr="00A724F7">
        <w:rPr>
          <w:rFonts w:hint="eastAsia"/>
          <w:szCs w:val="21"/>
        </w:rPr>
        <w:t>……</w:t>
      </w:r>
      <w:r w:rsidRPr="00A724F7">
        <w:rPr>
          <w:szCs w:val="21"/>
        </w:rPr>
        <w:t>]</w:t>
      </w:r>
      <w:r w:rsidRPr="00A724F7">
        <w:rPr>
          <w:rFonts w:hint="eastAsia"/>
          <w:szCs w:val="21"/>
        </w:rPr>
        <w:t>将使用欧元这个具体名称，而不是《条约》中用来指称欧洲货币单位的通用术语‘</w:t>
      </w:r>
      <w:r w:rsidRPr="00A724F7">
        <w:rPr>
          <w:szCs w:val="21"/>
        </w:rPr>
        <w:t>ECU</w:t>
      </w:r>
      <w:r w:rsidRPr="00A724F7">
        <w:rPr>
          <w:rFonts w:hint="eastAsia"/>
          <w:szCs w:val="21"/>
        </w:rPr>
        <w:t>’。</w:t>
      </w:r>
      <w:r w:rsidRPr="003F1277">
        <w:rPr>
          <w:rStyle w:val="a3"/>
          <w:szCs w:val="21"/>
        </w:rPr>
        <w:footnoteReference w:id="317"/>
      </w:r>
    </w:p>
    <w:p w:rsidR="00632C9B" w:rsidRPr="00A724F7" w:rsidRDefault="00632C9B" w:rsidP="00632C9B">
      <w:pPr>
        <w:pStyle w:val="SingleTxt"/>
        <w:rPr>
          <w:szCs w:val="21"/>
        </w:rPr>
      </w:pPr>
      <w:r w:rsidRPr="00A724F7">
        <w:rPr>
          <w:rFonts w:hint="eastAsia"/>
          <w:szCs w:val="21"/>
        </w:rPr>
        <w:t>欧洲联盟“在联盟内开会的成员国”作出的决定在文献里被视为</w:t>
      </w:r>
      <w:r w:rsidRPr="00A724F7">
        <w:rPr>
          <w:szCs w:val="21"/>
        </w:rPr>
        <w:t>第三十一条第三款</w:t>
      </w:r>
      <w:r w:rsidRPr="00A724F7">
        <w:rPr>
          <w:szCs w:val="21"/>
        </w:rPr>
        <w:t>(a)</w:t>
      </w:r>
      <w:r w:rsidRPr="00A724F7">
        <w:rPr>
          <w:rFonts w:hint="eastAsia"/>
          <w:szCs w:val="21"/>
        </w:rPr>
        <w:t>项下的嗣后协定。</w:t>
      </w:r>
      <w:bookmarkStart w:id="57" w:name="_Ref423341817"/>
      <w:r w:rsidRPr="003F1277">
        <w:rPr>
          <w:rStyle w:val="a3"/>
        </w:rPr>
        <w:footnoteReference w:id="318"/>
      </w:r>
      <w:bookmarkEnd w:id="57"/>
    </w:p>
    <w:p w:rsidR="00632C9B" w:rsidRPr="00A724F7" w:rsidRDefault="00632C9B" w:rsidP="00632C9B">
      <w:pPr>
        <w:pStyle w:val="SingleTxt"/>
        <w:rPr>
          <w:szCs w:val="21"/>
        </w:rPr>
      </w:pPr>
      <w:r w:rsidRPr="00A724F7">
        <w:rPr>
          <w:szCs w:val="21"/>
        </w:rPr>
        <w:t>(13)</w:t>
      </w:r>
      <w:r>
        <w:rPr>
          <w:szCs w:val="21"/>
        </w:rPr>
        <w:t xml:space="preserve">  </w:t>
      </w:r>
      <w:r w:rsidRPr="00A724F7">
        <w:rPr>
          <w:rFonts w:hint="eastAsia"/>
          <w:szCs w:val="21"/>
        </w:rPr>
        <w:t>有时很难确定在国际组织</w:t>
      </w:r>
      <w:r w:rsidRPr="00A724F7">
        <w:rPr>
          <w:szCs w:val="21"/>
        </w:rPr>
        <w:t>全体</w:t>
      </w:r>
      <w:r w:rsidRPr="00A724F7">
        <w:rPr>
          <w:rFonts w:hint="eastAsia"/>
          <w:szCs w:val="21"/>
        </w:rPr>
        <w:t>机关“内开会的成员国”是打算像通常那样以该机关成员的身份行事，还是以该组织组成文书缔约国的身份行事。</w:t>
      </w:r>
      <w:r w:rsidRPr="003F1277">
        <w:rPr>
          <w:rStyle w:val="a3"/>
        </w:rPr>
        <w:footnoteReference w:id="319"/>
      </w:r>
      <w:r w:rsidRPr="00A724F7">
        <w:rPr>
          <w:rFonts w:hint="eastAsia"/>
          <w:szCs w:val="21"/>
        </w:rPr>
        <w:t xml:space="preserve"> </w:t>
      </w:r>
      <w:r w:rsidRPr="00A724F7">
        <w:rPr>
          <w:rFonts w:hint="eastAsia"/>
          <w:szCs w:val="21"/>
        </w:rPr>
        <w:t>欧洲联盟法院在面对这个问题时首先从考虑对所涉行动的语言描述：</w:t>
      </w:r>
    </w:p>
    <w:p w:rsidR="00632C9B" w:rsidRPr="00A724F7" w:rsidRDefault="00632C9B" w:rsidP="00632C9B">
      <w:pPr>
        <w:pStyle w:val="SingleTxt"/>
        <w:ind w:left="1695"/>
        <w:rPr>
          <w:szCs w:val="21"/>
        </w:rPr>
      </w:pPr>
      <w:r w:rsidRPr="00A724F7">
        <w:rPr>
          <w:rFonts w:hint="eastAsia"/>
          <w:szCs w:val="21"/>
        </w:rPr>
        <w:t>“该条款的措辞明确规定，如果成员国的代表不是以理事会成员的身份而是以其政府代表的身份行事，以此方式集体行使成员国的权力，则此等行动不受法院的司法审查。”</w:t>
      </w:r>
      <w:r w:rsidRPr="003F1277">
        <w:rPr>
          <w:rStyle w:val="a3"/>
        </w:rPr>
        <w:footnoteReference w:id="320"/>
      </w:r>
    </w:p>
    <w:p w:rsidR="00632C9B" w:rsidRPr="00A724F7" w:rsidRDefault="00632C9B" w:rsidP="00632C9B">
      <w:pPr>
        <w:pStyle w:val="SingleTxt"/>
        <w:rPr>
          <w:szCs w:val="21"/>
        </w:rPr>
      </w:pPr>
      <w:r w:rsidRPr="00A724F7">
        <w:rPr>
          <w:rFonts w:hint="eastAsia"/>
          <w:szCs w:val="21"/>
        </w:rPr>
        <w:t>但是，法院后来还是认为“</w:t>
      </w:r>
      <w:r w:rsidRPr="00A724F7">
        <w:rPr>
          <w:szCs w:val="21"/>
        </w:rPr>
        <w:t>[</w:t>
      </w:r>
      <w:r w:rsidRPr="00A724F7">
        <w:rPr>
          <w:rFonts w:hint="eastAsia"/>
          <w:szCs w:val="21"/>
        </w:rPr>
        <w:t>决定</w:t>
      </w:r>
      <w:r w:rsidRPr="00A724F7">
        <w:rPr>
          <w:szCs w:val="21"/>
        </w:rPr>
        <w:t>]</w:t>
      </w:r>
      <w:r w:rsidRPr="00A724F7">
        <w:rPr>
          <w:rFonts w:hint="eastAsia"/>
          <w:szCs w:val="21"/>
        </w:rPr>
        <w:t>的内容及其通过时的全部情形”，在确定该决定是机关的决定还是缔约国自己的决定方面具有决定性意义：</w:t>
      </w:r>
    </w:p>
    <w:p w:rsidR="00632C9B" w:rsidRPr="007170E8" w:rsidRDefault="00632C9B" w:rsidP="00632C9B">
      <w:pPr>
        <w:pStyle w:val="SingleTxt"/>
        <w:ind w:left="1695"/>
        <w:rPr>
          <w:spacing w:val="4"/>
          <w:szCs w:val="21"/>
        </w:rPr>
      </w:pPr>
      <w:r w:rsidRPr="007170E8">
        <w:rPr>
          <w:rFonts w:hint="eastAsia"/>
          <w:spacing w:val="4"/>
          <w:szCs w:val="21"/>
        </w:rPr>
        <w:t>“因此，将一项行动说成是‘成员国的决定’，不足以将其排除在《条约》第</w:t>
      </w:r>
      <w:r w:rsidRPr="007170E8">
        <w:rPr>
          <w:spacing w:val="4"/>
          <w:szCs w:val="21"/>
        </w:rPr>
        <w:t>173</w:t>
      </w:r>
      <w:r w:rsidRPr="007170E8">
        <w:rPr>
          <w:rFonts w:hint="eastAsia"/>
          <w:spacing w:val="4"/>
          <w:szCs w:val="21"/>
        </w:rPr>
        <w:t>条所规定的审查之外。为将一项决定排除在审查范围外，必须从该</w:t>
      </w:r>
      <w:r w:rsidRPr="007170E8">
        <w:rPr>
          <w:rFonts w:hint="eastAsia"/>
          <w:spacing w:val="4"/>
          <w:szCs w:val="21"/>
        </w:rPr>
        <w:lastRenderedPageBreak/>
        <w:t>决定的内容及其通过时的全部情形来确定所涉行动实际上不是理事会的决定。”</w:t>
      </w:r>
      <w:r w:rsidRPr="003F1277">
        <w:rPr>
          <w:rStyle w:val="a3"/>
          <w:spacing w:val="4"/>
        </w:rPr>
        <w:footnoteReference w:id="321"/>
      </w:r>
    </w:p>
    <w:p w:rsidR="00632C9B" w:rsidRPr="00A724F7" w:rsidRDefault="00632C9B" w:rsidP="00632C9B">
      <w:pPr>
        <w:pStyle w:val="SingleTxt"/>
        <w:rPr>
          <w:szCs w:val="21"/>
        </w:rPr>
      </w:pPr>
      <w:r w:rsidRPr="00A724F7">
        <w:rPr>
          <w:szCs w:val="21"/>
        </w:rPr>
        <w:t>(14)</w:t>
      </w:r>
      <w:r>
        <w:rPr>
          <w:szCs w:val="21"/>
        </w:rPr>
        <w:t xml:space="preserve">  </w:t>
      </w:r>
      <w:r w:rsidRPr="00A724F7">
        <w:rPr>
          <w:rFonts w:hint="eastAsia"/>
          <w:szCs w:val="21"/>
        </w:rPr>
        <w:t>除了确立</w:t>
      </w:r>
      <w:r w:rsidRPr="00A724F7">
        <w:rPr>
          <w:szCs w:val="21"/>
        </w:rPr>
        <w:t>第三十一条第三款</w:t>
      </w:r>
      <w:r w:rsidRPr="00A724F7">
        <w:rPr>
          <w:szCs w:val="21"/>
        </w:rPr>
        <w:t>(a)</w:t>
      </w:r>
      <w:r w:rsidRPr="00A724F7">
        <w:rPr>
          <w:rFonts w:hint="eastAsia"/>
          <w:szCs w:val="21"/>
        </w:rPr>
        <w:t>项和</w:t>
      </w:r>
      <w:r w:rsidRPr="00A724F7">
        <w:rPr>
          <w:szCs w:val="21"/>
        </w:rPr>
        <w:t>(b)</w:t>
      </w:r>
      <w:r w:rsidRPr="00A724F7">
        <w:rPr>
          <w:rFonts w:hint="eastAsia"/>
          <w:szCs w:val="21"/>
        </w:rPr>
        <w:t>项所述所有缔约方协定的嗣后协定和嗣后惯例以外，一个或多个缔约方在适用国际组织组成文书</w:t>
      </w:r>
      <w:r w:rsidRPr="00A724F7">
        <w:rPr>
          <w:rFonts w:hint="eastAsia"/>
          <w:spacing w:val="4"/>
          <w:szCs w:val="21"/>
        </w:rPr>
        <w:t>时的其他嗣后惯例也可能对条约的解释具有意义。</w:t>
      </w:r>
      <w:r w:rsidRPr="003F1277">
        <w:rPr>
          <w:rStyle w:val="a3"/>
          <w:szCs w:val="21"/>
        </w:rPr>
        <w:footnoteReference w:id="322"/>
      </w:r>
      <w:r w:rsidRPr="00A724F7">
        <w:rPr>
          <w:rFonts w:hint="eastAsia"/>
          <w:spacing w:val="4"/>
          <w:szCs w:val="21"/>
        </w:rPr>
        <w:t xml:space="preserve"> </w:t>
      </w:r>
      <w:r w:rsidRPr="00A724F7">
        <w:rPr>
          <w:rFonts w:hint="eastAsia"/>
          <w:spacing w:val="4"/>
          <w:szCs w:val="21"/>
        </w:rPr>
        <w:t>例如，国际组织组成文书有时像其他多边条约一样，</w:t>
      </w:r>
      <w:r w:rsidRPr="00A724F7">
        <w:rPr>
          <w:rFonts w:ascii="楷体" w:hAnsi="楷体" w:hint="eastAsia"/>
          <w:iCs/>
          <w:spacing w:val="4"/>
          <w:szCs w:val="21"/>
        </w:rPr>
        <w:t>是</w:t>
      </w:r>
      <w:r w:rsidRPr="00A724F7">
        <w:rPr>
          <w:rFonts w:hint="eastAsia"/>
          <w:spacing w:val="4"/>
          <w:szCs w:val="21"/>
        </w:rPr>
        <w:t>通过嗣后双边或区域协定或惯例加以实施的。</w:t>
      </w:r>
      <w:r w:rsidRPr="003F1277">
        <w:rPr>
          <w:rStyle w:val="a3"/>
        </w:rPr>
        <w:footnoteReference w:id="323"/>
      </w:r>
      <w:r w:rsidRPr="00A724F7">
        <w:rPr>
          <w:rFonts w:hint="eastAsia"/>
          <w:spacing w:val="4"/>
          <w:szCs w:val="21"/>
        </w:rPr>
        <w:t xml:space="preserve"> </w:t>
      </w:r>
      <w:r w:rsidRPr="00A724F7">
        <w:rPr>
          <w:rFonts w:hint="eastAsia"/>
          <w:spacing w:val="4"/>
          <w:szCs w:val="21"/>
        </w:rPr>
        <w:t>此类双边条约本身不是</w:t>
      </w:r>
      <w:r w:rsidRPr="00A724F7">
        <w:rPr>
          <w:spacing w:val="4"/>
          <w:szCs w:val="21"/>
        </w:rPr>
        <w:t>第三十一条第三款</w:t>
      </w:r>
      <w:r w:rsidRPr="00A724F7">
        <w:rPr>
          <w:rFonts w:hAnsi="宋体"/>
          <w:spacing w:val="4"/>
          <w:szCs w:val="21"/>
        </w:rPr>
        <w:t>(</w:t>
      </w:r>
      <w:r w:rsidRPr="00A724F7">
        <w:rPr>
          <w:spacing w:val="4"/>
          <w:szCs w:val="21"/>
        </w:rPr>
        <w:t>a</w:t>
      </w:r>
      <w:r w:rsidRPr="00A724F7">
        <w:rPr>
          <w:rFonts w:hAnsi="宋体"/>
          <w:spacing w:val="4"/>
          <w:szCs w:val="21"/>
        </w:rPr>
        <w:t>)</w:t>
      </w:r>
      <w:r w:rsidRPr="00A724F7">
        <w:rPr>
          <w:rFonts w:hint="eastAsia"/>
          <w:spacing w:val="4"/>
          <w:szCs w:val="21"/>
        </w:rPr>
        <w:t>项所述的嗣后协定，至少是因为条约是在多边组织文书缔</w:t>
      </w:r>
      <w:r w:rsidRPr="00A724F7">
        <w:rPr>
          <w:rFonts w:hint="eastAsia"/>
          <w:szCs w:val="21"/>
        </w:rPr>
        <w:t>约方中数量有限的国家间缔结的。但是，这些条约可能暗示人们可以据此提出关于恰当解释组成文书本身的主张，可能作为</w:t>
      </w:r>
      <w:r w:rsidRPr="00A724F7">
        <w:rPr>
          <w:szCs w:val="21"/>
        </w:rPr>
        <w:t>第三十二条</w:t>
      </w:r>
      <w:r w:rsidRPr="00A724F7">
        <w:rPr>
          <w:rFonts w:hint="eastAsia"/>
          <w:szCs w:val="21"/>
        </w:rPr>
        <w:t>所指的补充解释资料。</w:t>
      </w:r>
    </w:p>
    <w:p w:rsidR="00632C9B" w:rsidRPr="00A724F7" w:rsidRDefault="00632C9B" w:rsidP="00632C9B">
      <w:pPr>
        <w:pStyle w:val="SingleTxt"/>
        <w:rPr>
          <w:szCs w:val="21"/>
        </w:rPr>
      </w:pPr>
      <w:r w:rsidRPr="00A724F7">
        <w:rPr>
          <w:szCs w:val="21"/>
        </w:rPr>
        <w:t>(15)</w:t>
      </w:r>
      <w:r>
        <w:rPr>
          <w:szCs w:val="21"/>
        </w:rPr>
        <w:t xml:space="preserve">  </w:t>
      </w:r>
      <w:r w:rsidRPr="00A724F7">
        <w:rPr>
          <w:rFonts w:ascii="楷体" w:eastAsia="楷体" w:hAnsi="楷体" w:hint="eastAsia"/>
          <w:szCs w:val="21"/>
        </w:rPr>
        <w:t>结论草案</w:t>
      </w:r>
      <w:r w:rsidRPr="00A724F7">
        <w:rPr>
          <w:rFonts w:ascii="楷体" w:eastAsia="楷体" w:hAnsi="楷体"/>
          <w:szCs w:val="21"/>
        </w:rPr>
        <w:t>11</w:t>
      </w:r>
      <w:r w:rsidRPr="00A724F7">
        <w:rPr>
          <w:rFonts w:ascii="楷体" w:eastAsia="楷体" w:hAnsi="楷体" w:hint="eastAsia"/>
          <w:szCs w:val="21"/>
        </w:rPr>
        <w:t>第</w:t>
      </w:r>
      <w:r w:rsidRPr="00A724F7">
        <w:rPr>
          <w:rFonts w:ascii="楷体" w:eastAsia="楷体" w:hAnsi="楷体"/>
          <w:szCs w:val="21"/>
        </w:rPr>
        <w:t>2</w:t>
      </w:r>
      <w:r w:rsidRPr="00A724F7">
        <w:rPr>
          <w:rFonts w:ascii="楷体" w:eastAsia="楷体" w:hAnsi="楷体" w:hint="eastAsia"/>
          <w:szCs w:val="21"/>
        </w:rPr>
        <w:t>段</w:t>
      </w:r>
      <w:r w:rsidRPr="00A724F7">
        <w:rPr>
          <w:rFonts w:hint="eastAsia"/>
          <w:szCs w:val="21"/>
        </w:rPr>
        <w:t>强调</w:t>
      </w:r>
      <w:r w:rsidRPr="00A724F7">
        <w:rPr>
          <w:szCs w:val="21"/>
        </w:rPr>
        <w:t>第三十一条第三款</w:t>
      </w:r>
      <w:r w:rsidRPr="00A724F7">
        <w:rPr>
          <w:rFonts w:hint="eastAsia"/>
          <w:szCs w:val="21"/>
        </w:rPr>
        <w:t>和</w:t>
      </w:r>
      <w:r w:rsidRPr="00A724F7">
        <w:rPr>
          <w:szCs w:val="21"/>
        </w:rPr>
        <w:t>第三十二条</w:t>
      </w:r>
      <w:r w:rsidRPr="00A724F7">
        <w:rPr>
          <w:rFonts w:hint="eastAsia"/>
          <w:szCs w:val="21"/>
        </w:rPr>
        <w:t>所述嗣后协定和嗣后惯例可能产生或被体现的具体方式。缔约国的嗣后协定和嗣后惯例可“出自”其对国际组织适用组成文书惯例的反应。或者，缔约国对组成协定的嗣后协定和嗣后惯例可被“体现在”国际组织适用组成文书的惯例中。“出自”用意是包括嗣后协定和嗣后惯例的产生和发展，而“体现在”是为了反映和表达这些种协定和惯例。国际组织这两种惯例都反映该组织组成文书的缔约国的嗣后协定或嗣后惯例</w:t>
      </w:r>
      <w:r w:rsidRPr="00A724F7">
        <w:rPr>
          <w:szCs w:val="21"/>
        </w:rPr>
        <w:t>(</w:t>
      </w:r>
      <w:r w:rsidRPr="00A724F7">
        <w:rPr>
          <w:rFonts w:hint="eastAsia"/>
          <w:szCs w:val="21"/>
        </w:rPr>
        <w:t>见结论草案</w:t>
      </w:r>
      <w:r w:rsidRPr="00A724F7">
        <w:rPr>
          <w:szCs w:val="21"/>
        </w:rPr>
        <w:t>4)</w:t>
      </w:r>
      <w:r w:rsidRPr="00A724F7">
        <w:rPr>
          <w:rFonts w:hint="eastAsia"/>
          <w:szCs w:val="21"/>
        </w:rPr>
        <w:t>。</w:t>
      </w:r>
      <w:r w:rsidRPr="003F1277">
        <w:rPr>
          <w:rStyle w:val="a3"/>
        </w:rPr>
        <w:footnoteReference w:id="324"/>
      </w:r>
    </w:p>
    <w:p w:rsidR="00632C9B" w:rsidRPr="00A724F7" w:rsidRDefault="00632C9B" w:rsidP="00632C9B">
      <w:pPr>
        <w:pStyle w:val="SingleTxt"/>
        <w:rPr>
          <w:szCs w:val="21"/>
        </w:rPr>
      </w:pPr>
      <w:r w:rsidRPr="00A724F7">
        <w:rPr>
          <w:szCs w:val="21"/>
        </w:rPr>
        <w:t>(16)</w:t>
      </w:r>
      <w:r>
        <w:rPr>
          <w:szCs w:val="21"/>
        </w:rPr>
        <w:t xml:space="preserve">  </w:t>
      </w:r>
      <w:r w:rsidRPr="00A724F7">
        <w:rPr>
          <w:rFonts w:hint="eastAsia"/>
          <w:szCs w:val="21"/>
        </w:rPr>
        <w:t>国际法院在其关于“国家在武装冲突中使用核武器的合法性”的咨询意见中确认，国际组织的惯例有可能反映成员国作为条约缔约国本身的共识或惯例，但认为该案中的惯例并不“体现或等同于”</w:t>
      </w:r>
      <w:r w:rsidRPr="00A724F7">
        <w:rPr>
          <w:szCs w:val="21"/>
        </w:rPr>
        <w:t>第三十一条第三款</w:t>
      </w:r>
      <w:r w:rsidRPr="00A724F7">
        <w:rPr>
          <w:szCs w:val="21"/>
        </w:rPr>
        <w:t>(b)</w:t>
      </w:r>
      <w:r w:rsidRPr="00A724F7">
        <w:rPr>
          <w:rFonts w:hint="eastAsia"/>
          <w:szCs w:val="21"/>
        </w:rPr>
        <w:t>项所述嗣后惯例：</w:t>
      </w:r>
    </w:p>
    <w:p w:rsidR="00632C9B" w:rsidRPr="00A724F7" w:rsidRDefault="00632C9B" w:rsidP="00632C9B">
      <w:pPr>
        <w:pStyle w:val="SingleTxt"/>
        <w:ind w:left="1695"/>
        <w:rPr>
          <w:szCs w:val="21"/>
        </w:rPr>
      </w:pPr>
      <w:r w:rsidRPr="00A724F7">
        <w:rPr>
          <w:rFonts w:hint="eastAsia"/>
          <w:szCs w:val="21"/>
        </w:rPr>
        <w:t>“使用核武器的合法性问题在世卫组织一被提出来，就在不无反对的情况下通过了第</w:t>
      </w:r>
      <w:r w:rsidRPr="00A724F7">
        <w:rPr>
          <w:szCs w:val="21"/>
        </w:rPr>
        <w:t>WHA46.40</w:t>
      </w:r>
      <w:r w:rsidRPr="00A724F7">
        <w:rPr>
          <w:rFonts w:hint="eastAsia"/>
          <w:szCs w:val="21"/>
        </w:rPr>
        <w:t>号决议。该决议独立来看，不能被认为体现或等同于下述惯例</w:t>
      </w:r>
      <w:r>
        <w:rPr>
          <w:rFonts w:hint="eastAsia"/>
          <w:spacing w:val="-50"/>
        </w:rPr>
        <w:t>―</w:t>
      </w:r>
      <w:r>
        <w:rPr>
          <w:rFonts w:hint="eastAsia"/>
        </w:rPr>
        <w:t>―</w:t>
      </w:r>
      <w:r w:rsidRPr="00A724F7">
        <w:rPr>
          <w:rFonts w:hint="eastAsia"/>
          <w:szCs w:val="21"/>
        </w:rPr>
        <w:t>该惯例在该组织各成员之间确立了解释《组织法》的协定，即赋予该组织处理使用核武器合法性问题的权力。”</w:t>
      </w:r>
      <w:r w:rsidRPr="003F1277">
        <w:rPr>
          <w:rStyle w:val="a3"/>
        </w:rPr>
        <w:footnoteReference w:id="325"/>
      </w:r>
    </w:p>
    <w:p w:rsidR="00632C9B" w:rsidRDefault="00632C9B" w:rsidP="00632C9B">
      <w:pPr>
        <w:spacing w:line="240" w:lineRule="auto"/>
        <w:jc w:val="left"/>
        <w:rPr>
          <w:szCs w:val="21"/>
        </w:rPr>
      </w:pPr>
      <w:r>
        <w:rPr>
          <w:szCs w:val="21"/>
        </w:rPr>
        <w:br w:type="page"/>
      </w:r>
    </w:p>
    <w:p w:rsidR="00632C9B" w:rsidRPr="00A724F7" w:rsidRDefault="00632C9B" w:rsidP="00632C9B">
      <w:pPr>
        <w:pStyle w:val="SingleTxt"/>
        <w:rPr>
          <w:szCs w:val="21"/>
        </w:rPr>
      </w:pPr>
      <w:r w:rsidRPr="00A724F7">
        <w:rPr>
          <w:szCs w:val="21"/>
        </w:rPr>
        <w:lastRenderedPageBreak/>
        <w:t>(17)</w:t>
      </w:r>
      <w:r>
        <w:rPr>
          <w:szCs w:val="21"/>
        </w:rPr>
        <w:t xml:space="preserve">  </w:t>
      </w:r>
      <w:r w:rsidRPr="00A724F7">
        <w:rPr>
          <w:rFonts w:hint="eastAsia"/>
          <w:szCs w:val="21"/>
        </w:rPr>
        <w:t>在本案中</w:t>
      </w:r>
      <w:r w:rsidRPr="00A724F7">
        <w:rPr>
          <w:rFonts w:hint="eastAsia"/>
          <w:spacing w:val="4"/>
          <w:szCs w:val="21"/>
        </w:rPr>
        <w:t>，法院在考虑国际组织决议对解释其组成文书的意义时，首先考虑该决议是否体现或等同于</w:t>
      </w:r>
      <w:r w:rsidRPr="00A724F7">
        <w:rPr>
          <w:spacing w:val="4"/>
          <w:szCs w:val="21"/>
        </w:rPr>
        <w:t>第三十一条第三款</w:t>
      </w:r>
      <w:r w:rsidRPr="00A724F7">
        <w:rPr>
          <w:spacing w:val="4"/>
          <w:szCs w:val="21"/>
        </w:rPr>
        <w:t>(b)</w:t>
      </w:r>
      <w:r w:rsidRPr="00A724F7">
        <w:rPr>
          <w:rFonts w:hint="eastAsia"/>
          <w:spacing w:val="4"/>
          <w:szCs w:val="21"/>
        </w:rPr>
        <w:t>项所述“确</w:t>
      </w:r>
      <w:r w:rsidRPr="00A724F7">
        <w:rPr>
          <w:rFonts w:hint="eastAsia"/>
          <w:szCs w:val="21"/>
        </w:rPr>
        <w:t>立该组织成员间协定的惯例”。</w:t>
      </w:r>
      <w:r w:rsidRPr="003F1277">
        <w:rPr>
          <w:rStyle w:val="a3"/>
        </w:rPr>
        <w:footnoteReference w:id="326"/>
      </w:r>
    </w:p>
    <w:p w:rsidR="00632C9B" w:rsidRPr="00A724F7" w:rsidRDefault="00632C9B" w:rsidP="00632C9B">
      <w:pPr>
        <w:pStyle w:val="SingleTxt"/>
        <w:rPr>
          <w:szCs w:val="21"/>
        </w:rPr>
      </w:pPr>
      <w:r w:rsidRPr="00A724F7">
        <w:rPr>
          <w:szCs w:val="21"/>
        </w:rPr>
        <w:t>(18)</w:t>
      </w:r>
      <w:r>
        <w:rPr>
          <w:szCs w:val="21"/>
        </w:rPr>
        <w:t xml:space="preserve">  </w:t>
      </w:r>
      <w:r w:rsidRPr="00A724F7">
        <w:rPr>
          <w:rFonts w:hint="eastAsia"/>
          <w:szCs w:val="21"/>
        </w:rPr>
        <w:t>同样，世贸组织上诉机构也概括指出：</w:t>
      </w:r>
    </w:p>
    <w:p w:rsidR="00632C9B" w:rsidRPr="007170E8" w:rsidRDefault="00632C9B" w:rsidP="00632C9B">
      <w:pPr>
        <w:pStyle w:val="SingleTxt"/>
        <w:ind w:left="1695"/>
        <w:rPr>
          <w:spacing w:val="2"/>
          <w:szCs w:val="21"/>
        </w:rPr>
      </w:pPr>
      <w:r w:rsidRPr="007170E8">
        <w:rPr>
          <w:rFonts w:hint="eastAsia"/>
          <w:spacing w:val="2"/>
          <w:szCs w:val="21"/>
        </w:rPr>
        <w:t>“根据《维也纳公约》</w:t>
      </w:r>
      <w:r w:rsidRPr="007170E8">
        <w:rPr>
          <w:spacing w:val="2"/>
          <w:szCs w:val="21"/>
        </w:rPr>
        <w:t>第三十一条第三款</w:t>
      </w:r>
      <w:r w:rsidRPr="007170E8">
        <w:rPr>
          <w:spacing w:val="2"/>
          <w:szCs w:val="21"/>
        </w:rPr>
        <w:t>(a)</w:t>
      </w:r>
      <w:r w:rsidRPr="007170E8">
        <w:rPr>
          <w:rFonts w:hint="eastAsia"/>
          <w:spacing w:val="2"/>
          <w:szCs w:val="21"/>
        </w:rPr>
        <w:t>项文本，我们认为，成员国通过的决定可能有资格成为用于解释相关协定或适用协定条款的‘当事国之间的嗣后协定’，条件是：㈠在时间上，该决定是在相关协定之后通过的；和㈡该决定的规定和内容体现了成员国之间对解释或适用世贸组织法律条款达成的协定。”</w:t>
      </w:r>
      <w:r w:rsidRPr="003F1277">
        <w:rPr>
          <w:rStyle w:val="a3"/>
          <w:spacing w:val="2"/>
        </w:rPr>
        <w:footnoteReference w:id="327"/>
      </w:r>
    </w:p>
    <w:p w:rsidR="00632C9B" w:rsidRPr="00A724F7" w:rsidRDefault="00632C9B" w:rsidP="00632C9B">
      <w:pPr>
        <w:pStyle w:val="SingleTxt"/>
        <w:rPr>
          <w:szCs w:val="21"/>
        </w:rPr>
      </w:pPr>
      <w:r w:rsidRPr="00A724F7">
        <w:rPr>
          <w:szCs w:val="21"/>
        </w:rPr>
        <w:t>(19)</w:t>
      </w:r>
      <w:r>
        <w:rPr>
          <w:szCs w:val="21"/>
        </w:rPr>
        <w:t xml:space="preserve">  </w:t>
      </w:r>
      <w:r w:rsidRPr="00A724F7">
        <w:rPr>
          <w:rFonts w:hint="eastAsia"/>
          <w:szCs w:val="21"/>
        </w:rPr>
        <w:t>关于在什么条件下</w:t>
      </w:r>
      <w:r w:rsidRPr="00A724F7">
        <w:rPr>
          <w:szCs w:val="21"/>
        </w:rPr>
        <w:t>全体</w:t>
      </w:r>
      <w:r w:rsidRPr="00A724F7">
        <w:rPr>
          <w:rFonts w:hint="eastAsia"/>
          <w:szCs w:val="21"/>
        </w:rPr>
        <w:t>机关的决定才可被视为</w:t>
      </w:r>
      <w:r w:rsidRPr="00A724F7">
        <w:rPr>
          <w:szCs w:val="21"/>
        </w:rPr>
        <w:t>第三十一条第三款</w:t>
      </w:r>
      <w:r w:rsidRPr="00A724F7">
        <w:rPr>
          <w:szCs w:val="21"/>
        </w:rPr>
        <w:t>(a)</w:t>
      </w:r>
      <w:r w:rsidRPr="00A724F7">
        <w:rPr>
          <w:rFonts w:hint="eastAsia"/>
          <w:szCs w:val="21"/>
        </w:rPr>
        <w:t>项所指的嗣后协定，世贸组织上诉机构认为：</w:t>
      </w:r>
    </w:p>
    <w:p w:rsidR="00632C9B" w:rsidRPr="00A724F7" w:rsidRDefault="00632C9B" w:rsidP="00632C9B">
      <w:pPr>
        <w:pStyle w:val="SingleTxt"/>
        <w:ind w:left="1695"/>
        <w:rPr>
          <w:szCs w:val="21"/>
        </w:rPr>
      </w:pPr>
      <w:r w:rsidRPr="00A724F7">
        <w:rPr>
          <w:rFonts w:hint="eastAsia"/>
          <w:szCs w:val="21"/>
        </w:rPr>
        <w:t>“</w:t>
      </w:r>
      <w:r w:rsidRPr="00A724F7">
        <w:rPr>
          <w:szCs w:val="21"/>
        </w:rPr>
        <w:t xml:space="preserve">263. </w:t>
      </w:r>
      <w:r w:rsidRPr="00A724F7">
        <w:rPr>
          <w:rFonts w:hint="eastAsia"/>
          <w:szCs w:val="21"/>
        </w:rPr>
        <w:t xml:space="preserve"> </w:t>
      </w:r>
      <w:r w:rsidRPr="00A724F7">
        <w:rPr>
          <w:rFonts w:hint="eastAsia"/>
          <w:szCs w:val="21"/>
        </w:rPr>
        <w:t>关于第一项要素，我们注意到‘多哈部长级会议决定’是</w:t>
      </w:r>
      <w:r w:rsidRPr="00A724F7">
        <w:rPr>
          <w:szCs w:val="21"/>
        </w:rPr>
        <w:t>2001</w:t>
      </w:r>
      <w:r w:rsidRPr="00A724F7">
        <w:rPr>
          <w:rFonts w:hint="eastAsia"/>
          <w:szCs w:val="21"/>
        </w:rPr>
        <w:t>年</w:t>
      </w:r>
      <w:r w:rsidRPr="00A724F7">
        <w:rPr>
          <w:szCs w:val="21"/>
        </w:rPr>
        <w:t>11</w:t>
      </w:r>
      <w:r w:rsidRPr="00A724F7">
        <w:rPr>
          <w:rFonts w:hint="eastAsia"/>
          <w:szCs w:val="21"/>
        </w:rPr>
        <w:t>月</w:t>
      </w:r>
      <w:r w:rsidRPr="00A724F7">
        <w:rPr>
          <w:szCs w:val="21"/>
        </w:rPr>
        <w:t>14</w:t>
      </w:r>
      <w:r w:rsidRPr="00A724F7">
        <w:rPr>
          <w:rFonts w:hint="eastAsia"/>
          <w:szCs w:val="21"/>
        </w:rPr>
        <w:t>日在世贸组织第四次部长级会议上以协商一致方式通过的。</w:t>
      </w:r>
    </w:p>
    <w:p w:rsidR="00632C9B" w:rsidRPr="00A724F7" w:rsidRDefault="00632C9B" w:rsidP="00632C9B">
      <w:pPr>
        <w:pStyle w:val="SingleTxt"/>
        <w:ind w:left="1695"/>
        <w:rPr>
          <w:szCs w:val="21"/>
        </w:rPr>
      </w:pPr>
      <w:r w:rsidRPr="00A724F7">
        <w:rPr>
          <w:szCs w:val="21"/>
        </w:rPr>
        <w:t>[</w:t>
      </w:r>
      <w:r w:rsidRPr="00A724F7">
        <w:rPr>
          <w:rFonts w:hint="eastAsia"/>
          <w:szCs w:val="21"/>
        </w:rPr>
        <w:t>……</w:t>
      </w:r>
      <w:r w:rsidRPr="00A724F7">
        <w:rPr>
          <w:szCs w:val="21"/>
        </w:rPr>
        <w:t>]</w:t>
      </w:r>
      <w:r w:rsidRPr="00A724F7">
        <w:rPr>
          <w:rFonts w:hint="eastAsia"/>
          <w:szCs w:val="21"/>
        </w:rPr>
        <w:t>关于第二项要素，所须回答的关键问题是：‘多哈部长级会议决定’第</w:t>
      </w:r>
      <w:r w:rsidRPr="00A724F7">
        <w:rPr>
          <w:szCs w:val="21"/>
        </w:rPr>
        <w:t>5.2</w:t>
      </w:r>
      <w:r w:rsidRPr="00A724F7">
        <w:rPr>
          <w:rFonts w:hint="eastAsia"/>
          <w:szCs w:val="21"/>
        </w:rPr>
        <w:t>段是否体现了成员国之间对解释或适用《技术性贸易壁垒协议》第</w:t>
      </w:r>
      <w:r w:rsidRPr="00A724F7">
        <w:rPr>
          <w:szCs w:val="21"/>
        </w:rPr>
        <w:t>2.12</w:t>
      </w:r>
      <w:r w:rsidRPr="00A724F7">
        <w:rPr>
          <w:rFonts w:hint="eastAsia"/>
          <w:szCs w:val="21"/>
        </w:rPr>
        <w:t>条中的‘合理间隔’达成的协定。</w:t>
      </w:r>
    </w:p>
    <w:p w:rsidR="00632C9B" w:rsidRPr="00A724F7" w:rsidRDefault="00632C9B" w:rsidP="00632C9B">
      <w:pPr>
        <w:pStyle w:val="SingleTxt"/>
        <w:ind w:left="1695"/>
        <w:rPr>
          <w:szCs w:val="21"/>
        </w:rPr>
      </w:pPr>
      <w:r w:rsidRPr="00A724F7">
        <w:rPr>
          <w:szCs w:val="21"/>
        </w:rPr>
        <w:t xml:space="preserve">264.  </w:t>
      </w:r>
      <w:r w:rsidRPr="00A724F7">
        <w:rPr>
          <w:rFonts w:hint="eastAsia"/>
          <w:szCs w:val="21"/>
        </w:rPr>
        <w:t>我们回顾《多哈部长级会议决定》第</w:t>
      </w:r>
      <w:r w:rsidRPr="00A724F7">
        <w:rPr>
          <w:szCs w:val="21"/>
        </w:rPr>
        <w:t>5.2</w:t>
      </w:r>
      <w:r w:rsidRPr="00A724F7">
        <w:rPr>
          <w:rFonts w:hint="eastAsia"/>
          <w:szCs w:val="21"/>
        </w:rPr>
        <w:t>段规定：</w:t>
      </w:r>
    </w:p>
    <w:p w:rsidR="00632C9B" w:rsidRPr="00A724F7" w:rsidRDefault="00632C9B" w:rsidP="00632C9B">
      <w:pPr>
        <w:pStyle w:val="SingleTxt"/>
        <w:ind w:left="1695"/>
        <w:rPr>
          <w:szCs w:val="21"/>
        </w:rPr>
      </w:pPr>
      <w:r w:rsidRPr="00A724F7">
        <w:rPr>
          <w:rFonts w:hint="eastAsia"/>
          <w:szCs w:val="21"/>
        </w:rPr>
        <w:t>在符合《技术性贸易壁垒协议》第</w:t>
      </w:r>
      <w:r w:rsidRPr="00A724F7">
        <w:rPr>
          <w:szCs w:val="21"/>
        </w:rPr>
        <w:t>2</w:t>
      </w:r>
      <w:r w:rsidRPr="00A724F7">
        <w:rPr>
          <w:rFonts w:hint="eastAsia"/>
          <w:szCs w:val="21"/>
        </w:rPr>
        <w:t>条第</w:t>
      </w:r>
      <w:r w:rsidRPr="00A724F7">
        <w:rPr>
          <w:szCs w:val="21"/>
        </w:rPr>
        <w:t>12</w:t>
      </w:r>
      <w:r w:rsidRPr="00A724F7">
        <w:rPr>
          <w:rFonts w:hint="eastAsia"/>
          <w:szCs w:val="21"/>
        </w:rPr>
        <w:t>款所述条件的前提下，‘合理间隔’一词应当理解为通常不少于</w:t>
      </w:r>
      <w:r w:rsidRPr="00A724F7">
        <w:rPr>
          <w:szCs w:val="21"/>
        </w:rPr>
        <w:t>6</w:t>
      </w:r>
      <w:r w:rsidRPr="00A724F7">
        <w:rPr>
          <w:rFonts w:hint="eastAsia"/>
          <w:szCs w:val="21"/>
        </w:rPr>
        <w:t>个月的期间，但不能有效实现所争取之合法目标的情形除外。</w:t>
      </w:r>
    </w:p>
    <w:p w:rsidR="00632C9B" w:rsidRPr="00A724F7" w:rsidRDefault="00632C9B" w:rsidP="00632C9B">
      <w:pPr>
        <w:pStyle w:val="SingleTxt"/>
        <w:ind w:left="1695"/>
        <w:rPr>
          <w:szCs w:val="21"/>
        </w:rPr>
      </w:pPr>
      <w:r w:rsidRPr="00A724F7">
        <w:rPr>
          <w:szCs w:val="21"/>
        </w:rPr>
        <w:t xml:space="preserve">265.  </w:t>
      </w:r>
      <w:r w:rsidRPr="00A724F7">
        <w:rPr>
          <w:rFonts w:hint="eastAsia"/>
          <w:szCs w:val="21"/>
        </w:rPr>
        <w:t>至于《多哈部长级会议决定》第</w:t>
      </w:r>
      <w:r w:rsidRPr="00A724F7">
        <w:rPr>
          <w:szCs w:val="21"/>
        </w:rPr>
        <w:t>5.2</w:t>
      </w:r>
      <w:r w:rsidRPr="00A724F7">
        <w:rPr>
          <w:rFonts w:hint="eastAsia"/>
          <w:szCs w:val="21"/>
        </w:rPr>
        <w:t>段是否体现了成员国之间对解释和适用《技术性贸易壁垒协议》第</w:t>
      </w:r>
      <w:r w:rsidRPr="00A724F7">
        <w:rPr>
          <w:szCs w:val="21"/>
        </w:rPr>
        <w:t>2.12</w:t>
      </w:r>
      <w:r w:rsidRPr="00A724F7">
        <w:rPr>
          <w:rFonts w:hint="eastAsia"/>
          <w:szCs w:val="21"/>
        </w:rPr>
        <w:t>条的‘合理间隔’达成的协定，我们在上诉机构关于‘欧共体</w:t>
      </w:r>
      <w:r>
        <w:rPr>
          <w:rFonts w:hint="eastAsia"/>
          <w:szCs w:val="21"/>
        </w:rPr>
        <w:t>－</w:t>
      </w:r>
      <w:r w:rsidRPr="00A724F7">
        <w:rPr>
          <w:rFonts w:hint="eastAsia"/>
          <w:szCs w:val="21"/>
        </w:rPr>
        <w:t>香蕉</w:t>
      </w:r>
      <w:r>
        <w:rPr>
          <w:rFonts w:hint="eastAsia"/>
          <w:szCs w:val="21"/>
        </w:rPr>
        <w:t>(</w:t>
      </w:r>
      <w:r>
        <w:rPr>
          <w:rFonts w:hint="eastAsia"/>
          <w:szCs w:val="21"/>
        </w:rPr>
        <w:t>三</w:t>
      </w:r>
      <w:r>
        <w:rPr>
          <w:rFonts w:hint="eastAsia"/>
          <w:szCs w:val="21"/>
        </w:rPr>
        <w:t>)</w:t>
      </w:r>
      <w:r w:rsidRPr="00A724F7">
        <w:rPr>
          <w:szCs w:val="21"/>
        </w:rPr>
        <w:t>(</w:t>
      </w:r>
      <w:r w:rsidRPr="00A724F7">
        <w:rPr>
          <w:rFonts w:hint="eastAsia"/>
          <w:szCs w:val="21"/>
        </w:rPr>
        <w:t>第</w:t>
      </w:r>
      <w:r w:rsidRPr="00A724F7">
        <w:rPr>
          <w:szCs w:val="21"/>
        </w:rPr>
        <w:t>21.5</w:t>
      </w:r>
      <w:r w:rsidRPr="00A724F7">
        <w:rPr>
          <w:rFonts w:hint="eastAsia"/>
          <w:szCs w:val="21"/>
        </w:rPr>
        <w:t>条</w:t>
      </w:r>
      <w:r>
        <w:rPr>
          <w:rFonts w:hint="eastAsia"/>
          <w:szCs w:val="21"/>
        </w:rPr>
        <w:t>－</w:t>
      </w:r>
      <w:r w:rsidRPr="00A724F7">
        <w:rPr>
          <w:rFonts w:hint="eastAsia"/>
          <w:szCs w:val="21"/>
        </w:rPr>
        <w:t>厄瓜多尔</w:t>
      </w:r>
      <w:r>
        <w:rPr>
          <w:rFonts w:hint="eastAsia"/>
          <w:szCs w:val="21"/>
        </w:rPr>
        <w:t>(</w:t>
      </w:r>
      <w:r>
        <w:rPr>
          <w:rFonts w:hint="eastAsia"/>
          <w:szCs w:val="21"/>
        </w:rPr>
        <w:t>二</w:t>
      </w:r>
      <w:r>
        <w:rPr>
          <w:rFonts w:hint="eastAsia"/>
          <w:szCs w:val="21"/>
        </w:rPr>
        <w:t>)</w:t>
      </w:r>
      <w:r w:rsidRPr="00A724F7">
        <w:rPr>
          <w:szCs w:val="21"/>
        </w:rPr>
        <w:t>)</w:t>
      </w:r>
      <w:r w:rsidRPr="00A724F7">
        <w:rPr>
          <w:rFonts w:hint="eastAsia"/>
          <w:szCs w:val="21"/>
        </w:rPr>
        <w:t>／欧共体</w:t>
      </w:r>
      <w:r>
        <w:rPr>
          <w:rFonts w:hint="eastAsia"/>
          <w:szCs w:val="21"/>
        </w:rPr>
        <w:t>－香蕉</w:t>
      </w:r>
      <w:r>
        <w:rPr>
          <w:rFonts w:hint="eastAsia"/>
          <w:szCs w:val="21"/>
        </w:rPr>
        <w:t>(</w:t>
      </w:r>
      <w:r>
        <w:rPr>
          <w:rFonts w:hint="eastAsia"/>
          <w:szCs w:val="21"/>
        </w:rPr>
        <w:t>三</w:t>
      </w:r>
      <w:r>
        <w:rPr>
          <w:rFonts w:hint="eastAsia"/>
          <w:szCs w:val="21"/>
        </w:rPr>
        <w:t>)</w:t>
      </w:r>
      <w:r w:rsidRPr="00A724F7">
        <w:rPr>
          <w:szCs w:val="21"/>
        </w:rPr>
        <w:t>(</w:t>
      </w:r>
      <w:r w:rsidRPr="00A724F7">
        <w:rPr>
          <w:rFonts w:hint="eastAsia"/>
          <w:szCs w:val="21"/>
        </w:rPr>
        <w:t>第</w:t>
      </w:r>
      <w:r w:rsidRPr="00A724F7">
        <w:rPr>
          <w:szCs w:val="21"/>
        </w:rPr>
        <w:t>21.5</w:t>
      </w:r>
      <w:r w:rsidRPr="00A724F7">
        <w:rPr>
          <w:rFonts w:hint="eastAsia"/>
          <w:szCs w:val="21"/>
        </w:rPr>
        <w:t>条</w:t>
      </w:r>
      <w:r>
        <w:rPr>
          <w:rFonts w:hint="eastAsia"/>
          <w:szCs w:val="21"/>
        </w:rPr>
        <w:t>－</w:t>
      </w:r>
      <w:r w:rsidRPr="00A724F7">
        <w:rPr>
          <w:rFonts w:hint="eastAsia"/>
          <w:szCs w:val="21"/>
        </w:rPr>
        <w:t>美国</w:t>
      </w:r>
      <w:r w:rsidRPr="00A724F7">
        <w:rPr>
          <w:szCs w:val="21"/>
        </w:rPr>
        <w:t>)</w:t>
      </w:r>
      <w:r w:rsidRPr="00A724F7">
        <w:rPr>
          <w:rFonts w:hint="eastAsia"/>
          <w:szCs w:val="21"/>
        </w:rPr>
        <w:t>’等案的报告中找到了有益的指引。上诉机构指出，国际法委员会把《维也纳公约》</w:t>
      </w:r>
      <w:r w:rsidRPr="00A724F7">
        <w:rPr>
          <w:szCs w:val="21"/>
        </w:rPr>
        <w:t>第三十一条第三款</w:t>
      </w:r>
      <w:r w:rsidRPr="00A724F7">
        <w:rPr>
          <w:szCs w:val="21"/>
        </w:rPr>
        <w:t>(a)</w:t>
      </w:r>
      <w:r w:rsidRPr="00A724F7">
        <w:rPr>
          <w:rFonts w:hint="eastAsia"/>
          <w:szCs w:val="21"/>
        </w:rPr>
        <w:t>项所述嗣后协定称为‘需要与上下文一并考虑的另一项权威解释要素’。上诉机构指出，‘国际法委员会通过使用“权威解释”一词，把</w:t>
      </w:r>
      <w:r w:rsidRPr="00A724F7">
        <w:rPr>
          <w:szCs w:val="21"/>
        </w:rPr>
        <w:t>第三十一条第三款</w:t>
      </w:r>
      <w:r w:rsidRPr="00A724F7">
        <w:rPr>
          <w:szCs w:val="21"/>
        </w:rPr>
        <w:t>(a)</w:t>
      </w:r>
      <w:r w:rsidRPr="00A724F7">
        <w:rPr>
          <w:rFonts w:hint="eastAsia"/>
          <w:szCs w:val="21"/>
        </w:rPr>
        <w:t>项解读为是指对条约解释产生具体影响的各项协定。’因此，我们将考虑第</w:t>
      </w:r>
      <w:r w:rsidRPr="00A724F7">
        <w:rPr>
          <w:szCs w:val="21"/>
        </w:rPr>
        <w:t>5.2</w:t>
      </w:r>
      <w:r w:rsidRPr="00A724F7">
        <w:rPr>
          <w:rFonts w:hint="eastAsia"/>
          <w:szCs w:val="21"/>
        </w:rPr>
        <w:t>段是否对《技术性贸易壁垒协议》第</w:t>
      </w:r>
      <w:r w:rsidRPr="00A724F7">
        <w:rPr>
          <w:szCs w:val="21"/>
        </w:rPr>
        <w:t>2.12</w:t>
      </w:r>
      <w:r w:rsidRPr="00A724F7">
        <w:rPr>
          <w:rFonts w:hint="eastAsia"/>
          <w:szCs w:val="21"/>
        </w:rPr>
        <w:t>条的解释产生具体影响。</w:t>
      </w:r>
      <w:r w:rsidRPr="00A724F7">
        <w:rPr>
          <w:szCs w:val="21"/>
        </w:rPr>
        <w:t>[</w:t>
      </w:r>
      <w:r w:rsidRPr="00A724F7">
        <w:rPr>
          <w:rFonts w:hint="eastAsia"/>
          <w:szCs w:val="21"/>
        </w:rPr>
        <w:t>……</w:t>
      </w:r>
      <w:r w:rsidRPr="00A724F7">
        <w:rPr>
          <w:szCs w:val="21"/>
        </w:rPr>
        <w:t>]</w:t>
      </w:r>
    </w:p>
    <w:p w:rsidR="00632C9B" w:rsidRPr="00A724F7" w:rsidRDefault="00632C9B" w:rsidP="00632C9B">
      <w:pPr>
        <w:pStyle w:val="SingleTxt"/>
        <w:ind w:left="1695"/>
        <w:rPr>
          <w:szCs w:val="21"/>
        </w:rPr>
      </w:pPr>
      <w:r w:rsidRPr="00A724F7">
        <w:rPr>
          <w:szCs w:val="21"/>
        </w:rPr>
        <w:t xml:space="preserve">268.  </w:t>
      </w:r>
      <w:r w:rsidRPr="00A724F7">
        <w:rPr>
          <w:rFonts w:hint="eastAsia"/>
          <w:szCs w:val="21"/>
        </w:rPr>
        <w:t>综上所述，我们支持专家组的结论，即：</w:t>
      </w:r>
      <w:r w:rsidRPr="00A724F7">
        <w:rPr>
          <w:szCs w:val="21"/>
        </w:rPr>
        <w:t>[</w:t>
      </w:r>
      <w:r w:rsidRPr="00A724F7">
        <w:rPr>
          <w:rFonts w:hint="eastAsia"/>
          <w:szCs w:val="21"/>
        </w:rPr>
        <w:t>……</w:t>
      </w:r>
      <w:r w:rsidRPr="00A724F7">
        <w:rPr>
          <w:szCs w:val="21"/>
        </w:rPr>
        <w:t>]</w:t>
      </w:r>
      <w:r w:rsidRPr="00A724F7">
        <w:rPr>
          <w:rFonts w:hint="eastAsia"/>
          <w:szCs w:val="21"/>
        </w:rPr>
        <w:t>《多哈部长级会议决定》第</w:t>
      </w:r>
      <w:r w:rsidRPr="00A724F7">
        <w:rPr>
          <w:szCs w:val="21"/>
        </w:rPr>
        <w:t>5.2</w:t>
      </w:r>
      <w:r w:rsidRPr="00A724F7">
        <w:rPr>
          <w:rFonts w:hint="eastAsia"/>
          <w:szCs w:val="21"/>
        </w:rPr>
        <w:t>段属于《维也纳公约》</w:t>
      </w:r>
      <w:r w:rsidRPr="00A724F7">
        <w:rPr>
          <w:szCs w:val="21"/>
        </w:rPr>
        <w:t>第三十一条第三款</w:t>
      </w:r>
      <w:r w:rsidRPr="00A724F7">
        <w:rPr>
          <w:szCs w:val="21"/>
        </w:rPr>
        <w:t>(a)</w:t>
      </w:r>
      <w:r w:rsidRPr="00A724F7">
        <w:rPr>
          <w:rFonts w:hint="eastAsia"/>
          <w:szCs w:val="21"/>
        </w:rPr>
        <w:t>项意义范畴的、缔约方之间</w:t>
      </w:r>
      <w:r w:rsidRPr="00A724F7">
        <w:rPr>
          <w:rFonts w:hint="eastAsia"/>
          <w:szCs w:val="21"/>
        </w:rPr>
        <w:lastRenderedPageBreak/>
        <w:t>就《技术性贸易壁垒协议》第</w:t>
      </w:r>
      <w:r w:rsidRPr="00A724F7">
        <w:rPr>
          <w:szCs w:val="21"/>
        </w:rPr>
        <w:t>2.12</w:t>
      </w:r>
      <w:r w:rsidRPr="00A724F7">
        <w:rPr>
          <w:rFonts w:hint="eastAsia"/>
          <w:szCs w:val="21"/>
        </w:rPr>
        <w:t>条‘合理间隔’一词的解释达成的嗣后协定。”</w:t>
      </w:r>
      <w:r w:rsidRPr="003F1277">
        <w:rPr>
          <w:rStyle w:val="a3"/>
        </w:rPr>
        <w:footnoteReference w:id="328"/>
      </w:r>
    </w:p>
    <w:p w:rsidR="00632C9B" w:rsidRPr="00A724F7" w:rsidRDefault="00632C9B" w:rsidP="00632C9B">
      <w:pPr>
        <w:pStyle w:val="SingleTxt"/>
        <w:rPr>
          <w:szCs w:val="21"/>
        </w:rPr>
      </w:pPr>
      <w:r w:rsidRPr="00A724F7">
        <w:rPr>
          <w:szCs w:val="21"/>
        </w:rPr>
        <w:t>(20)</w:t>
      </w:r>
      <w:r>
        <w:rPr>
          <w:szCs w:val="21"/>
        </w:rPr>
        <w:t xml:space="preserve">  </w:t>
      </w:r>
      <w:r w:rsidRPr="00A724F7">
        <w:rPr>
          <w:rFonts w:hint="eastAsia"/>
          <w:szCs w:val="21"/>
        </w:rPr>
        <w:t>国际法院在依据大会关于各国友好关系的宣言来解释《宪章》第二条第四款时虽然未明确提及第三十一条第三款</w:t>
      </w:r>
      <w:r w:rsidRPr="00A724F7">
        <w:rPr>
          <w:szCs w:val="21"/>
        </w:rPr>
        <w:t>(a)</w:t>
      </w:r>
      <w:r w:rsidRPr="00A724F7">
        <w:rPr>
          <w:rFonts w:hint="eastAsia"/>
          <w:szCs w:val="21"/>
        </w:rPr>
        <w:t>项，但强调了</w:t>
      </w:r>
      <w:r w:rsidRPr="007170E8">
        <w:rPr>
          <w:rFonts w:asciiTheme="minorEastAsia" w:eastAsiaTheme="minorEastAsia" w:hAnsiTheme="minorEastAsia"/>
          <w:szCs w:val="21"/>
        </w:rPr>
        <w:t>“</w:t>
      </w:r>
      <w:r w:rsidRPr="007170E8">
        <w:rPr>
          <w:rFonts w:asciiTheme="minorEastAsia" w:eastAsiaTheme="minorEastAsia" w:hAnsiTheme="minorEastAsia" w:hint="eastAsia"/>
          <w:szCs w:val="21"/>
        </w:rPr>
        <w:t>各方及各国对大会某些决议的态度</w:t>
      </w:r>
      <w:r w:rsidRPr="007170E8">
        <w:rPr>
          <w:rFonts w:asciiTheme="minorEastAsia" w:eastAsiaTheme="minorEastAsia" w:hAnsiTheme="minorEastAsia"/>
          <w:szCs w:val="21"/>
        </w:rPr>
        <w:t>”</w:t>
      </w:r>
      <w:r w:rsidRPr="00A724F7">
        <w:rPr>
          <w:rFonts w:hint="eastAsia"/>
          <w:szCs w:val="21"/>
        </w:rPr>
        <w:t>及对这些决议表示的同意。</w:t>
      </w:r>
      <w:r w:rsidRPr="003F1277">
        <w:rPr>
          <w:color w:val="000000" w:themeColor="text1"/>
          <w:spacing w:val="-5"/>
          <w:w w:val="150"/>
          <w:position w:val="-4"/>
          <w:szCs w:val="21"/>
          <w:vertAlign w:val="superscript"/>
        </w:rPr>
        <w:footnoteReference w:id="329"/>
      </w:r>
      <w:r>
        <w:rPr>
          <w:rFonts w:hint="eastAsia"/>
          <w:szCs w:val="21"/>
        </w:rPr>
        <w:t xml:space="preserve"> </w:t>
      </w:r>
      <w:r w:rsidRPr="00A724F7">
        <w:rPr>
          <w:rFonts w:hint="eastAsia"/>
          <w:szCs w:val="21"/>
        </w:rPr>
        <w:t>在这方面，若干著述者得出的结论是，在某些情形下，</w:t>
      </w:r>
      <w:r w:rsidRPr="00A724F7">
        <w:rPr>
          <w:szCs w:val="21"/>
        </w:rPr>
        <w:t>第三十一条第三款</w:t>
      </w:r>
      <w:r w:rsidRPr="00A724F7">
        <w:rPr>
          <w:szCs w:val="21"/>
        </w:rPr>
        <w:t>(a)</w:t>
      </w:r>
      <w:r w:rsidRPr="00A724F7">
        <w:rPr>
          <w:rFonts w:hint="eastAsia"/>
          <w:szCs w:val="21"/>
        </w:rPr>
        <w:t>项所指的嗣后协定可出自或体现在国际组织</w:t>
      </w:r>
      <w:r w:rsidRPr="00A724F7">
        <w:rPr>
          <w:szCs w:val="21"/>
        </w:rPr>
        <w:t>全体</w:t>
      </w:r>
      <w:r w:rsidRPr="00A724F7">
        <w:rPr>
          <w:rFonts w:hint="eastAsia"/>
          <w:szCs w:val="21"/>
        </w:rPr>
        <w:t>机关的行动中，</w:t>
      </w:r>
      <w:bookmarkStart w:id="60" w:name="_Ref424551138"/>
      <w:r w:rsidRPr="003F1277">
        <w:rPr>
          <w:rStyle w:val="a3"/>
        </w:rPr>
        <w:footnoteReference w:id="330"/>
      </w:r>
      <w:bookmarkEnd w:id="60"/>
      <w:r w:rsidRPr="00A724F7">
        <w:rPr>
          <w:rFonts w:hint="eastAsia"/>
          <w:szCs w:val="21"/>
        </w:rPr>
        <w:t xml:space="preserve"> </w:t>
      </w:r>
      <w:r w:rsidRPr="00A724F7">
        <w:rPr>
          <w:rFonts w:hint="eastAsia"/>
          <w:szCs w:val="21"/>
        </w:rPr>
        <w:t>例如联合国大会的行动。</w:t>
      </w:r>
      <w:r w:rsidRPr="003F1277">
        <w:rPr>
          <w:rStyle w:val="a3"/>
        </w:rPr>
        <w:footnoteReference w:id="331"/>
      </w:r>
      <w:r w:rsidRPr="00A724F7">
        <w:rPr>
          <w:rFonts w:hint="eastAsia"/>
          <w:szCs w:val="21"/>
        </w:rPr>
        <w:t xml:space="preserve"> </w:t>
      </w:r>
      <w:r w:rsidRPr="00A724F7">
        <w:rPr>
          <w:rFonts w:hint="eastAsia"/>
          <w:szCs w:val="21"/>
        </w:rPr>
        <w:t>事实上，正如世贸组织上诉机构针对国际法委员会所表示的，</w:t>
      </w:r>
      <w:r w:rsidRPr="003F1277">
        <w:rPr>
          <w:rStyle w:val="a3"/>
        </w:rPr>
        <w:footnoteReference w:id="332"/>
      </w:r>
      <w:r w:rsidRPr="00A724F7">
        <w:rPr>
          <w:rFonts w:hint="eastAsia"/>
          <w:szCs w:val="21"/>
        </w:rPr>
        <w:t xml:space="preserve"> </w:t>
      </w:r>
      <w:r w:rsidRPr="00A724F7">
        <w:rPr>
          <w:rFonts w:hint="eastAsia"/>
          <w:szCs w:val="21"/>
        </w:rPr>
        <w:t>只有在国际组织组成文书缔约方以缔约方身份行事，而非像通常那样在体制上仅以各</w:t>
      </w:r>
      <w:r w:rsidRPr="00A724F7">
        <w:rPr>
          <w:szCs w:val="21"/>
        </w:rPr>
        <w:t>全体</w:t>
      </w:r>
      <w:r w:rsidRPr="00A724F7">
        <w:rPr>
          <w:rFonts w:hint="eastAsia"/>
          <w:szCs w:val="21"/>
        </w:rPr>
        <w:t>机关成员的身份行事时，才可根据</w:t>
      </w:r>
      <w:r w:rsidRPr="00A724F7">
        <w:rPr>
          <w:szCs w:val="21"/>
        </w:rPr>
        <w:t>第三十一条第三款</w:t>
      </w:r>
      <w:r w:rsidRPr="00A724F7">
        <w:rPr>
          <w:szCs w:val="21"/>
        </w:rPr>
        <w:t>(a)</w:t>
      </w:r>
      <w:r w:rsidRPr="00A724F7">
        <w:rPr>
          <w:rFonts w:hint="eastAsia"/>
          <w:szCs w:val="21"/>
        </w:rPr>
        <w:t>项将集体决定定为“权威解释要素”。</w:t>
      </w:r>
      <w:r w:rsidRPr="003F1277">
        <w:rPr>
          <w:rStyle w:val="a3"/>
        </w:rPr>
        <w:footnoteReference w:id="333"/>
      </w:r>
    </w:p>
    <w:p w:rsidR="00632C9B" w:rsidRPr="00A724F7" w:rsidRDefault="00632C9B" w:rsidP="00632C9B">
      <w:pPr>
        <w:pStyle w:val="SingleTxt"/>
        <w:rPr>
          <w:szCs w:val="21"/>
        </w:rPr>
      </w:pPr>
      <w:r w:rsidRPr="00A724F7">
        <w:rPr>
          <w:szCs w:val="21"/>
        </w:rPr>
        <w:lastRenderedPageBreak/>
        <w:t>(21)</w:t>
      </w:r>
      <w:r>
        <w:rPr>
          <w:szCs w:val="21"/>
        </w:rPr>
        <w:t xml:space="preserve">  </w:t>
      </w:r>
      <w:r w:rsidRPr="00A724F7">
        <w:rPr>
          <w:rFonts w:hint="eastAsia"/>
          <w:szCs w:val="21"/>
        </w:rPr>
        <w:t>第</w:t>
      </w:r>
      <w:r w:rsidRPr="00A724F7">
        <w:rPr>
          <w:szCs w:val="21"/>
        </w:rPr>
        <w:t>2</w:t>
      </w:r>
      <w:r w:rsidRPr="00A724F7">
        <w:rPr>
          <w:rFonts w:hint="eastAsia"/>
          <w:szCs w:val="21"/>
        </w:rPr>
        <w:t>段针对国际组织的惯例，而非国际组织某机关的惯例。国际组织的惯例可出自某一机关的惯例，但也可能产生于两个或多个机关的行为。</w:t>
      </w:r>
    </w:p>
    <w:p w:rsidR="00632C9B" w:rsidRPr="00A724F7" w:rsidRDefault="00632C9B" w:rsidP="00632C9B">
      <w:pPr>
        <w:pStyle w:val="SingleTxt"/>
        <w:rPr>
          <w:szCs w:val="21"/>
        </w:rPr>
      </w:pPr>
      <w:r w:rsidRPr="00A724F7">
        <w:rPr>
          <w:szCs w:val="21"/>
        </w:rPr>
        <w:t>(22)</w:t>
      </w:r>
      <w:r>
        <w:rPr>
          <w:szCs w:val="21"/>
        </w:rPr>
        <w:t xml:space="preserve">  </w:t>
      </w:r>
      <w:r w:rsidRPr="00A724F7">
        <w:rPr>
          <w:rFonts w:hint="eastAsia"/>
          <w:szCs w:val="21"/>
        </w:rPr>
        <w:t>缔约方的嗣后协定和嗣后惯例可能“出自或体现在”国际组织的惯例中，有时可能与该组织的此类惯例存在密切联系。例如，在“纳米比亚”咨询意见中，国际法院对《联合国宪章》第二十七条第三项中“同意票”用语所作的解释包括弃权，这主要是依据了该组织有关机关的惯例，同时考虑到当时该惯例被会员国“普遍接受”：</w:t>
      </w:r>
    </w:p>
    <w:p w:rsidR="00632C9B" w:rsidRPr="00A724F7" w:rsidRDefault="00632C9B" w:rsidP="00632C9B">
      <w:pPr>
        <w:pStyle w:val="SingleTxt"/>
        <w:ind w:left="1695"/>
        <w:rPr>
          <w:szCs w:val="21"/>
        </w:rPr>
      </w:pPr>
      <w:r w:rsidRPr="00A724F7">
        <w:rPr>
          <w:rFonts w:hint="eastAsia"/>
          <w:szCs w:val="21"/>
        </w:rPr>
        <w:t>“</w:t>
      </w:r>
      <w:r w:rsidRPr="00A724F7">
        <w:rPr>
          <w:szCs w:val="21"/>
        </w:rPr>
        <w:t>[</w:t>
      </w:r>
      <w:r w:rsidRPr="00A724F7">
        <w:rPr>
          <w:rFonts w:hint="eastAsia"/>
          <w:szCs w:val="21"/>
        </w:rPr>
        <w:t>……</w:t>
      </w:r>
      <w:r w:rsidRPr="00A724F7">
        <w:rPr>
          <w:szCs w:val="21"/>
        </w:rPr>
        <w:t>]</w:t>
      </w:r>
      <w:r w:rsidRPr="00A724F7">
        <w:rPr>
          <w:rFonts w:hint="eastAsia"/>
          <w:szCs w:val="21"/>
        </w:rPr>
        <w:t>安全理事会长期以来的议事录提供了大量证据，表明主席的裁决以及安理会理事国、特别是常任理事国采取的立场，已经连贯一致地将一个常任理事国采取的自愿弃权做法解释为并不阻碍决议的通过。安全理事会采用的这一程序自</w:t>
      </w:r>
      <w:r w:rsidRPr="00A724F7">
        <w:rPr>
          <w:szCs w:val="21"/>
        </w:rPr>
        <w:t>1965</w:t>
      </w:r>
      <w:r w:rsidRPr="00A724F7">
        <w:rPr>
          <w:rFonts w:hint="eastAsia"/>
          <w:szCs w:val="21"/>
        </w:rPr>
        <w:t>年修订《宪章》第二十七条以来一直未变，已为联合国会员国普遍接受，并表明了该组织的一种一般惯例。”</w:t>
      </w:r>
      <w:r w:rsidRPr="003F1277">
        <w:rPr>
          <w:rStyle w:val="a3"/>
        </w:rPr>
        <w:footnoteReference w:id="334"/>
      </w:r>
    </w:p>
    <w:p w:rsidR="00632C9B" w:rsidRPr="00A724F7" w:rsidRDefault="00632C9B" w:rsidP="00632C9B">
      <w:pPr>
        <w:pStyle w:val="SingleTxt"/>
        <w:rPr>
          <w:szCs w:val="21"/>
        </w:rPr>
      </w:pPr>
      <w:r w:rsidRPr="00A724F7">
        <w:rPr>
          <w:szCs w:val="21"/>
        </w:rPr>
        <w:t>法院在该案中</w:t>
      </w:r>
      <w:r w:rsidRPr="00A724F7">
        <w:rPr>
          <w:rFonts w:hint="eastAsia"/>
          <w:szCs w:val="21"/>
        </w:rPr>
        <w:t>既</w:t>
      </w:r>
      <w:r w:rsidRPr="00A724F7">
        <w:rPr>
          <w:szCs w:val="21"/>
        </w:rPr>
        <w:t>强调</w:t>
      </w:r>
      <w:r w:rsidRPr="00A724F7">
        <w:rPr>
          <w:rFonts w:hint="eastAsia"/>
          <w:szCs w:val="21"/>
        </w:rPr>
        <w:t>了</w:t>
      </w:r>
      <w:r w:rsidRPr="00A724F7">
        <w:rPr>
          <w:szCs w:val="21"/>
        </w:rPr>
        <w:t>国际组织一个或多个机关的惯例</w:t>
      </w:r>
      <w:r w:rsidRPr="00A724F7">
        <w:rPr>
          <w:rFonts w:hint="eastAsia"/>
          <w:szCs w:val="21"/>
        </w:rPr>
        <w:t>，又强调了</w:t>
      </w:r>
      <w:r w:rsidRPr="00A724F7">
        <w:rPr>
          <w:szCs w:val="21"/>
        </w:rPr>
        <w:t>会员国</w:t>
      </w:r>
      <w:r w:rsidRPr="00A724F7">
        <w:rPr>
          <w:rFonts w:hint="eastAsia"/>
          <w:szCs w:val="21"/>
        </w:rPr>
        <w:t>对该惯</w:t>
      </w:r>
      <w:r w:rsidRPr="00A724F7">
        <w:rPr>
          <w:rFonts w:hAnsi="宋体" w:hint="eastAsia"/>
          <w:szCs w:val="21"/>
        </w:rPr>
        <w:t>例</w:t>
      </w:r>
      <w:r w:rsidRPr="00A724F7">
        <w:rPr>
          <w:rFonts w:hAnsi="宋体"/>
          <w:szCs w:val="21"/>
        </w:rPr>
        <w:t>的“普遍接受”，并将这两种因素的结合称为“该组织的一般惯例”</w:t>
      </w:r>
      <w:r w:rsidRPr="00A724F7">
        <w:rPr>
          <w:szCs w:val="21"/>
        </w:rPr>
        <w:t>。</w:t>
      </w:r>
      <w:r w:rsidRPr="003F1277">
        <w:rPr>
          <w:rStyle w:val="a3"/>
        </w:rPr>
        <w:footnoteReference w:id="335"/>
      </w:r>
      <w:r w:rsidRPr="00A724F7">
        <w:rPr>
          <w:rFonts w:hint="eastAsia"/>
          <w:szCs w:val="21"/>
        </w:rPr>
        <w:t xml:space="preserve"> </w:t>
      </w:r>
      <w:r w:rsidRPr="00A724F7">
        <w:rPr>
          <w:szCs w:val="21"/>
        </w:rPr>
        <w:t>法院在</w:t>
      </w:r>
      <w:r w:rsidRPr="00A724F7">
        <w:rPr>
          <w:rFonts w:hAnsi="宋体"/>
          <w:szCs w:val="21"/>
        </w:rPr>
        <w:t>“</w:t>
      </w:r>
      <w:r w:rsidRPr="00A724F7">
        <w:rPr>
          <w:szCs w:val="21"/>
        </w:rPr>
        <w:t>在被占领巴勒斯坦领土修建隔离墙的法律后果</w:t>
      </w:r>
      <w:r w:rsidRPr="00A724F7">
        <w:rPr>
          <w:szCs w:val="21"/>
        </w:rPr>
        <w:t>”</w:t>
      </w:r>
      <w:r w:rsidRPr="00A724F7">
        <w:rPr>
          <w:szCs w:val="21"/>
        </w:rPr>
        <w:t>咨询意见中沿用了这种</w:t>
      </w:r>
      <w:r w:rsidRPr="00A724F7">
        <w:rPr>
          <w:rFonts w:hint="eastAsia"/>
          <w:szCs w:val="21"/>
        </w:rPr>
        <w:t>做</w:t>
      </w:r>
      <w:r w:rsidRPr="00A724F7">
        <w:rPr>
          <w:szCs w:val="21"/>
        </w:rPr>
        <w:t>法，指出：</w:t>
      </w:r>
    </w:p>
    <w:p w:rsidR="00632C9B" w:rsidRPr="00A724F7" w:rsidRDefault="00632C9B" w:rsidP="00632C9B">
      <w:pPr>
        <w:pStyle w:val="SingleTxt"/>
        <w:ind w:left="1695"/>
        <w:rPr>
          <w:szCs w:val="21"/>
        </w:rPr>
      </w:pPr>
      <w:r w:rsidRPr="00A724F7">
        <w:rPr>
          <w:rFonts w:hint="eastAsia"/>
          <w:szCs w:val="21"/>
        </w:rPr>
        <w:t>法院认为大会被</w:t>
      </w:r>
      <w:r w:rsidRPr="00A724F7">
        <w:rPr>
          <w:szCs w:val="21"/>
        </w:rPr>
        <w:t>接受</w:t>
      </w:r>
      <w:r w:rsidRPr="00A724F7">
        <w:rPr>
          <w:rFonts w:hint="eastAsia"/>
          <w:szCs w:val="21"/>
        </w:rPr>
        <w:t>的</w:t>
      </w:r>
      <w:r w:rsidRPr="00A724F7">
        <w:rPr>
          <w:szCs w:val="21"/>
        </w:rPr>
        <w:t>[</w:t>
      </w:r>
      <w:r w:rsidRPr="00A724F7">
        <w:rPr>
          <w:rFonts w:hint="eastAsia"/>
          <w:szCs w:val="21"/>
        </w:rPr>
        <w:t>原文无强调</w:t>
      </w:r>
      <w:r w:rsidRPr="00A724F7">
        <w:rPr>
          <w:szCs w:val="21"/>
        </w:rPr>
        <w:t>]</w:t>
      </w:r>
      <w:r w:rsidRPr="00A724F7">
        <w:rPr>
          <w:rFonts w:hint="eastAsia"/>
          <w:szCs w:val="21"/>
        </w:rPr>
        <w:t>惯例</w:t>
      </w:r>
      <w:r w:rsidRPr="00A724F7">
        <w:rPr>
          <w:rFonts w:hint="eastAsia"/>
          <w:szCs w:val="21"/>
        </w:rPr>
        <w:t>(</w:t>
      </w:r>
      <w:r w:rsidRPr="00A724F7">
        <w:rPr>
          <w:rFonts w:hint="eastAsia"/>
          <w:szCs w:val="21"/>
        </w:rPr>
        <w:t>有发展</w:t>
      </w:r>
      <w:r w:rsidRPr="00A724F7">
        <w:rPr>
          <w:rFonts w:hint="eastAsia"/>
          <w:szCs w:val="21"/>
        </w:rPr>
        <w:t>)</w:t>
      </w:r>
      <w:r w:rsidRPr="00A724F7">
        <w:rPr>
          <w:rFonts w:hint="eastAsia"/>
          <w:szCs w:val="21"/>
        </w:rPr>
        <w:t>符合《宪章》第十二条第一项。</w:t>
      </w:r>
      <w:r w:rsidRPr="003F1277">
        <w:rPr>
          <w:rStyle w:val="a3"/>
        </w:rPr>
        <w:footnoteReference w:id="336"/>
      </w:r>
    </w:p>
    <w:p w:rsidR="00632C9B" w:rsidRPr="00A724F7" w:rsidRDefault="00632C9B" w:rsidP="00632C9B">
      <w:pPr>
        <w:pStyle w:val="SingleTxt"/>
        <w:rPr>
          <w:szCs w:val="21"/>
        </w:rPr>
      </w:pPr>
      <w:r w:rsidRPr="00A724F7">
        <w:rPr>
          <w:rFonts w:hint="eastAsia"/>
          <w:szCs w:val="21"/>
        </w:rPr>
        <w:t>通过使用“大会被接受的惯例”这一说法，</w:t>
      </w:r>
      <w:r w:rsidRPr="003F1277">
        <w:rPr>
          <w:rStyle w:val="a3"/>
        </w:rPr>
        <w:footnoteReference w:id="337"/>
      </w:r>
      <w:r w:rsidRPr="00A724F7">
        <w:rPr>
          <w:rFonts w:hint="eastAsia"/>
          <w:szCs w:val="21"/>
        </w:rPr>
        <w:t xml:space="preserve"> </w:t>
      </w:r>
      <w:r w:rsidRPr="00A724F7">
        <w:rPr>
          <w:rFonts w:hint="eastAsia"/>
          <w:szCs w:val="21"/>
        </w:rPr>
        <w:t>法院即默示确认，代表成员国对一个组织在适用条约时遵循的惯例作出默许，也就是允许确立就相关条约规定的解释达成的协定。</w:t>
      </w:r>
      <w:r w:rsidRPr="003F1277">
        <w:rPr>
          <w:rStyle w:val="a3"/>
        </w:rPr>
        <w:footnoteReference w:id="338"/>
      </w:r>
    </w:p>
    <w:p w:rsidR="00632C9B" w:rsidRPr="00A724F7" w:rsidRDefault="00632C9B" w:rsidP="00632C9B">
      <w:pPr>
        <w:pStyle w:val="SingleTxt"/>
        <w:rPr>
          <w:szCs w:val="21"/>
        </w:rPr>
      </w:pPr>
      <w:r w:rsidRPr="00A724F7">
        <w:rPr>
          <w:szCs w:val="21"/>
        </w:rPr>
        <w:t>(23)</w:t>
      </w:r>
      <w:r>
        <w:rPr>
          <w:szCs w:val="21"/>
        </w:rPr>
        <w:t xml:space="preserve">  </w:t>
      </w:r>
      <w:r w:rsidRPr="00A724F7">
        <w:rPr>
          <w:rFonts w:hint="eastAsia"/>
          <w:spacing w:val="8"/>
          <w:szCs w:val="21"/>
        </w:rPr>
        <w:t>因此，可以合理地认为，“相关惯例通常是指承担执行义务的那一方的惯例”</w:t>
      </w:r>
      <w:r w:rsidRPr="00A724F7">
        <w:rPr>
          <w:rFonts w:hint="eastAsia"/>
          <w:spacing w:val="4"/>
          <w:szCs w:val="21"/>
        </w:rPr>
        <w:t>，</w:t>
      </w:r>
      <w:r w:rsidRPr="003F1277">
        <w:rPr>
          <w:rStyle w:val="a3"/>
        </w:rPr>
        <w:footnoteReference w:id="339"/>
      </w:r>
      <w:r w:rsidRPr="00A724F7">
        <w:rPr>
          <w:rFonts w:hint="eastAsia"/>
          <w:spacing w:val="4"/>
          <w:szCs w:val="21"/>
        </w:rPr>
        <w:t xml:space="preserve"> </w:t>
      </w:r>
      <w:r w:rsidRPr="00A724F7">
        <w:rPr>
          <w:rFonts w:hint="eastAsia"/>
          <w:spacing w:val="4"/>
          <w:szCs w:val="21"/>
        </w:rPr>
        <w:t>这意味着“如果国家依照条约规定委托一个组织执</w:t>
      </w:r>
      <w:r w:rsidRPr="00A724F7">
        <w:rPr>
          <w:rFonts w:hint="eastAsia"/>
          <w:szCs w:val="21"/>
        </w:rPr>
        <w:t>行某些活动，则</w:t>
      </w:r>
      <w:r w:rsidRPr="00A724F7">
        <w:rPr>
          <w:rFonts w:hint="eastAsia"/>
          <w:szCs w:val="21"/>
        </w:rPr>
        <w:lastRenderedPageBreak/>
        <w:t>执行这些活动的方式可以构成条约所称的惯例；但这种惯例是否确立了缔约方关于条约解释的协定，可能需要考虑到其他因素。”</w:t>
      </w:r>
      <w:r w:rsidRPr="003F1277">
        <w:rPr>
          <w:rStyle w:val="a3"/>
        </w:rPr>
        <w:footnoteReference w:id="340"/>
      </w:r>
    </w:p>
    <w:p w:rsidR="00632C9B" w:rsidRPr="00A724F7" w:rsidRDefault="00632C9B" w:rsidP="00632C9B">
      <w:pPr>
        <w:pStyle w:val="SingleTxt"/>
        <w:rPr>
          <w:szCs w:val="21"/>
        </w:rPr>
      </w:pPr>
      <w:r w:rsidRPr="00A724F7">
        <w:rPr>
          <w:szCs w:val="21"/>
        </w:rPr>
        <w:t>(24)</w:t>
      </w:r>
      <w:r>
        <w:rPr>
          <w:szCs w:val="21"/>
        </w:rPr>
        <w:t xml:space="preserve">  </w:t>
      </w:r>
      <w:r w:rsidRPr="00A724F7">
        <w:rPr>
          <w:rFonts w:hint="eastAsia"/>
          <w:szCs w:val="21"/>
        </w:rPr>
        <w:t>同样，在“南极捕鲸”案中，国际法院提到国际捕鲸委员会</w:t>
      </w:r>
      <w:r w:rsidRPr="00A724F7">
        <w:rPr>
          <w:rFonts w:hint="eastAsia"/>
          <w:szCs w:val="21"/>
        </w:rPr>
        <w:t>(</w:t>
      </w:r>
      <w:r w:rsidRPr="00A724F7">
        <w:rPr>
          <w:rFonts w:hint="eastAsia"/>
          <w:szCs w:val="21"/>
        </w:rPr>
        <w:t>既是《国际捕鲸管制公约》</w:t>
      </w:r>
      <w:r w:rsidRPr="003F1277">
        <w:rPr>
          <w:rStyle w:val="a3"/>
        </w:rPr>
        <w:footnoteReference w:id="341"/>
      </w:r>
      <w:r w:rsidRPr="00A724F7">
        <w:rPr>
          <w:rFonts w:hint="eastAsia"/>
          <w:szCs w:val="21"/>
        </w:rPr>
        <w:t xml:space="preserve"> </w:t>
      </w:r>
      <w:r w:rsidRPr="00A724F7">
        <w:rPr>
          <w:rFonts w:hint="eastAsia"/>
          <w:szCs w:val="21"/>
        </w:rPr>
        <w:t>设立的国际组织名称也是该组织一个机关的名称</w:t>
      </w:r>
      <w:r w:rsidRPr="00A724F7">
        <w:rPr>
          <w:rFonts w:hint="eastAsia"/>
          <w:szCs w:val="21"/>
        </w:rPr>
        <w:t>)</w:t>
      </w:r>
      <w:r w:rsidRPr="00A724F7">
        <w:rPr>
          <w:rFonts w:hint="eastAsia"/>
          <w:szCs w:val="21"/>
        </w:rPr>
        <w:t>无约束力的建议，澄清说这些建议如果经“协商一致或一致表决获得通过，则可能对《公约》或其附表的解释有意义”。</w:t>
      </w:r>
      <w:r w:rsidRPr="003F1277">
        <w:rPr>
          <w:rStyle w:val="a3"/>
        </w:rPr>
        <w:footnoteReference w:id="342"/>
      </w:r>
      <w:r w:rsidRPr="00A724F7">
        <w:rPr>
          <w:rFonts w:hint="eastAsia"/>
          <w:szCs w:val="21"/>
        </w:rPr>
        <w:t xml:space="preserve"> </w:t>
      </w:r>
      <w:r w:rsidRPr="00A724F7">
        <w:rPr>
          <w:rFonts w:hint="eastAsia"/>
          <w:szCs w:val="21"/>
        </w:rPr>
        <w:t>然而，法院同时也作出了谨慎的表示：</w:t>
      </w:r>
    </w:p>
    <w:p w:rsidR="00632C9B" w:rsidRPr="00A724F7" w:rsidRDefault="00632C9B" w:rsidP="00632C9B">
      <w:pPr>
        <w:pStyle w:val="SingleTxt"/>
        <w:ind w:left="1695"/>
        <w:rPr>
          <w:szCs w:val="21"/>
        </w:rPr>
      </w:pPr>
      <w:r>
        <w:rPr>
          <w:rFonts w:hint="eastAsia"/>
          <w:szCs w:val="21"/>
        </w:rPr>
        <w:t>“</w:t>
      </w:r>
      <w:r w:rsidRPr="00A724F7">
        <w:rPr>
          <w:rFonts w:hint="eastAsia"/>
          <w:szCs w:val="21"/>
        </w:rPr>
        <w:t>[</w:t>
      </w:r>
      <w:r w:rsidRPr="00A724F7">
        <w:rPr>
          <w:rFonts w:hint="eastAsia"/>
          <w:szCs w:val="21"/>
        </w:rPr>
        <w:t>……</w:t>
      </w:r>
      <w:r w:rsidRPr="00A724F7">
        <w:rPr>
          <w:rFonts w:hint="eastAsia"/>
          <w:szCs w:val="21"/>
        </w:rPr>
        <w:t>]</w:t>
      </w:r>
      <w:r w:rsidRPr="00A724F7">
        <w:rPr>
          <w:rFonts w:hint="eastAsia"/>
          <w:szCs w:val="21"/>
        </w:rPr>
        <w:t>澳大利亚和新西兰夸大了其所依据的建议性决议和导则的法律意义。首先，国际捕鲸委员会的许多决议都是在未得到《公约》全体缔约国支</w:t>
      </w:r>
      <w:r w:rsidRPr="00A724F7">
        <w:rPr>
          <w:szCs w:val="21"/>
        </w:rPr>
        <w:t>持，尤其是未得到日本同意的情况下通过的。因此，这些文书既不能被视为第八条解释方面的嗣后协定，也不构成《维也纳条约法公约》第三十一条第三款</w:t>
      </w:r>
      <w:r w:rsidRPr="00A724F7">
        <w:rPr>
          <w:szCs w:val="21"/>
        </w:rPr>
        <w:t>(a)</w:t>
      </w:r>
      <w:r w:rsidRPr="00A724F7">
        <w:rPr>
          <w:szCs w:val="21"/>
        </w:rPr>
        <w:t>项和</w:t>
      </w:r>
      <w:r w:rsidRPr="00A724F7">
        <w:rPr>
          <w:szCs w:val="21"/>
        </w:rPr>
        <w:t>(b)</w:t>
      </w:r>
      <w:r w:rsidRPr="00A724F7">
        <w:rPr>
          <w:szCs w:val="21"/>
        </w:rPr>
        <w:t>项分别所指的确定缔约方关于条约解释的协定的嗣后惯例。</w:t>
      </w:r>
      <w:r w:rsidRPr="003F1277">
        <w:rPr>
          <w:rStyle w:val="a3"/>
        </w:rPr>
        <w:footnoteReference w:id="343"/>
      </w:r>
    </w:p>
    <w:p w:rsidR="00632C9B" w:rsidRPr="00A724F7" w:rsidRDefault="00632C9B" w:rsidP="00632C9B">
      <w:pPr>
        <w:pStyle w:val="SingleTxt"/>
        <w:rPr>
          <w:szCs w:val="21"/>
        </w:rPr>
      </w:pPr>
      <w:bookmarkStart w:id="61" w:name="_Ref423958724"/>
      <w:r w:rsidRPr="00A724F7">
        <w:rPr>
          <w:szCs w:val="21"/>
        </w:rPr>
        <w:t>(25)</w:t>
      </w:r>
      <w:r>
        <w:rPr>
          <w:szCs w:val="21"/>
        </w:rPr>
        <w:t xml:space="preserve">  </w:t>
      </w:r>
      <w:r w:rsidRPr="00A724F7">
        <w:rPr>
          <w:szCs w:val="21"/>
        </w:rPr>
        <w:t>然而</w:t>
      </w:r>
      <w:r w:rsidRPr="00A724F7">
        <w:rPr>
          <w:rFonts w:hint="eastAsia"/>
          <w:szCs w:val="21"/>
        </w:rPr>
        <w:t>，</w:t>
      </w:r>
      <w:r w:rsidRPr="00A724F7">
        <w:rPr>
          <w:szCs w:val="21"/>
        </w:rPr>
        <w:t>这一谨慎</w:t>
      </w:r>
      <w:r w:rsidRPr="00A724F7">
        <w:rPr>
          <w:rFonts w:hint="eastAsia"/>
          <w:szCs w:val="21"/>
        </w:rPr>
        <w:t>表示</w:t>
      </w:r>
      <w:r w:rsidRPr="00A724F7">
        <w:rPr>
          <w:szCs w:val="21"/>
        </w:rPr>
        <w:t>并</w:t>
      </w:r>
      <w:r w:rsidRPr="00A724F7">
        <w:rPr>
          <w:rFonts w:hint="eastAsia"/>
          <w:szCs w:val="21"/>
        </w:rPr>
        <w:t>不</w:t>
      </w:r>
      <w:r w:rsidRPr="00A724F7">
        <w:rPr>
          <w:szCs w:val="21"/>
        </w:rPr>
        <w:t>排除一个</w:t>
      </w:r>
      <w:r w:rsidRPr="00A724F7">
        <w:rPr>
          <w:rFonts w:hint="eastAsia"/>
          <w:szCs w:val="21"/>
        </w:rPr>
        <w:t>未获全体一致</w:t>
      </w:r>
      <w:r w:rsidRPr="00A724F7">
        <w:rPr>
          <w:szCs w:val="21"/>
        </w:rPr>
        <w:t>通过的决议可能会产生或表明</w:t>
      </w:r>
      <w:r w:rsidRPr="00A724F7">
        <w:rPr>
          <w:rFonts w:hint="eastAsia"/>
          <w:szCs w:val="21"/>
        </w:rPr>
        <w:t>单个</w:t>
      </w:r>
      <w:r w:rsidRPr="00A724F7">
        <w:rPr>
          <w:szCs w:val="21"/>
        </w:rPr>
        <w:t>成员国在解释条约时的立场</w:t>
      </w:r>
      <w:r w:rsidRPr="00A724F7">
        <w:rPr>
          <w:rFonts w:hint="eastAsia"/>
          <w:szCs w:val="21"/>
        </w:rPr>
        <w:t>或</w:t>
      </w:r>
      <w:r w:rsidRPr="00A724F7">
        <w:rPr>
          <w:szCs w:val="21"/>
        </w:rPr>
        <w:t>惯例</w:t>
      </w:r>
      <w:r w:rsidRPr="00A724F7">
        <w:rPr>
          <w:rFonts w:hint="eastAsia"/>
          <w:szCs w:val="21"/>
        </w:rPr>
        <w:t>，而这一立场或惯例可依据</w:t>
      </w:r>
      <w:r w:rsidRPr="00A724F7">
        <w:rPr>
          <w:szCs w:val="21"/>
        </w:rPr>
        <w:t>第三十二条</w:t>
      </w:r>
      <w:r w:rsidRPr="00A724F7">
        <w:rPr>
          <w:rFonts w:hint="eastAsia"/>
          <w:szCs w:val="21"/>
        </w:rPr>
        <w:t>予以考虑。</w:t>
      </w:r>
      <w:r w:rsidRPr="003F1277">
        <w:rPr>
          <w:rStyle w:val="a3"/>
        </w:rPr>
        <w:footnoteReference w:id="344"/>
      </w:r>
    </w:p>
    <w:bookmarkEnd w:id="61"/>
    <w:p w:rsidR="00632C9B" w:rsidRPr="00A724F7" w:rsidRDefault="00632C9B" w:rsidP="00632C9B">
      <w:pPr>
        <w:pStyle w:val="SingleTxt"/>
        <w:rPr>
          <w:rFonts w:eastAsia="Times New Roman"/>
          <w:szCs w:val="21"/>
        </w:rPr>
      </w:pPr>
      <w:r w:rsidRPr="00A724F7">
        <w:rPr>
          <w:rFonts w:eastAsia="Times New Roman"/>
          <w:szCs w:val="21"/>
        </w:rPr>
        <w:t>(26)</w:t>
      </w:r>
      <w:r>
        <w:rPr>
          <w:rFonts w:eastAsia="Times New Roman"/>
          <w:szCs w:val="21"/>
        </w:rPr>
        <w:t xml:space="preserve">  </w:t>
      </w:r>
      <w:r w:rsidRPr="00EC18A6">
        <w:rPr>
          <w:rFonts w:ascii="楷体_GB2312" w:eastAsia="楷体_GB2312" w:hint="eastAsia"/>
          <w:szCs w:val="21"/>
        </w:rPr>
        <w:t>结论草案11第3段</w:t>
      </w:r>
      <w:r w:rsidRPr="00A724F7">
        <w:rPr>
          <w:rFonts w:hint="eastAsia"/>
          <w:szCs w:val="21"/>
        </w:rPr>
        <w:t>提及可能对解释国际组织的组成文书有意义的另一个惯例形式：组织自身形成的惯例，即“自身惯例”，有别于成员国的惯例。在一些案例中，国际法院在解释国际组织的组成文书时就考虑了其自身惯例，而没有提及该组织成员国的惯例或成员国是否接受。尤其是，法院表示在解释过程中国际组织的“自身惯例</w:t>
      </w:r>
      <w:r w:rsidRPr="00A724F7">
        <w:rPr>
          <w:rFonts w:hAnsi="宋体"/>
          <w:szCs w:val="21"/>
        </w:rPr>
        <w:t>[</w:t>
      </w:r>
      <w:r w:rsidRPr="00A724F7">
        <w:rPr>
          <w:rFonts w:hAnsi="宋体"/>
          <w:szCs w:val="21"/>
        </w:rPr>
        <w:t>……</w:t>
      </w:r>
      <w:r w:rsidRPr="00A724F7">
        <w:rPr>
          <w:rFonts w:hAnsi="宋体"/>
          <w:szCs w:val="21"/>
        </w:rPr>
        <w:t>]</w:t>
      </w:r>
      <w:r w:rsidRPr="00A724F7">
        <w:rPr>
          <w:rFonts w:hAnsi="宋体" w:hint="eastAsia"/>
          <w:szCs w:val="21"/>
        </w:rPr>
        <w:t>可</w:t>
      </w:r>
      <w:r w:rsidRPr="00A724F7">
        <w:rPr>
          <w:rFonts w:hint="eastAsia"/>
          <w:szCs w:val="21"/>
        </w:rPr>
        <w:t>能值得特别重视”。</w:t>
      </w:r>
      <w:r w:rsidRPr="003F1277">
        <w:rPr>
          <w:rStyle w:val="a3"/>
        </w:rPr>
        <w:footnoteReference w:id="345"/>
      </w:r>
    </w:p>
    <w:p w:rsidR="00632C9B" w:rsidRPr="00A724F7" w:rsidRDefault="00632C9B" w:rsidP="00632C9B">
      <w:pPr>
        <w:pStyle w:val="SingleTxt"/>
        <w:rPr>
          <w:szCs w:val="21"/>
        </w:rPr>
      </w:pPr>
      <w:r w:rsidRPr="00A724F7">
        <w:rPr>
          <w:szCs w:val="21"/>
        </w:rPr>
        <w:t>(27)</w:t>
      </w:r>
      <w:r>
        <w:rPr>
          <w:szCs w:val="21"/>
        </w:rPr>
        <w:t xml:space="preserve">  </w:t>
      </w:r>
      <w:r w:rsidRPr="00A724F7">
        <w:rPr>
          <w:rFonts w:hint="eastAsia"/>
          <w:szCs w:val="21"/>
        </w:rPr>
        <w:t>例如，国际法院在关于“联合国大会接纳国家加入联合国的权限”的咨询意见中指出：</w:t>
      </w:r>
    </w:p>
    <w:p w:rsidR="00632C9B" w:rsidRPr="00A724F7" w:rsidRDefault="00632C9B" w:rsidP="00632C9B">
      <w:pPr>
        <w:pStyle w:val="SingleTxt"/>
        <w:ind w:left="1695"/>
        <w:rPr>
          <w:szCs w:val="21"/>
        </w:rPr>
      </w:pPr>
      <w:r w:rsidRPr="00A724F7">
        <w:rPr>
          <w:rFonts w:hAnsi="宋体" w:hint="eastAsia"/>
          <w:szCs w:val="21"/>
        </w:rPr>
        <w:lastRenderedPageBreak/>
        <w:t>“根据第四条的委托负责</w:t>
      </w:r>
      <w:r w:rsidRPr="00933E56">
        <w:rPr>
          <w:rFonts w:hint="eastAsia"/>
          <w:szCs w:val="21"/>
        </w:rPr>
        <w:t>决定</w:t>
      </w:r>
      <w:r w:rsidRPr="00A724F7">
        <w:rPr>
          <w:rFonts w:hAnsi="宋体" w:hint="eastAsia"/>
          <w:szCs w:val="21"/>
        </w:rPr>
        <w:t>本组织准入事项的各机关对该文本的一贯解释是，大会只有根据安全理事会的建议才能决定接纳。”</w:t>
      </w:r>
      <w:r w:rsidRPr="003F1277">
        <w:rPr>
          <w:rStyle w:val="a3"/>
        </w:rPr>
        <w:footnoteReference w:id="346"/>
      </w:r>
    </w:p>
    <w:p w:rsidR="00632C9B" w:rsidRPr="00A724F7" w:rsidRDefault="00632C9B" w:rsidP="00632C9B">
      <w:pPr>
        <w:pStyle w:val="SingleTxt"/>
        <w:rPr>
          <w:szCs w:val="21"/>
        </w:rPr>
      </w:pPr>
      <w:r w:rsidRPr="00A724F7">
        <w:rPr>
          <w:szCs w:val="21"/>
        </w:rPr>
        <w:t>(28)</w:t>
      </w:r>
      <w:r>
        <w:rPr>
          <w:szCs w:val="21"/>
        </w:rPr>
        <w:t xml:space="preserve">  </w:t>
      </w:r>
      <w:r w:rsidRPr="00A724F7">
        <w:rPr>
          <w:rFonts w:hint="eastAsia"/>
          <w:szCs w:val="21"/>
        </w:rPr>
        <w:t>同样，在“《联合国特权和豁免公约》第六条第二十二节的适用”案中，法院在提到“联合国”的惯例时，是指该组织各机关的行动：</w:t>
      </w:r>
    </w:p>
    <w:p w:rsidR="00632C9B" w:rsidRPr="00A724F7" w:rsidRDefault="00632C9B" w:rsidP="00632C9B">
      <w:pPr>
        <w:pStyle w:val="SingleTxt"/>
        <w:ind w:left="1695"/>
        <w:rPr>
          <w:szCs w:val="21"/>
        </w:rPr>
      </w:pPr>
      <w:r w:rsidRPr="00A724F7">
        <w:rPr>
          <w:rFonts w:hint="eastAsia"/>
          <w:szCs w:val="21"/>
        </w:rPr>
        <w:t>“实践</w:t>
      </w:r>
      <w:r w:rsidRPr="00A724F7">
        <w:rPr>
          <w:rFonts w:hAnsi="宋体" w:hint="eastAsia"/>
          <w:szCs w:val="21"/>
        </w:rPr>
        <w:t>中，根据秘书长提供的信息，联合国确曾在特定情况下把性质越来越多样化的特派任务托付给不具备联合国官员身份的个人。</w:t>
      </w:r>
      <w:r w:rsidRPr="00A724F7">
        <w:rPr>
          <w:rFonts w:hAnsi="宋体"/>
          <w:szCs w:val="21"/>
        </w:rPr>
        <w:t>[</w:t>
      </w:r>
      <w:r w:rsidRPr="00A724F7">
        <w:rPr>
          <w:rFonts w:hAnsi="宋体"/>
          <w:szCs w:val="21"/>
        </w:rPr>
        <w:t>……</w:t>
      </w:r>
      <w:r w:rsidRPr="00A724F7">
        <w:rPr>
          <w:rFonts w:hAnsi="宋体"/>
          <w:szCs w:val="21"/>
        </w:rPr>
        <w:t>]</w:t>
      </w:r>
      <w:r w:rsidRPr="00A724F7">
        <w:rPr>
          <w:rFonts w:hAnsi="宋体"/>
          <w:szCs w:val="21"/>
        </w:rPr>
        <w:t>在所有这些情况下，联合国的</w:t>
      </w:r>
      <w:r w:rsidRPr="00A724F7">
        <w:rPr>
          <w:szCs w:val="21"/>
        </w:rPr>
        <w:t>惯例</w:t>
      </w:r>
      <w:r w:rsidRPr="00A724F7">
        <w:rPr>
          <w:rFonts w:hAnsi="宋体"/>
          <w:szCs w:val="21"/>
        </w:rPr>
        <w:t>表明，得到此类任命的人，尤其是此类委员会的成员，都被视第二十二节所指的特派专家</w:t>
      </w:r>
      <w:r w:rsidRPr="00A724F7">
        <w:rPr>
          <w:rFonts w:hint="eastAsia"/>
          <w:szCs w:val="21"/>
        </w:rPr>
        <w:t>。</w:t>
      </w:r>
      <w:r w:rsidRPr="003F1277">
        <w:rPr>
          <w:rStyle w:val="a3"/>
        </w:rPr>
        <w:footnoteReference w:id="347"/>
      </w:r>
    </w:p>
    <w:p w:rsidR="00632C9B" w:rsidRPr="00A724F7" w:rsidRDefault="00632C9B" w:rsidP="00632C9B">
      <w:pPr>
        <w:pStyle w:val="SingleTxt"/>
        <w:rPr>
          <w:rFonts w:eastAsia="Droid Sans Fallback"/>
          <w:szCs w:val="21"/>
        </w:rPr>
      </w:pPr>
      <w:r w:rsidRPr="00A724F7">
        <w:rPr>
          <w:rFonts w:eastAsia="Droid Sans Fallback"/>
          <w:szCs w:val="21"/>
        </w:rPr>
        <w:t>(29)</w:t>
      </w:r>
      <w:r>
        <w:rPr>
          <w:rFonts w:eastAsia="Droid Sans Fallback"/>
          <w:szCs w:val="21"/>
        </w:rPr>
        <w:t xml:space="preserve">  </w:t>
      </w:r>
      <w:r w:rsidRPr="00A724F7">
        <w:rPr>
          <w:rFonts w:hAnsi="宋体" w:cs="宋体" w:hint="eastAsia"/>
          <w:szCs w:val="21"/>
        </w:rPr>
        <w:t>在关于海事组织的咨询意见中，国际法院提到</w:t>
      </w:r>
      <w:r w:rsidRPr="00A724F7">
        <w:rPr>
          <w:rFonts w:eastAsia="Droid Sans Fallback"/>
          <w:szCs w:val="21"/>
        </w:rPr>
        <w:t>“</w:t>
      </w:r>
      <w:r w:rsidRPr="00A724F7">
        <w:rPr>
          <w:rFonts w:hAnsi="宋体" w:cs="宋体" w:hint="eastAsia"/>
          <w:szCs w:val="21"/>
        </w:rPr>
        <w:t>该组织本身在履行《公约》过程中遵循的</w:t>
      </w:r>
      <w:r w:rsidRPr="00A724F7">
        <w:rPr>
          <w:rFonts w:hint="eastAsia"/>
          <w:szCs w:val="21"/>
        </w:rPr>
        <w:t>惯例</w:t>
      </w:r>
      <w:r w:rsidRPr="00A724F7">
        <w:rPr>
          <w:rFonts w:eastAsia="Droid Sans Fallback"/>
          <w:szCs w:val="21"/>
        </w:rPr>
        <w:t>”</w:t>
      </w:r>
      <w:r w:rsidRPr="00A724F7">
        <w:rPr>
          <w:rFonts w:hAnsi="宋体" w:cs="宋体" w:hint="eastAsia"/>
          <w:szCs w:val="21"/>
        </w:rPr>
        <w:t>可以作为解释资料。</w:t>
      </w:r>
      <w:r w:rsidRPr="003F1277">
        <w:rPr>
          <w:rStyle w:val="a3"/>
        </w:rPr>
        <w:footnoteReference w:id="348"/>
      </w:r>
    </w:p>
    <w:p w:rsidR="00632C9B" w:rsidRPr="00A724F7" w:rsidRDefault="00632C9B" w:rsidP="00632C9B">
      <w:pPr>
        <w:pStyle w:val="SingleTxt"/>
        <w:rPr>
          <w:rFonts w:eastAsia="Times New Roman"/>
          <w:szCs w:val="21"/>
        </w:rPr>
      </w:pPr>
      <w:r w:rsidRPr="00A724F7">
        <w:rPr>
          <w:rFonts w:eastAsia="Times New Roman"/>
          <w:szCs w:val="21"/>
        </w:rPr>
        <w:t>(30)</w:t>
      </w:r>
      <w:r>
        <w:rPr>
          <w:rFonts w:eastAsia="Times New Roman"/>
          <w:szCs w:val="21"/>
        </w:rPr>
        <w:t xml:space="preserve">  </w:t>
      </w:r>
      <w:r w:rsidRPr="00A724F7">
        <w:rPr>
          <w:rFonts w:hint="eastAsia"/>
          <w:szCs w:val="21"/>
        </w:rPr>
        <w:t>在关于“联合国的某些经费”的咨询意见中，法院解释了为什么国际机构包括其下属机关的惯例本身，对国际组织组成文书的解释可能有意义：</w:t>
      </w:r>
    </w:p>
    <w:p w:rsidR="00632C9B" w:rsidRPr="00A724F7" w:rsidRDefault="00632C9B" w:rsidP="00632C9B">
      <w:pPr>
        <w:pStyle w:val="SingleTxt"/>
        <w:ind w:left="1695"/>
        <w:rPr>
          <w:szCs w:val="21"/>
        </w:rPr>
      </w:pPr>
      <w:bookmarkStart w:id="62" w:name="_Ref423449798"/>
      <w:r w:rsidRPr="00A724F7">
        <w:rPr>
          <w:rFonts w:hAnsi="宋体" w:hint="eastAsia"/>
          <w:szCs w:val="21"/>
        </w:rPr>
        <w:t>在起草《宪章》过程中提出的将《宪章》的最终解释权授予国际法院的建议未被接受；因此法院</w:t>
      </w:r>
      <w:r w:rsidRPr="00A724F7">
        <w:rPr>
          <w:rFonts w:hint="eastAsia"/>
          <w:szCs w:val="21"/>
        </w:rPr>
        <w:t>现在</w:t>
      </w:r>
      <w:r w:rsidRPr="00A724F7">
        <w:rPr>
          <w:rFonts w:hAnsi="宋体" w:hint="eastAsia"/>
          <w:szCs w:val="21"/>
        </w:rPr>
        <w:t>提供的</w:t>
      </w:r>
      <w:r w:rsidRPr="00933E56">
        <w:rPr>
          <w:rFonts w:hint="eastAsia"/>
          <w:szCs w:val="21"/>
        </w:rPr>
        <w:t>意见</w:t>
      </w:r>
      <w:r w:rsidRPr="00A724F7">
        <w:rPr>
          <w:rFonts w:hAnsi="宋体" w:hint="eastAsia"/>
          <w:szCs w:val="21"/>
        </w:rPr>
        <w:t>是咨询意见。于是，正</w:t>
      </w:r>
      <w:r w:rsidRPr="00A724F7">
        <w:rPr>
          <w:szCs w:val="21"/>
        </w:rPr>
        <w:t>如</w:t>
      </w:r>
      <w:r w:rsidRPr="00A724F7">
        <w:rPr>
          <w:szCs w:val="21"/>
        </w:rPr>
        <w:t>1945</w:t>
      </w:r>
      <w:r w:rsidRPr="00A724F7">
        <w:rPr>
          <w:rFonts w:hAnsi="宋体"/>
          <w:szCs w:val="21"/>
        </w:rPr>
        <w:t>年预见的那样，各机关必须至少先行确定自身的管辖范围。例如，如果安全理事会通过一项旨在维护国际和平与安全的决议，</w:t>
      </w:r>
      <w:r w:rsidRPr="00A724F7">
        <w:rPr>
          <w:rFonts w:hAnsi="宋体" w:hint="eastAsia"/>
          <w:szCs w:val="21"/>
        </w:rPr>
        <w:t>而</w:t>
      </w:r>
      <w:r w:rsidRPr="00A724F7">
        <w:rPr>
          <w:rFonts w:hAnsi="宋体"/>
          <w:szCs w:val="21"/>
        </w:rPr>
        <w:t>根据该决议规定的任务或授权，秘书长发生了债务，则必须</w:t>
      </w:r>
      <w:r w:rsidRPr="00A724F7">
        <w:rPr>
          <w:szCs w:val="21"/>
        </w:rPr>
        <w:t>推定</w:t>
      </w:r>
      <w:r w:rsidRPr="00A724F7">
        <w:rPr>
          <w:rFonts w:hAnsi="宋体"/>
          <w:szCs w:val="21"/>
        </w:rPr>
        <w:t>这些债务构成‘本组织的开支’”</w:t>
      </w:r>
      <w:r w:rsidRPr="00A724F7">
        <w:rPr>
          <w:rFonts w:hint="eastAsia"/>
          <w:szCs w:val="21"/>
        </w:rPr>
        <w:t>。</w:t>
      </w:r>
      <w:r w:rsidRPr="003F1277">
        <w:rPr>
          <w:rStyle w:val="a3"/>
        </w:rPr>
        <w:footnoteReference w:id="349"/>
      </w:r>
    </w:p>
    <w:bookmarkEnd w:id="62"/>
    <w:p w:rsidR="00632C9B" w:rsidRPr="00A724F7" w:rsidRDefault="00632C9B" w:rsidP="00632C9B">
      <w:pPr>
        <w:pStyle w:val="SingleTxt"/>
        <w:rPr>
          <w:rFonts w:eastAsia="Times New Roman"/>
          <w:szCs w:val="21"/>
        </w:rPr>
      </w:pPr>
      <w:r w:rsidRPr="00A724F7">
        <w:rPr>
          <w:rFonts w:eastAsia="Times New Roman"/>
          <w:szCs w:val="21"/>
        </w:rPr>
        <w:t>(31)</w:t>
      </w:r>
      <w:r>
        <w:rPr>
          <w:rFonts w:eastAsia="Times New Roman"/>
          <w:szCs w:val="21"/>
        </w:rPr>
        <w:t xml:space="preserve">  </w:t>
      </w:r>
      <w:r w:rsidRPr="00A724F7">
        <w:rPr>
          <w:rFonts w:hint="eastAsia"/>
          <w:szCs w:val="21"/>
        </w:rPr>
        <w:t>许多国际组织都有相同的特点，即没有规定由一个“最终权威来解释”其组成文书。因此，法院由这一情况得出的结论目前一般被认为适用于国际组织。</w:t>
      </w:r>
      <w:r w:rsidRPr="003F1277">
        <w:rPr>
          <w:rStyle w:val="a3"/>
        </w:rPr>
        <w:footnoteReference w:id="350"/>
      </w:r>
      <w:r w:rsidRPr="00A724F7">
        <w:rPr>
          <w:rFonts w:hint="eastAsia"/>
          <w:szCs w:val="21"/>
        </w:rPr>
        <w:t xml:space="preserve"> </w:t>
      </w:r>
      <w:r w:rsidRPr="00A724F7">
        <w:rPr>
          <w:rFonts w:hint="eastAsia"/>
          <w:szCs w:val="21"/>
        </w:rPr>
        <w:t>在“某些经费”咨询意见中，基于国际组织包括其一个或多个机关的某项惯例发现一种前提假定，是确认这种惯例可作为解释手段的方法之一。</w:t>
      </w:r>
      <w:r w:rsidRPr="003F1277">
        <w:rPr>
          <w:rStyle w:val="a3"/>
        </w:rPr>
        <w:footnoteReference w:id="351"/>
      </w:r>
    </w:p>
    <w:p w:rsidR="00632C9B" w:rsidRPr="00A724F7" w:rsidRDefault="00632C9B" w:rsidP="00632C9B">
      <w:pPr>
        <w:pStyle w:val="SingleTxt"/>
        <w:rPr>
          <w:rFonts w:eastAsia="Times New Roman"/>
          <w:szCs w:val="21"/>
        </w:rPr>
      </w:pPr>
      <w:r w:rsidRPr="00A724F7">
        <w:rPr>
          <w:rFonts w:eastAsia="Times New Roman"/>
          <w:szCs w:val="21"/>
        </w:rPr>
        <w:lastRenderedPageBreak/>
        <w:t>(32)</w:t>
      </w:r>
      <w:r>
        <w:rPr>
          <w:rFonts w:eastAsia="Times New Roman"/>
          <w:szCs w:val="21"/>
        </w:rPr>
        <w:t xml:space="preserve">  </w:t>
      </w:r>
      <w:r w:rsidRPr="00A724F7">
        <w:rPr>
          <w:rFonts w:hint="eastAsia"/>
          <w:szCs w:val="21"/>
        </w:rPr>
        <w:t>虽然目前公认，按照国际组织机关的惯例来解释该组织的组成文书是有意义的解释方式，</w:t>
      </w:r>
      <w:r w:rsidRPr="003F1277">
        <w:rPr>
          <w:rStyle w:val="a3"/>
        </w:rPr>
        <w:footnoteReference w:id="352"/>
      </w:r>
      <w:r w:rsidRPr="00A724F7">
        <w:rPr>
          <w:rFonts w:hint="eastAsia"/>
          <w:szCs w:val="21"/>
        </w:rPr>
        <w:t xml:space="preserve"> </w:t>
      </w:r>
      <w:r w:rsidRPr="00A724F7">
        <w:rPr>
          <w:rFonts w:hint="eastAsia"/>
          <w:szCs w:val="21"/>
        </w:rPr>
        <w:t>但许多著述者对于如何按维也纳解释规则来说明国际组织“自身惯例”对解释的意义，有不同的理解。</w:t>
      </w:r>
      <w:r w:rsidRPr="003F1277">
        <w:rPr>
          <w:rStyle w:val="a3"/>
        </w:rPr>
        <w:footnoteReference w:id="353"/>
      </w:r>
      <w:r w:rsidRPr="00A724F7">
        <w:rPr>
          <w:rFonts w:hint="eastAsia"/>
          <w:szCs w:val="21"/>
        </w:rPr>
        <w:t xml:space="preserve"> </w:t>
      </w:r>
      <w:r w:rsidRPr="00A724F7">
        <w:rPr>
          <w:rFonts w:hint="eastAsia"/>
          <w:szCs w:val="21"/>
        </w:rPr>
        <w:t>这种惯例至少可以被理解为</w:t>
      </w:r>
      <w:r w:rsidRPr="00A724F7">
        <w:rPr>
          <w:szCs w:val="21"/>
        </w:rPr>
        <w:t>第三十二条</w:t>
      </w:r>
      <w:r w:rsidRPr="00A724F7">
        <w:rPr>
          <w:rFonts w:hint="eastAsia"/>
          <w:szCs w:val="21"/>
        </w:rPr>
        <w:t>规定的补充解</w:t>
      </w:r>
      <w:r w:rsidRPr="00A724F7">
        <w:rPr>
          <w:rFonts w:hint="eastAsia"/>
          <w:spacing w:val="4"/>
          <w:szCs w:val="21"/>
        </w:rPr>
        <w:t>释方式。</w:t>
      </w:r>
      <w:r w:rsidRPr="003F1277">
        <w:rPr>
          <w:rStyle w:val="a3"/>
        </w:rPr>
        <w:footnoteReference w:id="354"/>
      </w:r>
      <w:r w:rsidRPr="00A724F7">
        <w:rPr>
          <w:rFonts w:hint="eastAsia"/>
          <w:spacing w:val="4"/>
          <w:szCs w:val="21"/>
        </w:rPr>
        <w:t xml:space="preserve"> </w:t>
      </w:r>
      <w:r w:rsidRPr="00A724F7">
        <w:rPr>
          <w:rFonts w:hint="eastAsia"/>
          <w:spacing w:val="4"/>
          <w:szCs w:val="21"/>
        </w:rPr>
        <w:t>法院通过援引国际组织在一些成员国反对的情况下通过的一些行</w:t>
      </w:r>
      <w:r w:rsidRPr="00A724F7">
        <w:rPr>
          <w:rFonts w:hint="eastAsia"/>
          <w:szCs w:val="21"/>
        </w:rPr>
        <w:t>动，</w:t>
      </w:r>
      <w:r w:rsidRPr="003F1277">
        <w:rPr>
          <w:rStyle w:val="a3"/>
        </w:rPr>
        <w:footnoteReference w:id="355"/>
      </w:r>
      <w:r w:rsidRPr="00A724F7">
        <w:rPr>
          <w:rFonts w:hint="eastAsia"/>
          <w:szCs w:val="21"/>
        </w:rPr>
        <w:t xml:space="preserve"> </w:t>
      </w:r>
      <w:r w:rsidRPr="00A724F7">
        <w:rPr>
          <w:rFonts w:hint="eastAsia"/>
          <w:szCs w:val="21"/>
        </w:rPr>
        <w:t>确认这类行动可能构成以解释为目的的惯例，但通常不构成各方就解释达成协定且属于第三十一条第三款规定的</w:t>
      </w:r>
      <w:r w:rsidRPr="00A724F7">
        <w:rPr>
          <w:rFonts w:hint="eastAsia"/>
          <w:szCs w:val="21"/>
        </w:rPr>
        <w:t>(</w:t>
      </w:r>
      <w:r w:rsidRPr="00A724F7">
        <w:rPr>
          <w:rFonts w:hint="eastAsia"/>
          <w:szCs w:val="21"/>
        </w:rPr>
        <w:t>更有份量的</w:t>
      </w:r>
      <w:r w:rsidRPr="00A724F7">
        <w:rPr>
          <w:rFonts w:hint="eastAsia"/>
          <w:szCs w:val="21"/>
        </w:rPr>
        <w:t>)</w:t>
      </w:r>
      <w:r w:rsidRPr="00A724F7">
        <w:rPr>
          <w:rFonts w:hint="eastAsia"/>
          <w:szCs w:val="21"/>
        </w:rPr>
        <w:t>惯例。然而，各著述者基本认可国际</w:t>
      </w:r>
      <w:r w:rsidRPr="00A724F7">
        <w:rPr>
          <w:szCs w:val="21"/>
        </w:rPr>
        <w:t>组织自身形成的惯例也有助于</w:t>
      </w:r>
      <w:r w:rsidRPr="00A724F7">
        <w:rPr>
          <w:rFonts w:hint="eastAsia"/>
          <w:szCs w:val="21"/>
        </w:rPr>
        <w:t>依上下文并参照条约的目标和宗旨澄清</w:t>
      </w:r>
      <w:r w:rsidRPr="00A724F7">
        <w:rPr>
          <w:szCs w:val="21"/>
        </w:rPr>
        <w:t>条约</w:t>
      </w:r>
      <w:r w:rsidRPr="00A724F7">
        <w:rPr>
          <w:rFonts w:hint="eastAsia"/>
          <w:szCs w:val="21"/>
        </w:rPr>
        <w:t>术语中的一般含义</w:t>
      </w:r>
      <w:r w:rsidRPr="00A724F7">
        <w:rPr>
          <w:szCs w:val="21"/>
        </w:rPr>
        <w:t>。</w:t>
      </w:r>
      <w:r w:rsidRPr="003F1277">
        <w:rPr>
          <w:rStyle w:val="a3"/>
        </w:rPr>
        <w:footnoteReference w:id="356"/>
      </w:r>
      <w:r w:rsidRPr="00A724F7">
        <w:rPr>
          <w:szCs w:val="21"/>
        </w:rPr>
        <w:t xml:space="preserve"> </w:t>
      </w:r>
    </w:p>
    <w:p w:rsidR="00632C9B" w:rsidRPr="00A724F7" w:rsidRDefault="00632C9B" w:rsidP="00632C9B">
      <w:pPr>
        <w:pStyle w:val="SingleTxt"/>
        <w:rPr>
          <w:rFonts w:eastAsia="Times New Roman"/>
          <w:szCs w:val="21"/>
        </w:rPr>
      </w:pPr>
      <w:r w:rsidRPr="00A724F7">
        <w:rPr>
          <w:rFonts w:eastAsia="Times New Roman"/>
          <w:szCs w:val="21"/>
        </w:rPr>
        <w:t>(33)</w:t>
      </w:r>
      <w:r>
        <w:rPr>
          <w:rFonts w:eastAsia="Times New Roman"/>
          <w:szCs w:val="21"/>
        </w:rPr>
        <w:t xml:space="preserve">  </w:t>
      </w:r>
      <w:r w:rsidRPr="00A724F7">
        <w:rPr>
          <w:szCs w:val="21"/>
        </w:rPr>
        <w:t>委员会在对结论草案</w:t>
      </w:r>
      <w:r w:rsidRPr="00A724F7">
        <w:rPr>
          <w:szCs w:val="21"/>
        </w:rPr>
        <w:t>1</w:t>
      </w:r>
      <w:r w:rsidRPr="00A724F7">
        <w:rPr>
          <w:szCs w:val="21"/>
        </w:rPr>
        <w:t>的评注中确认，</w:t>
      </w:r>
      <w:r w:rsidRPr="00534148">
        <w:rPr>
          <w:rFonts w:asciiTheme="minorEastAsia" w:eastAsiaTheme="minorEastAsia" w:hAnsiTheme="minorEastAsia"/>
          <w:szCs w:val="21"/>
        </w:rPr>
        <w:t>“具体的嗣后惯例和嗣后协定有的能够，有的则不能够帮助确定有关术语在其上下文中以及根据条约的目标和宗旨而具有的通常含义。”</w:t>
      </w:r>
      <w:r w:rsidRPr="003F1277">
        <w:rPr>
          <w:rStyle w:val="a3"/>
        </w:rPr>
        <w:footnoteReference w:id="357"/>
      </w:r>
      <w:r w:rsidRPr="00A724F7">
        <w:rPr>
          <w:szCs w:val="21"/>
        </w:rPr>
        <w:t xml:space="preserve"> </w:t>
      </w:r>
      <w:r w:rsidRPr="00A724F7">
        <w:rPr>
          <w:rFonts w:hint="eastAsia"/>
          <w:szCs w:val="21"/>
        </w:rPr>
        <w:t>就</w:t>
      </w:r>
      <w:r w:rsidRPr="00A724F7">
        <w:rPr>
          <w:szCs w:val="21"/>
        </w:rPr>
        <w:t>国际组织本身的惯例</w:t>
      </w:r>
      <w:r w:rsidRPr="00A724F7">
        <w:rPr>
          <w:rFonts w:hint="eastAsia"/>
          <w:szCs w:val="21"/>
        </w:rPr>
        <w:t>而言，</w:t>
      </w:r>
      <w:r w:rsidRPr="00A724F7">
        <w:rPr>
          <w:szCs w:val="21"/>
        </w:rPr>
        <w:t>这些考虑也</w:t>
      </w:r>
      <w:r w:rsidRPr="00A724F7">
        <w:rPr>
          <w:rFonts w:hint="eastAsia"/>
          <w:szCs w:val="21"/>
        </w:rPr>
        <w:t>是相关的</w:t>
      </w:r>
      <w:r w:rsidRPr="00A724F7">
        <w:rPr>
          <w:szCs w:val="21"/>
        </w:rPr>
        <w:t>。</w:t>
      </w:r>
    </w:p>
    <w:p w:rsidR="00632C9B" w:rsidRPr="00A724F7" w:rsidRDefault="00632C9B" w:rsidP="00632C9B">
      <w:pPr>
        <w:pStyle w:val="SingleTxt"/>
        <w:rPr>
          <w:rFonts w:eastAsia="Times New Roman"/>
          <w:szCs w:val="21"/>
        </w:rPr>
      </w:pPr>
      <w:r w:rsidRPr="00A724F7">
        <w:rPr>
          <w:rFonts w:eastAsia="Times New Roman"/>
          <w:szCs w:val="21"/>
        </w:rPr>
        <w:t>(34)</w:t>
      </w:r>
      <w:r>
        <w:rPr>
          <w:rFonts w:eastAsia="Times New Roman"/>
          <w:szCs w:val="21"/>
        </w:rPr>
        <w:t xml:space="preserve">  </w:t>
      </w:r>
      <w:r w:rsidRPr="00A724F7">
        <w:rPr>
          <w:szCs w:val="21"/>
        </w:rPr>
        <w:t>因此，国际组织</w:t>
      </w:r>
      <w:r w:rsidRPr="00534148">
        <w:rPr>
          <w:rFonts w:asciiTheme="minorEastAsia" w:eastAsiaTheme="minorEastAsia" w:hAnsiTheme="minorEastAsia"/>
          <w:szCs w:val="21"/>
        </w:rPr>
        <w:t>“自身惯例”可</w:t>
      </w:r>
      <w:r w:rsidRPr="00A724F7">
        <w:rPr>
          <w:szCs w:val="21"/>
        </w:rPr>
        <w:t>能具有的意义可以出自《维也纳条约法公约》第</w:t>
      </w:r>
      <w:r w:rsidRPr="00A724F7">
        <w:rPr>
          <w:rFonts w:hint="eastAsia"/>
          <w:szCs w:val="21"/>
        </w:rPr>
        <w:t>三</w:t>
      </w:r>
      <w:r w:rsidRPr="00A724F7">
        <w:rPr>
          <w:szCs w:val="21"/>
        </w:rPr>
        <w:t>条第</w:t>
      </w:r>
      <w:r w:rsidRPr="00A724F7">
        <w:rPr>
          <w:rFonts w:hint="eastAsia"/>
          <w:szCs w:val="21"/>
        </w:rPr>
        <w:t>一</w:t>
      </w:r>
      <w:r w:rsidRPr="00A724F7">
        <w:rPr>
          <w:szCs w:val="21"/>
        </w:rPr>
        <w:t>款和第三十二条。根据这些规定，</w:t>
      </w:r>
      <w:r w:rsidRPr="00A724F7">
        <w:rPr>
          <w:rFonts w:hint="eastAsia"/>
          <w:szCs w:val="21"/>
        </w:rPr>
        <w:t>尤其</w:t>
      </w:r>
      <w:r w:rsidRPr="00A724F7">
        <w:rPr>
          <w:szCs w:val="21"/>
        </w:rPr>
        <w:t>可以考虑到一个组织本身的惯例包括一个或多个机关的惯例对于按照第</w:t>
      </w:r>
      <w:r w:rsidRPr="00A724F7">
        <w:rPr>
          <w:rFonts w:hint="eastAsia"/>
          <w:szCs w:val="21"/>
        </w:rPr>
        <w:t>三十一</w:t>
      </w:r>
      <w:r w:rsidRPr="00A724F7">
        <w:rPr>
          <w:szCs w:val="21"/>
        </w:rPr>
        <w:t>条</w:t>
      </w:r>
      <w:r>
        <w:rPr>
          <w:rFonts w:hint="eastAsia"/>
          <w:szCs w:val="21"/>
        </w:rPr>
        <w:t>第一款</w:t>
      </w:r>
      <w:r w:rsidRPr="00A724F7">
        <w:rPr>
          <w:szCs w:val="21"/>
        </w:rPr>
        <w:t>适当确定条约的目的和宗旨</w:t>
      </w:r>
      <w:r w:rsidRPr="00A724F7">
        <w:rPr>
          <w:szCs w:val="21"/>
        </w:rPr>
        <w:t>(</w:t>
      </w:r>
      <w:r w:rsidRPr="00A724F7">
        <w:rPr>
          <w:szCs w:val="21"/>
        </w:rPr>
        <w:t>包括有关国际组织的职能</w:t>
      </w:r>
      <w:r w:rsidRPr="00A724F7">
        <w:rPr>
          <w:szCs w:val="21"/>
        </w:rPr>
        <w:t>)</w:t>
      </w:r>
      <w:r w:rsidRPr="00A724F7">
        <w:rPr>
          <w:szCs w:val="21"/>
        </w:rPr>
        <w:t>而言具有的意义。</w:t>
      </w:r>
      <w:r w:rsidRPr="003F1277">
        <w:rPr>
          <w:rStyle w:val="a3"/>
        </w:rPr>
        <w:footnoteReference w:id="358"/>
      </w:r>
    </w:p>
    <w:p w:rsidR="00632C9B" w:rsidRPr="00A724F7" w:rsidRDefault="00632C9B" w:rsidP="00632C9B">
      <w:pPr>
        <w:pStyle w:val="SingleTxt"/>
        <w:rPr>
          <w:szCs w:val="21"/>
        </w:rPr>
      </w:pPr>
      <w:bookmarkStart w:id="63" w:name="_Ref423958755"/>
      <w:r w:rsidRPr="00A724F7">
        <w:rPr>
          <w:szCs w:val="21"/>
        </w:rPr>
        <w:lastRenderedPageBreak/>
        <w:t>(35)</w:t>
      </w:r>
      <w:r>
        <w:rPr>
          <w:szCs w:val="21"/>
        </w:rPr>
        <w:t xml:space="preserve">  </w:t>
      </w:r>
      <w:r w:rsidRPr="00A724F7">
        <w:rPr>
          <w:szCs w:val="21"/>
        </w:rPr>
        <w:t>因此，根据</w:t>
      </w:r>
      <w:r w:rsidRPr="00A724F7">
        <w:rPr>
          <w:rFonts w:hint="eastAsia"/>
          <w:szCs w:val="21"/>
        </w:rPr>
        <w:t>《维也纳公约》</w:t>
      </w:r>
      <w:r w:rsidRPr="00A724F7">
        <w:rPr>
          <w:szCs w:val="21"/>
        </w:rPr>
        <w:t>第五条，可以在适</w:t>
      </w:r>
      <w:r w:rsidRPr="00A724F7">
        <w:rPr>
          <w:rFonts w:hAnsi="宋体"/>
          <w:szCs w:val="21"/>
        </w:rPr>
        <w:t>用第三十一和第三十二条</w:t>
      </w:r>
      <w:r w:rsidRPr="00A724F7">
        <w:rPr>
          <w:szCs w:val="21"/>
        </w:rPr>
        <w:t>解释规则解释国际组织组成文书时考虑</w:t>
      </w:r>
      <w:r w:rsidRPr="00A724F7">
        <w:rPr>
          <w:rFonts w:hint="eastAsia"/>
          <w:szCs w:val="21"/>
        </w:rPr>
        <w:t>到该</w:t>
      </w:r>
      <w:r w:rsidRPr="00A724F7">
        <w:rPr>
          <w:szCs w:val="21"/>
        </w:rPr>
        <w:t>组织的惯例</w:t>
      </w:r>
      <w:r w:rsidRPr="00A724F7">
        <w:rPr>
          <w:rFonts w:hint="eastAsia"/>
          <w:szCs w:val="21"/>
        </w:rPr>
        <w:t>，包括考虑到其组成特性</w:t>
      </w:r>
      <w:r w:rsidRPr="00A724F7">
        <w:rPr>
          <w:szCs w:val="21"/>
        </w:rPr>
        <w:t>。</w:t>
      </w:r>
      <w:r w:rsidRPr="003F1277">
        <w:rPr>
          <w:rStyle w:val="a3"/>
        </w:rPr>
        <w:footnoteReference w:id="359"/>
      </w:r>
      <w:r w:rsidRPr="00A724F7">
        <w:rPr>
          <w:rFonts w:hint="eastAsia"/>
          <w:szCs w:val="21"/>
        </w:rPr>
        <w:t xml:space="preserve"> </w:t>
      </w:r>
      <w:r w:rsidRPr="00A724F7">
        <w:rPr>
          <w:rFonts w:hint="eastAsia"/>
          <w:szCs w:val="21"/>
        </w:rPr>
        <w:t>因此</w:t>
      </w:r>
      <w:r w:rsidRPr="00A724F7">
        <w:rPr>
          <w:szCs w:val="21"/>
        </w:rPr>
        <w:t>此</w:t>
      </w:r>
      <w:r w:rsidRPr="00A724F7">
        <w:rPr>
          <w:rFonts w:hint="eastAsia"/>
          <w:szCs w:val="21"/>
        </w:rPr>
        <w:t>类要素有助于查明：国际组织组成文书某一项规定的含义能否与时俱进？若能，又是如何与时俱进的？</w:t>
      </w:r>
      <w:r w:rsidRPr="003F1277">
        <w:rPr>
          <w:rStyle w:val="a3"/>
        </w:rPr>
        <w:footnoteReference w:id="360"/>
      </w:r>
      <w:r w:rsidRPr="00A724F7">
        <w:rPr>
          <w:szCs w:val="21"/>
        </w:rPr>
        <w:t xml:space="preserve"> </w:t>
      </w:r>
    </w:p>
    <w:p w:rsidR="00632C9B" w:rsidRPr="00A724F7" w:rsidRDefault="00632C9B" w:rsidP="00632C9B">
      <w:pPr>
        <w:pStyle w:val="SingleTxt"/>
        <w:rPr>
          <w:szCs w:val="21"/>
        </w:rPr>
      </w:pPr>
      <w:r w:rsidRPr="00A724F7">
        <w:rPr>
          <w:szCs w:val="21"/>
        </w:rPr>
        <w:t>(36)</w:t>
      </w:r>
      <w:r>
        <w:rPr>
          <w:szCs w:val="21"/>
        </w:rPr>
        <w:t xml:space="preserve">  </w:t>
      </w:r>
      <w:r w:rsidRPr="00A724F7">
        <w:rPr>
          <w:rFonts w:hint="eastAsia"/>
          <w:szCs w:val="21"/>
        </w:rPr>
        <w:t>像第</w:t>
      </w:r>
      <w:r w:rsidRPr="00A724F7">
        <w:rPr>
          <w:rFonts w:hint="eastAsia"/>
          <w:szCs w:val="21"/>
        </w:rPr>
        <w:t>2</w:t>
      </w:r>
      <w:r w:rsidRPr="00A724F7">
        <w:rPr>
          <w:rFonts w:hint="eastAsia"/>
          <w:szCs w:val="21"/>
        </w:rPr>
        <w:t>段一样，第</w:t>
      </w:r>
      <w:r w:rsidRPr="00A724F7">
        <w:rPr>
          <w:rFonts w:hint="eastAsia"/>
          <w:szCs w:val="21"/>
        </w:rPr>
        <w:t>3</w:t>
      </w:r>
      <w:r w:rsidRPr="00A724F7">
        <w:rPr>
          <w:rFonts w:hint="eastAsia"/>
          <w:szCs w:val="21"/>
        </w:rPr>
        <w:t>段针对国际组织作为一个整体的惯例，而非国际组织内某一机关的惯例。国际组织的有关惯例可出自一个机关的行为，但也可能产生于两个或多个机关的行为。</w:t>
      </w:r>
      <w:r w:rsidRPr="003F1277">
        <w:rPr>
          <w:rStyle w:val="a3"/>
        </w:rPr>
        <w:footnoteReference w:id="361"/>
      </w:r>
      <w:r w:rsidRPr="00A724F7">
        <w:rPr>
          <w:rFonts w:hint="eastAsia"/>
          <w:szCs w:val="21"/>
        </w:rPr>
        <w:t xml:space="preserve"> </w:t>
      </w:r>
      <w:r w:rsidRPr="00A724F7">
        <w:rPr>
          <w:rFonts w:hint="eastAsia"/>
          <w:szCs w:val="21"/>
        </w:rPr>
        <w:t>由于目前普遍要求国际组织不得越权，有一种理解是只有在国际组织具备职权的情况下，其惯例才对组成文书的解释有意义。</w:t>
      </w:r>
      <w:r w:rsidRPr="003F1277">
        <w:rPr>
          <w:rStyle w:val="a3"/>
        </w:rPr>
        <w:footnoteReference w:id="362"/>
      </w:r>
    </w:p>
    <w:bookmarkEnd w:id="63"/>
    <w:p w:rsidR="00632C9B" w:rsidRPr="00A724F7" w:rsidRDefault="00632C9B" w:rsidP="00632C9B">
      <w:pPr>
        <w:pStyle w:val="SingleTxt"/>
        <w:rPr>
          <w:szCs w:val="21"/>
        </w:rPr>
      </w:pPr>
      <w:r w:rsidRPr="00A724F7">
        <w:rPr>
          <w:szCs w:val="21"/>
        </w:rPr>
        <w:t>(37)</w:t>
      </w:r>
      <w:r>
        <w:rPr>
          <w:szCs w:val="21"/>
        </w:rPr>
        <w:t xml:space="preserve">  </w:t>
      </w:r>
      <w:r w:rsidRPr="00A724F7">
        <w:rPr>
          <w:rFonts w:hint="eastAsia"/>
          <w:szCs w:val="21"/>
        </w:rPr>
        <w:t>结论草案</w:t>
      </w:r>
      <w:r w:rsidRPr="00A724F7">
        <w:rPr>
          <w:rFonts w:hint="eastAsia"/>
          <w:szCs w:val="21"/>
        </w:rPr>
        <w:t>11</w:t>
      </w:r>
      <w:r w:rsidRPr="00A724F7">
        <w:rPr>
          <w:rFonts w:hint="eastAsia"/>
          <w:szCs w:val="21"/>
        </w:rPr>
        <w:t>第</w:t>
      </w:r>
      <w:r w:rsidRPr="00A724F7">
        <w:rPr>
          <w:rFonts w:hint="eastAsia"/>
          <w:szCs w:val="21"/>
        </w:rPr>
        <w:t>3</w:t>
      </w:r>
      <w:r w:rsidRPr="00A724F7">
        <w:rPr>
          <w:rFonts w:hint="eastAsia"/>
          <w:szCs w:val="21"/>
        </w:rPr>
        <w:t>段基于委员会以往的工作。结论草案</w:t>
      </w:r>
      <w:r w:rsidRPr="00A724F7">
        <w:rPr>
          <w:rFonts w:hint="eastAsia"/>
          <w:szCs w:val="21"/>
        </w:rPr>
        <w:t>5</w:t>
      </w:r>
      <w:r w:rsidRPr="00A724F7">
        <w:rPr>
          <w:rFonts w:hint="eastAsia"/>
          <w:szCs w:val="21"/>
        </w:rPr>
        <w:t>论及结论草案</w:t>
      </w:r>
      <w:r w:rsidRPr="00A724F7">
        <w:rPr>
          <w:rFonts w:hint="eastAsia"/>
          <w:szCs w:val="21"/>
        </w:rPr>
        <w:t>4</w:t>
      </w:r>
      <w:r w:rsidRPr="00A724F7">
        <w:rPr>
          <w:rFonts w:hint="eastAsia"/>
          <w:szCs w:val="21"/>
        </w:rPr>
        <w:t>中定义的“嗣后惯例”，涉及在适用条约时</w:t>
      </w:r>
      <w:r w:rsidRPr="00D37EEC">
        <w:rPr>
          <w:rFonts w:ascii="楷体" w:eastAsia="楷体" w:hAnsi="楷体" w:hint="eastAsia"/>
          <w:iCs/>
          <w:szCs w:val="21"/>
        </w:rPr>
        <w:t>缔约方</w:t>
      </w:r>
      <w:r w:rsidRPr="00A724F7">
        <w:rPr>
          <w:rFonts w:hint="eastAsia"/>
          <w:szCs w:val="21"/>
        </w:rPr>
        <w:t>的行为。结论草案</w:t>
      </w:r>
      <w:r w:rsidRPr="00A724F7">
        <w:rPr>
          <w:rFonts w:hint="eastAsia"/>
          <w:szCs w:val="21"/>
        </w:rPr>
        <w:t>5</w:t>
      </w:r>
      <w:r w:rsidRPr="00A724F7">
        <w:rPr>
          <w:rFonts w:hint="eastAsia"/>
          <w:szCs w:val="21"/>
        </w:rPr>
        <w:t>并不意味着国际组织的自身惯例不能基于第三十一和第三十二条对条约的适用产生意义。委员会在对结论草案</w:t>
      </w:r>
      <w:r w:rsidRPr="00A724F7">
        <w:rPr>
          <w:rFonts w:hint="eastAsia"/>
          <w:szCs w:val="21"/>
        </w:rPr>
        <w:t>5</w:t>
      </w:r>
      <w:r w:rsidRPr="00A724F7">
        <w:rPr>
          <w:rFonts w:hint="eastAsia"/>
          <w:szCs w:val="21"/>
        </w:rPr>
        <w:t>的评注中解释说：</w:t>
      </w:r>
    </w:p>
    <w:p w:rsidR="00632C9B" w:rsidRPr="00A724F7" w:rsidRDefault="00632C9B" w:rsidP="00632C9B">
      <w:pPr>
        <w:pStyle w:val="SingleTxt"/>
        <w:ind w:left="1695"/>
        <w:rPr>
          <w:szCs w:val="21"/>
        </w:rPr>
      </w:pPr>
      <w:r w:rsidRPr="00A724F7">
        <w:rPr>
          <w:rFonts w:hint="eastAsia"/>
          <w:szCs w:val="21"/>
        </w:rPr>
        <w:t>“国际组织的决定、决议和其他惯例本身可能对条约的解释有意义。例如，《关于国家和国际组织间或国际组织相互间条约法的维也纳公约》第二条</w:t>
      </w:r>
      <w:r w:rsidRPr="00A724F7">
        <w:rPr>
          <w:rFonts w:hint="eastAsia"/>
          <w:szCs w:val="21"/>
        </w:rPr>
        <w:t>(j)</w:t>
      </w:r>
      <w:r w:rsidRPr="00A724F7">
        <w:rPr>
          <w:rFonts w:hint="eastAsia"/>
          <w:szCs w:val="21"/>
        </w:rPr>
        <w:t>项就确认了这一点，其中提到“组织的既定做法”，将其作为‘该组织的规则’的一种形式。”</w:t>
      </w:r>
      <w:r w:rsidRPr="003F1277">
        <w:rPr>
          <w:rStyle w:val="a3"/>
        </w:rPr>
        <w:footnoteReference w:id="363"/>
      </w:r>
    </w:p>
    <w:p w:rsidR="00632C9B" w:rsidRPr="00A724F7" w:rsidRDefault="00632C9B" w:rsidP="00632C9B">
      <w:pPr>
        <w:pStyle w:val="SingleTxt"/>
        <w:rPr>
          <w:szCs w:val="21"/>
        </w:rPr>
      </w:pPr>
      <w:r w:rsidRPr="00A724F7">
        <w:rPr>
          <w:szCs w:val="21"/>
        </w:rPr>
        <w:t>(38)</w:t>
      </w:r>
      <w:r>
        <w:rPr>
          <w:szCs w:val="21"/>
        </w:rPr>
        <w:t xml:space="preserve">  </w:t>
      </w:r>
      <w:r w:rsidRPr="00A724F7">
        <w:rPr>
          <w:rFonts w:hint="eastAsia"/>
          <w:szCs w:val="21"/>
        </w:rPr>
        <w:t>结论草案</w:t>
      </w:r>
      <w:r w:rsidRPr="00A724F7">
        <w:rPr>
          <w:rFonts w:hint="eastAsia"/>
          <w:szCs w:val="21"/>
        </w:rPr>
        <w:t>11</w:t>
      </w:r>
      <w:r w:rsidRPr="00A724F7">
        <w:rPr>
          <w:rFonts w:hint="eastAsia"/>
          <w:szCs w:val="21"/>
        </w:rPr>
        <w:t>第</w:t>
      </w:r>
      <w:r w:rsidRPr="00A724F7">
        <w:rPr>
          <w:rFonts w:hint="eastAsia"/>
          <w:szCs w:val="21"/>
        </w:rPr>
        <w:t>4</w:t>
      </w:r>
      <w:r w:rsidRPr="00A724F7">
        <w:rPr>
          <w:rFonts w:hint="eastAsia"/>
          <w:szCs w:val="21"/>
        </w:rPr>
        <w:t>段体现了《维也纳公约》第五条且在拟定过程中借鉴了该条。该段适用于第</w:t>
      </w:r>
      <w:r w:rsidRPr="00A724F7">
        <w:rPr>
          <w:rFonts w:hint="eastAsia"/>
          <w:szCs w:val="21"/>
        </w:rPr>
        <w:t>1</w:t>
      </w:r>
      <w:r w:rsidRPr="00A724F7">
        <w:rPr>
          <w:rFonts w:hint="eastAsia"/>
          <w:szCs w:val="21"/>
        </w:rPr>
        <w:t>至</w:t>
      </w:r>
      <w:r w:rsidRPr="00A724F7">
        <w:rPr>
          <w:rFonts w:hint="eastAsia"/>
          <w:szCs w:val="21"/>
        </w:rPr>
        <w:t>3</w:t>
      </w:r>
      <w:r w:rsidRPr="00A724F7">
        <w:rPr>
          <w:rFonts w:hint="eastAsia"/>
          <w:szCs w:val="21"/>
        </w:rPr>
        <w:t>段所述情形并确保第</w:t>
      </w:r>
      <w:r w:rsidRPr="00A724F7">
        <w:rPr>
          <w:rFonts w:hint="eastAsia"/>
          <w:szCs w:val="21"/>
        </w:rPr>
        <w:t>1</w:t>
      </w:r>
      <w:r w:rsidRPr="00A724F7">
        <w:rPr>
          <w:rFonts w:hint="eastAsia"/>
          <w:szCs w:val="21"/>
        </w:rPr>
        <w:t>至</w:t>
      </w:r>
      <w:r w:rsidRPr="00A724F7">
        <w:rPr>
          <w:rFonts w:hint="eastAsia"/>
          <w:szCs w:val="21"/>
        </w:rPr>
        <w:t>3</w:t>
      </w:r>
      <w:r w:rsidRPr="00A724F7">
        <w:rPr>
          <w:rFonts w:hint="eastAsia"/>
          <w:szCs w:val="21"/>
        </w:rPr>
        <w:t>段的规则可以适用而且进行解释和适用时“对该组织任何有关规则并无妨碍”。“该组织的规则”一词应按照</w:t>
      </w:r>
      <w:r w:rsidRPr="00A724F7">
        <w:rPr>
          <w:rFonts w:hint="eastAsia"/>
          <w:szCs w:val="21"/>
        </w:rPr>
        <w:t>1986</w:t>
      </w:r>
      <w:r w:rsidRPr="00A724F7">
        <w:rPr>
          <w:rFonts w:hint="eastAsia"/>
          <w:szCs w:val="21"/>
        </w:rPr>
        <w:t>年</w:t>
      </w:r>
      <w:r w:rsidRPr="00A724F7">
        <w:rPr>
          <w:rFonts w:hint="eastAsia"/>
          <w:szCs w:val="21"/>
        </w:rPr>
        <w:lastRenderedPageBreak/>
        <w:t>《维也纳条约法公约》第二条第一款</w:t>
      </w:r>
      <w:r w:rsidRPr="00A724F7">
        <w:rPr>
          <w:rFonts w:hint="eastAsia"/>
          <w:szCs w:val="21"/>
        </w:rPr>
        <w:t>(j)</w:t>
      </w:r>
      <w:r w:rsidRPr="00A724F7">
        <w:rPr>
          <w:rFonts w:hint="eastAsia"/>
          <w:szCs w:val="21"/>
        </w:rPr>
        <w:t>项和</w:t>
      </w:r>
      <w:r w:rsidRPr="00A724F7">
        <w:rPr>
          <w:rFonts w:hint="eastAsia"/>
          <w:szCs w:val="21"/>
        </w:rPr>
        <w:t>2011</w:t>
      </w:r>
      <w:r w:rsidRPr="00A724F7">
        <w:rPr>
          <w:rFonts w:hint="eastAsia"/>
          <w:szCs w:val="21"/>
        </w:rPr>
        <w:t>年《关于国际组织的责任条款》第二条</w:t>
      </w:r>
      <w:r w:rsidRPr="00A724F7">
        <w:rPr>
          <w:rFonts w:hint="eastAsia"/>
          <w:szCs w:val="21"/>
        </w:rPr>
        <w:t>(b)</w:t>
      </w:r>
      <w:r w:rsidRPr="00A724F7">
        <w:rPr>
          <w:rFonts w:hint="eastAsia"/>
          <w:szCs w:val="21"/>
        </w:rPr>
        <w:t>项作相同理解。</w:t>
      </w:r>
    </w:p>
    <w:p w:rsidR="00632C9B" w:rsidRPr="00A724F7" w:rsidRDefault="00632C9B" w:rsidP="00632C9B">
      <w:pPr>
        <w:pStyle w:val="SingleTxt"/>
        <w:rPr>
          <w:szCs w:val="21"/>
        </w:rPr>
      </w:pPr>
      <w:r w:rsidRPr="00A724F7">
        <w:rPr>
          <w:szCs w:val="21"/>
        </w:rPr>
        <w:t>(39)</w:t>
      </w:r>
      <w:r>
        <w:rPr>
          <w:szCs w:val="21"/>
        </w:rPr>
        <w:t xml:space="preserve">  </w:t>
      </w:r>
      <w:r w:rsidRPr="00A724F7">
        <w:rPr>
          <w:rFonts w:hint="eastAsia"/>
          <w:szCs w:val="21"/>
        </w:rPr>
        <w:t>委员会在其</w:t>
      </w:r>
      <w:r w:rsidRPr="00A724F7">
        <w:rPr>
          <w:szCs w:val="21"/>
        </w:rPr>
        <w:t>2011</w:t>
      </w:r>
      <w:r w:rsidRPr="00A724F7">
        <w:rPr>
          <w:rFonts w:hint="eastAsia"/>
          <w:szCs w:val="21"/>
        </w:rPr>
        <w:t>年</w:t>
      </w:r>
      <w:bookmarkStart w:id="64" w:name="OLE_LINK13"/>
      <w:bookmarkStart w:id="65" w:name="OLE_LINK14"/>
      <w:r w:rsidRPr="00A724F7">
        <w:rPr>
          <w:rFonts w:hint="eastAsia"/>
          <w:szCs w:val="21"/>
        </w:rPr>
        <w:t>《关于国际组织的责任条款</w:t>
      </w:r>
      <w:bookmarkEnd w:id="64"/>
      <w:bookmarkEnd w:id="65"/>
      <w:r w:rsidRPr="00A724F7">
        <w:rPr>
          <w:rFonts w:hint="eastAsia"/>
          <w:szCs w:val="21"/>
        </w:rPr>
        <w:t>》总评注中表示：</w:t>
      </w:r>
    </w:p>
    <w:p w:rsidR="00632C9B" w:rsidRPr="00A724F7" w:rsidRDefault="00632C9B" w:rsidP="00632C9B">
      <w:pPr>
        <w:pStyle w:val="SingleTxt"/>
        <w:ind w:left="1695"/>
        <w:rPr>
          <w:szCs w:val="21"/>
        </w:rPr>
      </w:pPr>
      <w:r w:rsidRPr="00A724F7">
        <w:rPr>
          <w:rFonts w:hint="eastAsia"/>
          <w:szCs w:val="21"/>
        </w:rPr>
        <w:t>“各国际组织之间在以下方面有很大的不同：权力和职能、成员国数目、组织与成员的关系、辩论程序、结构和设施以及约束国际组织的主要规则包括条约义务。”</w:t>
      </w:r>
      <w:r w:rsidRPr="003F1277">
        <w:rPr>
          <w:rStyle w:val="a3"/>
        </w:rPr>
        <w:footnoteReference w:id="364"/>
      </w:r>
    </w:p>
    <w:p w:rsidR="00632C9B" w:rsidRPr="00A724F7" w:rsidRDefault="00632C9B" w:rsidP="00632C9B">
      <w:pPr>
        <w:pStyle w:val="SingleTxt"/>
        <w:rPr>
          <w:szCs w:val="21"/>
        </w:rPr>
      </w:pPr>
      <w:r w:rsidRPr="00A724F7">
        <w:rPr>
          <w:szCs w:val="21"/>
        </w:rPr>
        <w:t>(40)</w:t>
      </w:r>
      <w:r>
        <w:rPr>
          <w:szCs w:val="21"/>
        </w:rPr>
        <w:t xml:space="preserve">  </w:t>
      </w:r>
      <w:r w:rsidRPr="00A724F7">
        <w:rPr>
          <w:rFonts w:hint="eastAsia"/>
          <w:spacing w:val="-3"/>
          <w:szCs w:val="21"/>
        </w:rPr>
        <w:t>第</w:t>
      </w:r>
      <w:r w:rsidRPr="00A724F7">
        <w:rPr>
          <w:spacing w:val="-3"/>
          <w:szCs w:val="21"/>
        </w:rPr>
        <w:t>4</w:t>
      </w:r>
      <w:r w:rsidRPr="00A724F7">
        <w:rPr>
          <w:rFonts w:hint="eastAsia"/>
          <w:spacing w:val="-3"/>
          <w:szCs w:val="21"/>
        </w:rPr>
        <w:t>段暗示，除其他外，国际组织组成文书或更具体的“有关</w:t>
      </w:r>
      <w:r w:rsidRPr="00A724F7">
        <w:rPr>
          <w:spacing w:val="-3"/>
          <w:szCs w:val="21"/>
        </w:rPr>
        <w:t>(</w:t>
      </w:r>
      <w:r w:rsidRPr="00A724F7">
        <w:rPr>
          <w:rFonts w:hint="eastAsia"/>
          <w:spacing w:val="-3"/>
          <w:szCs w:val="21"/>
        </w:rPr>
        <w:t>解释</w:t>
      </w:r>
      <w:r w:rsidRPr="00A724F7">
        <w:rPr>
          <w:spacing w:val="-3"/>
          <w:szCs w:val="21"/>
        </w:rPr>
        <w:t>)</w:t>
      </w:r>
      <w:r w:rsidRPr="00A724F7">
        <w:rPr>
          <w:rFonts w:hint="eastAsia"/>
          <w:spacing w:val="-3"/>
          <w:szCs w:val="21"/>
        </w:rPr>
        <w:t>规则”可能优先于《维也纳公约》所规定的一般解释规则。</w:t>
      </w:r>
      <w:r w:rsidRPr="003F1277">
        <w:rPr>
          <w:rStyle w:val="a3"/>
        </w:rPr>
        <w:footnoteReference w:id="365"/>
      </w:r>
      <w:r w:rsidRPr="00A724F7">
        <w:rPr>
          <w:rFonts w:hint="eastAsia"/>
          <w:spacing w:val="-3"/>
          <w:szCs w:val="21"/>
        </w:rPr>
        <w:t xml:space="preserve"> </w:t>
      </w:r>
      <w:r w:rsidRPr="00A724F7">
        <w:rPr>
          <w:rFonts w:hint="eastAsia"/>
          <w:szCs w:val="21"/>
        </w:rPr>
        <w:t>例如，如果组成文件所含条款规定组成文书的解释需要遵循特别程序，则应推定缔约方在订立条约之后达成第三十一条第三款</w:t>
      </w:r>
      <w:r w:rsidRPr="00A724F7">
        <w:rPr>
          <w:rFonts w:hint="eastAsia"/>
          <w:szCs w:val="21"/>
        </w:rPr>
        <w:t>(a)</w:t>
      </w:r>
      <w:r w:rsidRPr="00A724F7">
        <w:rPr>
          <w:rFonts w:hint="eastAsia"/>
          <w:szCs w:val="21"/>
        </w:rPr>
        <w:t>项所述嗣后协定无意规避该程序。但是，如果条约规定的特别程序和第三十一条第三款</w:t>
      </w:r>
      <w:r w:rsidRPr="00A724F7">
        <w:rPr>
          <w:rFonts w:hint="eastAsia"/>
          <w:szCs w:val="21"/>
        </w:rPr>
        <w:t>(a)</w:t>
      </w:r>
      <w:r w:rsidRPr="00A724F7">
        <w:rPr>
          <w:rFonts w:hint="eastAsia"/>
          <w:szCs w:val="21"/>
        </w:rPr>
        <w:t>项所述的嗣后协定“服务于不同的功能且具有不同的法律效力”，它们则可能相互兼容。</w:t>
      </w:r>
      <w:r w:rsidRPr="003F1277">
        <w:rPr>
          <w:rStyle w:val="a3"/>
        </w:rPr>
        <w:footnoteReference w:id="366"/>
      </w:r>
      <w:r w:rsidRPr="00A724F7">
        <w:rPr>
          <w:rFonts w:hint="eastAsia"/>
          <w:szCs w:val="21"/>
        </w:rPr>
        <w:t xml:space="preserve"> </w:t>
      </w:r>
      <w:r w:rsidRPr="00A724F7">
        <w:rPr>
          <w:rFonts w:hint="eastAsia"/>
          <w:spacing w:val="-3"/>
          <w:szCs w:val="21"/>
        </w:rPr>
        <w:t>组成文书很少含有关于其解释的明确程序性或实体性规则</w:t>
      </w:r>
      <w:r w:rsidRPr="003F1277">
        <w:rPr>
          <w:rStyle w:val="a3"/>
        </w:rPr>
        <w:footnoteReference w:id="367"/>
      </w:r>
      <w:r w:rsidRPr="00A724F7">
        <w:rPr>
          <w:rFonts w:hint="eastAsia"/>
          <w:spacing w:val="-3"/>
          <w:szCs w:val="21"/>
        </w:rPr>
        <w:t>。具体的“有关</w:t>
      </w:r>
      <w:r w:rsidRPr="00A724F7">
        <w:rPr>
          <w:spacing w:val="-3"/>
          <w:szCs w:val="21"/>
        </w:rPr>
        <w:t>(</w:t>
      </w:r>
      <w:r w:rsidRPr="00A724F7">
        <w:rPr>
          <w:rFonts w:hint="eastAsia"/>
          <w:spacing w:val="-3"/>
          <w:szCs w:val="21"/>
        </w:rPr>
        <w:t>解释</w:t>
      </w:r>
      <w:r w:rsidRPr="00A724F7">
        <w:rPr>
          <w:spacing w:val="-3"/>
          <w:szCs w:val="21"/>
        </w:rPr>
        <w:t>)</w:t>
      </w:r>
      <w:r w:rsidRPr="00A724F7">
        <w:rPr>
          <w:rFonts w:hint="eastAsia"/>
          <w:spacing w:val="-3"/>
          <w:szCs w:val="21"/>
        </w:rPr>
        <w:t>规则”无需在组成文书中写明；这些规则也可以隐含在组成文书中，或出自“该组织既定惯例”。</w:t>
      </w:r>
      <w:r w:rsidRPr="003F1277">
        <w:rPr>
          <w:rStyle w:val="a3"/>
        </w:rPr>
        <w:footnoteReference w:id="368"/>
      </w:r>
      <w:r w:rsidRPr="00A724F7">
        <w:rPr>
          <w:rFonts w:hint="eastAsia"/>
          <w:spacing w:val="-3"/>
          <w:szCs w:val="21"/>
        </w:rPr>
        <w:t>“该组织既定惯例”从含义范围上说比“该组织的惯例”要窄。</w:t>
      </w:r>
      <w:r w:rsidRPr="00A724F7">
        <w:rPr>
          <w:szCs w:val="21"/>
        </w:rPr>
        <w:t xml:space="preserve"> </w:t>
      </w:r>
    </w:p>
    <w:p w:rsidR="00632C9B" w:rsidRPr="00A724F7" w:rsidRDefault="00632C9B" w:rsidP="00632C9B">
      <w:pPr>
        <w:pStyle w:val="SingleTxt"/>
        <w:rPr>
          <w:szCs w:val="21"/>
        </w:rPr>
      </w:pPr>
      <w:r w:rsidRPr="00A724F7">
        <w:rPr>
          <w:szCs w:val="21"/>
        </w:rPr>
        <w:t>(41)</w:t>
      </w:r>
      <w:r>
        <w:rPr>
          <w:szCs w:val="21"/>
        </w:rPr>
        <w:t xml:space="preserve">  </w:t>
      </w:r>
      <w:r w:rsidRPr="00A724F7">
        <w:rPr>
          <w:rFonts w:hint="eastAsia"/>
          <w:szCs w:val="21"/>
        </w:rPr>
        <w:t>委员会在对《关于国家和国际组织间或国际组织相互间条约法的维也纳公约》第二条</w:t>
      </w:r>
      <w:r w:rsidRPr="00A724F7">
        <w:rPr>
          <w:rFonts w:hint="eastAsia"/>
          <w:szCs w:val="21"/>
        </w:rPr>
        <w:t>(j)</w:t>
      </w:r>
      <w:r w:rsidRPr="00A724F7">
        <w:rPr>
          <w:rFonts w:hint="eastAsia"/>
          <w:szCs w:val="21"/>
        </w:rPr>
        <w:t>项的评注中指出，一个组织的某项惯例的重要性可能取决于相关组织组成文书所表述的该组织的特定规则和特征：</w:t>
      </w:r>
    </w:p>
    <w:p w:rsidR="00632C9B" w:rsidRPr="00A724F7" w:rsidRDefault="00632C9B" w:rsidP="00632C9B">
      <w:pPr>
        <w:pStyle w:val="SingleTxt"/>
        <w:ind w:left="1695"/>
        <w:rPr>
          <w:szCs w:val="21"/>
        </w:rPr>
      </w:pPr>
      <w:r w:rsidRPr="00A724F7">
        <w:rPr>
          <w:rFonts w:hint="eastAsia"/>
          <w:szCs w:val="21"/>
        </w:rPr>
        <w:t>确实，大多数国际组织若干年后会形成一套惯例，作为其规则的组成部分。但是，“既定做法”的概念绝不表示惯例在所有组织中享有相同的地位；相反，每个组织在这方面各有其特点。</w:t>
      </w:r>
      <w:r w:rsidRPr="003F1277">
        <w:rPr>
          <w:rStyle w:val="a3"/>
        </w:rPr>
        <w:footnoteReference w:id="369"/>
      </w:r>
    </w:p>
    <w:p w:rsidR="00632C9B" w:rsidRDefault="00632C9B" w:rsidP="00632C9B">
      <w:pPr>
        <w:spacing w:line="240" w:lineRule="auto"/>
        <w:jc w:val="left"/>
        <w:rPr>
          <w:szCs w:val="21"/>
        </w:rPr>
      </w:pPr>
      <w:r>
        <w:rPr>
          <w:szCs w:val="21"/>
        </w:rPr>
        <w:br w:type="page"/>
      </w:r>
    </w:p>
    <w:p w:rsidR="00632C9B" w:rsidRPr="00A724F7" w:rsidRDefault="00632C9B" w:rsidP="00632C9B">
      <w:pPr>
        <w:pStyle w:val="SingleTxt"/>
        <w:rPr>
          <w:szCs w:val="21"/>
        </w:rPr>
      </w:pPr>
      <w:r w:rsidRPr="00A724F7">
        <w:rPr>
          <w:szCs w:val="21"/>
        </w:rPr>
        <w:lastRenderedPageBreak/>
        <w:t>(4</w:t>
      </w:r>
      <w:r>
        <w:rPr>
          <w:rFonts w:hint="eastAsia"/>
          <w:szCs w:val="21"/>
        </w:rPr>
        <w:t>2</w:t>
      </w:r>
      <w:r w:rsidRPr="00A724F7">
        <w:rPr>
          <w:szCs w:val="21"/>
        </w:rPr>
        <w:t>)</w:t>
      </w:r>
      <w:r>
        <w:rPr>
          <w:szCs w:val="21"/>
        </w:rPr>
        <w:t xml:space="preserve">  </w:t>
      </w:r>
      <w:r w:rsidRPr="00A724F7">
        <w:rPr>
          <w:rFonts w:hint="eastAsia"/>
          <w:szCs w:val="21"/>
        </w:rPr>
        <w:t>在此意义上，“组织的既定做法”也可能成为国际组织组成文书的一种解释手段。</w:t>
      </w:r>
      <w:r w:rsidRPr="00A724F7">
        <w:rPr>
          <w:rFonts w:hint="eastAsia"/>
          <w:szCs w:val="21"/>
        </w:rPr>
        <w:t>1986</w:t>
      </w:r>
      <w:r w:rsidRPr="00A724F7">
        <w:rPr>
          <w:rFonts w:hint="eastAsia"/>
          <w:szCs w:val="21"/>
        </w:rPr>
        <w:t>年《维也纳公约》第二条第一款</w:t>
      </w:r>
      <w:r w:rsidRPr="00A724F7">
        <w:rPr>
          <w:rFonts w:hint="eastAsia"/>
          <w:szCs w:val="21"/>
        </w:rPr>
        <w:t>(j)</w:t>
      </w:r>
      <w:r w:rsidRPr="00A724F7">
        <w:rPr>
          <w:rFonts w:hint="eastAsia"/>
          <w:szCs w:val="21"/>
        </w:rPr>
        <w:t>项和《关于国际组织的责任条款》草案第二条</w:t>
      </w:r>
      <w:r w:rsidRPr="00A724F7">
        <w:rPr>
          <w:rFonts w:hint="eastAsia"/>
          <w:szCs w:val="21"/>
        </w:rPr>
        <w:t>(b)</w:t>
      </w:r>
      <w:r w:rsidRPr="00A724F7">
        <w:rPr>
          <w:rFonts w:hint="eastAsia"/>
          <w:szCs w:val="21"/>
        </w:rPr>
        <w:t>项，</w:t>
      </w:r>
      <w:r w:rsidRPr="003F1277">
        <w:rPr>
          <w:rStyle w:val="a3"/>
        </w:rPr>
        <w:footnoteReference w:id="370"/>
      </w:r>
      <w:r w:rsidRPr="00A724F7">
        <w:rPr>
          <w:rFonts w:hint="eastAsia"/>
          <w:szCs w:val="21"/>
        </w:rPr>
        <w:t xml:space="preserve"> </w:t>
      </w:r>
      <w:r w:rsidRPr="00A724F7">
        <w:rPr>
          <w:rFonts w:hint="eastAsia"/>
          <w:szCs w:val="21"/>
        </w:rPr>
        <w:t>都将“组织的既定做法”认定为“该组织的规则”。这种做法会在不同组织中产生不同的法律效力。主要应该按国际法传统渊源</w:t>
      </w:r>
      <w:r w:rsidRPr="00A724F7">
        <w:rPr>
          <w:rFonts w:hint="eastAsia"/>
          <w:szCs w:val="21"/>
        </w:rPr>
        <w:t>(</w:t>
      </w:r>
      <w:r w:rsidRPr="00A724F7">
        <w:rPr>
          <w:rFonts w:hint="eastAsia"/>
          <w:szCs w:val="21"/>
        </w:rPr>
        <w:t>条约或习惯</w:t>
      </w:r>
      <w:r w:rsidRPr="00A724F7">
        <w:rPr>
          <w:rFonts w:hint="eastAsia"/>
          <w:szCs w:val="21"/>
        </w:rPr>
        <w:t>)</w:t>
      </w:r>
      <w:r w:rsidRPr="00A724F7">
        <w:rPr>
          <w:rFonts w:hint="eastAsia"/>
          <w:szCs w:val="21"/>
        </w:rPr>
        <w:t>还是组织法的渊源来解释这种效力，这一点并不总是很清楚。</w:t>
      </w:r>
      <w:r w:rsidRPr="003F1277">
        <w:rPr>
          <w:rStyle w:val="a3"/>
        </w:rPr>
        <w:footnoteReference w:id="371"/>
      </w:r>
      <w:r w:rsidRPr="00A724F7">
        <w:rPr>
          <w:rFonts w:hint="eastAsia"/>
          <w:szCs w:val="21"/>
        </w:rPr>
        <w:t xml:space="preserve"> </w:t>
      </w:r>
      <w:r w:rsidRPr="00A724F7">
        <w:rPr>
          <w:rFonts w:hint="eastAsia"/>
          <w:szCs w:val="21"/>
        </w:rPr>
        <w:t>虽然很难作出概括，但“组织的既定做法”通常包含一种具体形式的惯例，</w:t>
      </w:r>
      <w:r w:rsidRPr="003F1277">
        <w:rPr>
          <w:rStyle w:val="a3"/>
        </w:rPr>
        <w:footnoteReference w:id="372"/>
      </w:r>
      <w:r w:rsidRPr="00A724F7">
        <w:rPr>
          <w:rFonts w:hint="eastAsia"/>
          <w:szCs w:val="21"/>
        </w:rPr>
        <w:t xml:space="preserve"> </w:t>
      </w:r>
      <w:r w:rsidRPr="00A724F7">
        <w:rPr>
          <w:rFonts w:hint="eastAsia"/>
          <w:szCs w:val="21"/>
        </w:rPr>
        <w:t>这种做法得到该组织成员的普遍接受，尽管有时是默示接受。</w:t>
      </w:r>
      <w:r w:rsidRPr="003F1277">
        <w:rPr>
          <w:rStyle w:val="a3"/>
        </w:rPr>
        <w:footnoteReference w:id="373"/>
      </w:r>
    </w:p>
    <w:p w:rsidR="00632C9B" w:rsidRPr="00632C9B" w:rsidRDefault="00632C9B">
      <w:pPr>
        <w:spacing w:line="240" w:lineRule="auto"/>
        <w:jc w:val="left"/>
        <w:rPr>
          <w:szCs w:val="21"/>
        </w:rPr>
      </w:pPr>
    </w:p>
    <w:p w:rsidR="00632C9B" w:rsidRDefault="00632C9B">
      <w:pPr>
        <w:spacing w:line="240" w:lineRule="auto"/>
        <w:jc w:val="left"/>
        <w:rPr>
          <w:szCs w:val="21"/>
        </w:rPr>
      </w:pPr>
      <w:r>
        <w:rPr>
          <w:szCs w:val="21"/>
        </w:rPr>
        <w:br w:type="page"/>
      </w:r>
    </w:p>
    <w:p w:rsidR="00DB3DD4" w:rsidRPr="00DB3DD4"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B3DD4" w:rsidRPr="00BB6462"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BB6462">
        <w:rPr>
          <w:rFonts w:hint="eastAsia"/>
        </w:rPr>
        <w:t>第九章</w:t>
      </w:r>
      <w:r>
        <w:br/>
      </w:r>
      <w:r w:rsidRPr="00BB6462">
        <w:rPr>
          <w:rFonts w:hint="eastAsia"/>
        </w:rPr>
        <w:t>与武装冲突有关的环境保护</w:t>
      </w:r>
    </w:p>
    <w:p w:rsidR="00DB3DD4" w:rsidRPr="004062C9" w:rsidRDefault="00DB3DD4" w:rsidP="00DB3DD4">
      <w:pPr>
        <w:pStyle w:val="SingleTxt"/>
        <w:spacing w:after="0" w:line="120" w:lineRule="exact"/>
        <w:rPr>
          <w:sz w:val="10"/>
        </w:rPr>
      </w:pPr>
    </w:p>
    <w:p w:rsidR="00DB3DD4" w:rsidRPr="004062C9" w:rsidRDefault="00DB3DD4" w:rsidP="00DB3DD4">
      <w:pPr>
        <w:pStyle w:val="SingleTxt"/>
        <w:spacing w:after="0" w:line="120" w:lineRule="exact"/>
        <w:rPr>
          <w:sz w:val="10"/>
        </w:rPr>
      </w:pPr>
    </w:p>
    <w:p w:rsidR="00DB3DD4" w:rsidRPr="004062C9" w:rsidRDefault="00DB3DD4" w:rsidP="00DB3DD4">
      <w:pPr>
        <w:pStyle w:val="SingleTxt"/>
        <w:spacing w:after="0" w:line="120" w:lineRule="exact"/>
        <w:rPr>
          <w:sz w:val="10"/>
        </w:rPr>
      </w:pPr>
    </w:p>
    <w:p w:rsidR="00DB3DD4" w:rsidRPr="00BB6462"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A.</w:t>
      </w:r>
      <w:r w:rsidRPr="00BB6462">
        <w:tab/>
      </w:r>
      <w:r w:rsidRPr="00BB6462">
        <w:rPr>
          <w:rFonts w:hint="eastAsia"/>
        </w:rPr>
        <w:t>导言</w:t>
      </w:r>
    </w:p>
    <w:p w:rsidR="00DB3DD4" w:rsidRPr="004062C9" w:rsidRDefault="00DB3DD4" w:rsidP="00DB3DD4">
      <w:pPr>
        <w:pStyle w:val="SingleTxt"/>
        <w:spacing w:after="0" w:line="120" w:lineRule="exact"/>
        <w:rPr>
          <w:sz w:val="10"/>
        </w:rPr>
      </w:pPr>
    </w:p>
    <w:p w:rsidR="00DB3DD4" w:rsidRDefault="00DB3DD4" w:rsidP="00DB3DD4">
      <w:pPr>
        <w:pStyle w:val="SingleTxt"/>
        <w:spacing w:after="0" w:line="120" w:lineRule="exact"/>
        <w:rPr>
          <w:sz w:val="10"/>
        </w:rPr>
      </w:pPr>
    </w:p>
    <w:p w:rsidR="00DB3DD4" w:rsidRPr="00913AAB" w:rsidRDefault="00DB3DD4" w:rsidP="00DB3DD4">
      <w:pPr>
        <w:pStyle w:val="SingleTxt"/>
        <w:spacing w:line="360" w:lineRule="exact"/>
        <w:rPr>
          <w:spacing w:val="16"/>
        </w:rPr>
      </w:pPr>
      <w:r w:rsidRPr="00913AAB">
        <w:rPr>
          <w:spacing w:val="16"/>
        </w:rPr>
        <w:t>1</w:t>
      </w:r>
      <w:r w:rsidRPr="00913AAB">
        <w:rPr>
          <w:rFonts w:hint="eastAsia"/>
          <w:spacing w:val="16"/>
        </w:rPr>
        <w:t>30</w:t>
      </w:r>
      <w:r w:rsidRPr="00913AAB">
        <w:rPr>
          <w:spacing w:val="16"/>
        </w:rPr>
        <w:t xml:space="preserve">.  </w:t>
      </w:r>
      <w:r w:rsidRPr="00913AAB">
        <w:rPr>
          <w:rFonts w:hint="eastAsia"/>
          <w:spacing w:val="16"/>
        </w:rPr>
        <w:t>国际法委员会在第六十五届会议</w:t>
      </w:r>
      <w:r w:rsidRPr="00913AAB">
        <w:rPr>
          <w:rFonts w:hint="eastAsia"/>
          <w:spacing w:val="16"/>
        </w:rPr>
        <w:t>(</w:t>
      </w:r>
      <w:r w:rsidRPr="00913AAB">
        <w:rPr>
          <w:spacing w:val="16"/>
        </w:rPr>
        <w:t>2013</w:t>
      </w:r>
      <w:r w:rsidRPr="00913AAB">
        <w:rPr>
          <w:rFonts w:hint="eastAsia"/>
          <w:spacing w:val="16"/>
        </w:rPr>
        <w:t>年</w:t>
      </w:r>
      <w:r w:rsidRPr="00913AAB">
        <w:rPr>
          <w:rFonts w:hint="eastAsia"/>
          <w:spacing w:val="16"/>
        </w:rPr>
        <w:t>)</w:t>
      </w:r>
      <w:r w:rsidRPr="00913AAB">
        <w:rPr>
          <w:rFonts w:hint="eastAsia"/>
          <w:spacing w:val="16"/>
        </w:rPr>
        <w:t>上决定将“与武装冲突有关的环境保护”专题列入其</w:t>
      </w:r>
      <w:r w:rsidRPr="00913AAB">
        <w:rPr>
          <w:spacing w:val="16"/>
        </w:rPr>
        <w:t>工作方案</w:t>
      </w:r>
      <w:r w:rsidRPr="00913AAB">
        <w:rPr>
          <w:rFonts w:hint="eastAsia"/>
          <w:spacing w:val="16"/>
        </w:rPr>
        <w:t>，并任命玛丽·雅各布松为本专题特别报告员。</w:t>
      </w:r>
      <w:r w:rsidRPr="003F1277">
        <w:rPr>
          <w:rStyle w:val="a3"/>
          <w:spacing w:val="16"/>
          <w:szCs w:val="21"/>
        </w:rPr>
        <w:footnoteReference w:id="374"/>
      </w:r>
    </w:p>
    <w:p w:rsidR="00DB3DD4" w:rsidRPr="00BB6462" w:rsidRDefault="00DB3DD4" w:rsidP="00DB3DD4">
      <w:pPr>
        <w:pStyle w:val="SingleTxt"/>
        <w:spacing w:line="360" w:lineRule="exact"/>
      </w:pPr>
      <w:r w:rsidRPr="00BB6462">
        <w:rPr>
          <w:rFonts w:hint="eastAsia"/>
        </w:rPr>
        <w:t>131</w:t>
      </w:r>
      <w:r w:rsidRPr="00BB6462">
        <w:t xml:space="preserve">.  </w:t>
      </w:r>
      <w:r w:rsidRPr="00BB6462">
        <w:rPr>
          <w:rFonts w:hint="eastAsia"/>
        </w:rPr>
        <w:t>委员会在第六十六届会议</w:t>
      </w:r>
      <w:r w:rsidRPr="00BB6462">
        <w:rPr>
          <w:rFonts w:hint="eastAsia"/>
        </w:rPr>
        <w:t>(</w:t>
      </w:r>
      <w:r w:rsidRPr="00BB6462">
        <w:t>2014</w:t>
      </w:r>
      <w:r w:rsidRPr="00BB6462">
        <w:rPr>
          <w:rFonts w:hint="eastAsia"/>
        </w:rPr>
        <w:t>年</w:t>
      </w:r>
      <w:r w:rsidRPr="00BB6462">
        <w:rPr>
          <w:rFonts w:hint="eastAsia"/>
        </w:rPr>
        <w:t>)</w:t>
      </w:r>
      <w:r w:rsidRPr="00BB6462">
        <w:rPr>
          <w:rFonts w:hint="eastAsia"/>
        </w:rPr>
        <w:t>上审议了特别报告员的初次报告</w:t>
      </w:r>
      <w:r w:rsidRPr="00BB6462">
        <w:t>(A/CN.4/674</w:t>
      </w:r>
      <w:r w:rsidRPr="00BB6462">
        <w:rPr>
          <w:rFonts w:hint="eastAsia"/>
        </w:rPr>
        <w:t>和</w:t>
      </w:r>
      <w:r w:rsidRPr="00BB6462">
        <w:t>Corr.1)</w:t>
      </w:r>
      <w:r w:rsidRPr="00BB6462">
        <w:rPr>
          <w:rFonts w:hint="eastAsia"/>
        </w:rPr>
        <w:t>。</w:t>
      </w:r>
      <w:r w:rsidRPr="003F1277">
        <w:rPr>
          <w:rStyle w:val="a3"/>
          <w:szCs w:val="21"/>
        </w:rPr>
        <w:footnoteReference w:id="375"/>
      </w:r>
    </w:p>
    <w:p w:rsidR="00DB3DD4" w:rsidRDefault="00DB3DD4" w:rsidP="00DB3DD4">
      <w:pPr>
        <w:pStyle w:val="SingleTxt"/>
        <w:spacing w:after="0" w:line="120" w:lineRule="exact"/>
        <w:rPr>
          <w:sz w:val="10"/>
        </w:rPr>
      </w:pPr>
    </w:p>
    <w:p w:rsidR="00DB3DD4" w:rsidRPr="004062C9" w:rsidRDefault="00DB3DD4" w:rsidP="00DB3DD4">
      <w:pPr>
        <w:pStyle w:val="SingleTxt"/>
        <w:spacing w:after="0" w:line="120" w:lineRule="exact"/>
        <w:rPr>
          <w:sz w:val="10"/>
        </w:rPr>
      </w:pPr>
    </w:p>
    <w:p w:rsidR="00DB3DD4" w:rsidRPr="004062C9" w:rsidRDefault="00DB3DD4" w:rsidP="00DB3DD4">
      <w:pPr>
        <w:pStyle w:val="SingleTxt"/>
        <w:spacing w:after="0" w:line="120" w:lineRule="exact"/>
        <w:rPr>
          <w:sz w:val="10"/>
        </w:rPr>
      </w:pPr>
    </w:p>
    <w:p w:rsidR="00DB3DD4" w:rsidRPr="00BB6462"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B.</w:t>
      </w:r>
      <w:r w:rsidRPr="00BB6462">
        <w:rPr>
          <w:rFonts w:hint="eastAsia"/>
        </w:rPr>
        <w:tab/>
        <w:t>本届会议审议此专题的情况</w:t>
      </w:r>
    </w:p>
    <w:p w:rsidR="00DB3DD4" w:rsidRPr="004062C9" w:rsidRDefault="00DB3DD4" w:rsidP="00DB3DD4">
      <w:pPr>
        <w:pStyle w:val="SingleTxt"/>
        <w:spacing w:after="0" w:line="120" w:lineRule="exact"/>
        <w:rPr>
          <w:sz w:val="10"/>
        </w:rPr>
      </w:pPr>
    </w:p>
    <w:p w:rsidR="00DB3DD4" w:rsidRDefault="00DB3DD4" w:rsidP="00DB3DD4">
      <w:pPr>
        <w:pStyle w:val="SingleTxt"/>
        <w:spacing w:after="0" w:line="120" w:lineRule="exact"/>
        <w:rPr>
          <w:sz w:val="10"/>
        </w:rPr>
      </w:pPr>
    </w:p>
    <w:p w:rsidR="00DB3DD4" w:rsidRPr="00F11C7D" w:rsidRDefault="00DB3DD4" w:rsidP="00F11C7D">
      <w:pPr>
        <w:pStyle w:val="SingleTxt"/>
        <w:spacing w:line="360" w:lineRule="exact"/>
        <w:rPr>
          <w:spacing w:val="10"/>
        </w:rPr>
      </w:pPr>
      <w:r w:rsidRPr="00913AAB">
        <w:rPr>
          <w:rFonts w:hint="eastAsia"/>
          <w:spacing w:val="10"/>
        </w:rPr>
        <w:t>1</w:t>
      </w:r>
      <w:r w:rsidRPr="00913AAB">
        <w:rPr>
          <w:spacing w:val="10"/>
        </w:rPr>
        <w:t>3</w:t>
      </w:r>
      <w:r w:rsidRPr="00913AAB">
        <w:rPr>
          <w:rFonts w:hint="eastAsia"/>
          <w:spacing w:val="10"/>
        </w:rPr>
        <w:t>2</w:t>
      </w:r>
      <w:r w:rsidRPr="00913AAB">
        <w:rPr>
          <w:spacing w:val="10"/>
        </w:rPr>
        <w:t xml:space="preserve">.  </w:t>
      </w:r>
      <w:r w:rsidRPr="00913AAB">
        <w:rPr>
          <w:rFonts w:hint="eastAsia"/>
          <w:spacing w:val="10"/>
        </w:rPr>
        <w:t>委员会本届会议收到了特别报告员的第二次报告</w:t>
      </w:r>
      <w:r w:rsidRPr="00913AAB">
        <w:rPr>
          <w:spacing w:val="10"/>
        </w:rPr>
        <w:t>(A/CN.4/685)</w:t>
      </w:r>
      <w:r w:rsidRPr="00913AAB">
        <w:rPr>
          <w:rFonts w:hint="eastAsia"/>
          <w:spacing w:val="10"/>
        </w:rPr>
        <w:t>，在</w:t>
      </w:r>
      <w:r w:rsidRPr="00913AAB">
        <w:rPr>
          <w:spacing w:val="10"/>
        </w:rPr>
        <w:t>2015</w:t>
      </w:r>
      <w:r w:rsidRPr="00913AAB">
        <w:rPr>
          <w:rFonts w:hint="eastAsia"/>
          <w:spacing w:val="10"/>
        </w:rPr>
        <w:t>年</w:t>
      </w:r>
      <w:r w:rsidRPr="00913AAB">
        <w:rPr>
          <w:spacing w:val="10"/>
        </w:rPr>
        <w:t>7</w:t>
      </w:r>
      <w:r w:rsidRPr="00913AAB">
        <w:rPr>
          <w:rFonts w:hint="eastAsia"/>
          <w:spacing w:val="10"/>
        </w:rPr>
        <w:t>月</w:t>
      </w:r>
      <w:r w:rsidRPr="00913AAB">
        <w:rPr>
          <w:spacing w:val="10"/>
        </w:rPr>
        <w:t>6</w:t>
      </w:r>
      <w:r w:rsidRPr="00913AAB">
        <w:rPr>
          <w:rFonts w:hint="eastAsia"/>
          <w:spacing w:val="10"/>
        </w:rPr>
        <w:t>日至</w:t>
      </w:r>
      <w:r w:rsidRPr="00913AAB">
        <w:rPr>
          <w:spacing w:val="10"/>
        </w:rPr>
        <w:t>10</w:t>
      </w:r>
      <w:r w:rsidRPr="00913AAB">
        <w:rPr>
          <w:rFonts w:hint="eastAsia"/>
          <w:spacing w:val="10"/>
        </w:rPr>
        <w:t>日和</w:t>
      </w:r>
      <w:r w:rsidRPr="00913AAB">
        <w:rPr>
          <w:spacing w:val="10"/>
        </w:rPr>
        <w:t>7</w:t>
      </w:r>
      <w:r w:rsidRPr="00913AAB">
        <w:rPr>
          <w:rFonts w:hint="eastAsia"/>
          <w:spacing w:val="10"/>
        </w:rPr>
        <w:t>月</w:t>
      </w:r>
      <w:r w:rsidRPr="00913AAB">
        <w:rPr>
          <w:spacing w:val="10"/>
        </w:rPr>
        <w:t>14</w:t>
      </w:r>
      <w:r w:rsidRPr="00913AAB">
        <w:rPr>
          <w:rFonts w:hint="eastAsia"/>
          <w:spacing w:val="10"/>
        </w:rPr>
        <w:t>日的第</w:t>
      </w:r>
      <w:r w:rsidRPr="00913AAB">
        <w:rPr>
          <w:spacing w:val="10"/>
        </w:rPr>
        <w:t>3264</w:t>
      </w:r>
      <w:r w:rsidRPr="00913AAB">
        <w:rPr>
          <w:rFonts w:hint="eastAsia"/>
          <w:spacing w:val="10"/>
        </w:rPr>
        <w:t>次至第</w:t>
      </w:r>
      <w:r w:rsidRPr="00913AAB">
        <w:rPr>
          <w:spacing w:val="10"/>
        </w:rPr>
        <w:t>3269</w:t>
      </w:r>
      <w:r w:rsidRPr="00913AAB">
        <w:rPr>
          <w:rFonts w:hint="eastAsia"/>
          <w:spacing w:val="10"/>
        </w:rPr>
        <w:t>次会议上审议了这份报告。</w:t>
      </w:r>
    </w:p>
    <w:p w:rsidR="00DB3DD4" w:rsidRPr="00BB6462" w:rsidRDefault="00DB3DD4" w:rsidP="00DB3DD4">
      <w:pPr>
        <w:pStyle w:val="SingleTxt"/>
        <w:spacing w:line="360" w:lineRule="exact"/>
      </w:pPr>
      <w:r w:rsidRPr="00BB6462">
        <w:rPr>
          <w:rFonts w:hint="eastAsia"/>
        </w:rPr>
        <w:t>133</w:t>
      </w:r>
      <w:r w:rsidRPr="00BB6462">
        <w:t xml:space="preserve">.  </w:t>
      </w:r>
      <w:r w:rsidRPr="00BB6462">
        <w:rPr>
          <w:rFonts w:hint="eastAsia"/>
        </w:rPr>
        <w:t>委员会在</w:t>
      </w:r>
      <w:r w:rsidRPr="00BB6462">
        <w:t>2015</w:t>
      </w:r>
      <w:r w:rsidRPr="00BB6462">
        <w:rPr>
          <w:rFonts w:hint="eastAsia"/>
        </w:rPr>
        <w:t>年</w:t>
      </w:r>
      <w:r w:rsidRPr="00BB6462">
        <w:t>7</w:t>
      </w:r>
      <w:r w:rsidRPr="00BB6462">
        <w:rPr>
          <w:rFonts w:hint="eastAsia"/>
        </w:rPr>
        <w:t>月</w:t>
      </w:r>
      <w:r w:rsidRPr="00BB6462">
        <w:t>14</w:t>
      </w:r>
      <w:r>
        <w:rPr>
          <w:rFonts w:hint="eastAsia"/>
        </w:rPr>
        <w:t>日第</w:t>
      </w:r>
      <w:r w:rsidRPr="00BB6462">
        <w:t>3269</w:t>
      </w:r>
      <w:r w:rsidRPr="00BB6462">
        <w:rPr>
          <w:rFonts w:hint="eastAsia"/>
        </w:rPr>
        <w:t>次会议上将特别报告员第二次报告</w:t>
      </w:r>
      <w:r w:rsidRPr="003F1277">
        <w:rPr>
          <w:rStyle w:val="a3"/>
          <w:szCs w:val="21"/>
        </w:rPr>
        <w:footnoteReference w:id="376"/>
      </w:r>
      <w:r w:rsidRPr="00BB6462">
        <w:t xml:space="preserve"> </w:t>
      </w:r>
      <w:r w:rsidRPr="00BB6462">
        <w:rPr>
          <w:rFonts w:hint="eastAsia"/>
        </w:rPr>
        <w:t>所载序言段落和原则草案</w:t>
      </w:r>
      <w:r w:rsidRPr="00BB6462">
        <w:t>1</w:t>
      </w:r>
      <w:r w:rsidRPr="00BB6462">
        <w:rPr>
          <w:rFonts w:hint="eastAsia"/>
        </w:rPr>
        <w:t>至</w:t>
      </w:r>
      <w:r w:rsidRPr="00BB6462">
        <w:t>5</w:t>
      </w:r>
      <w:r w:rsidRPr="00BB6462">
        <w:rPr>
          <w:rFonts w:hint="eastAsia"/>
        </w:rPr>
        <w:t>送交起草委员会，对此的理解是，送交关于“</w:t>
      </w:r>
      <w:r>
        <w:rPr>
          <w:rFonts w:hint="eastAsia"/>
        </w:rPr>
        <w:t>用语</w:t>
      </w:r>
      <w:r w:rsidRPr="00BB6462">
        <w:rPr>
          <w:rFonts w:hint="eastAsia"/>
        </w:rPr>
        <w:t>”这项规定的目的是便利讨论，起草委员会在目前阶段可暂不处理。</w:t>
      </w:r>
    </w:p>
    <w:p w:rsidR="00DB3DD4" w:rsidRDefault="00DB3DD4" w:rsidP="00C765EF">
      <w:pPr>
        <w:pStyle w:val="SingleTxt"/>
        <w:spacing w:line="360" w:lineRule="exact"/>
      </w:pPr>
      <w:r w:rsidRPr="00BB6462">
        <w:rPr>
          <w:rFonts w:hint="eastAsia"/>
        </w:rPr>
        <w:lastRenderedPageBreak/>
        <w:t>134</w:t>
      </w:r>
      <w:r w:rsidRPr="00BB6462">
        <w:t xml:space="preserve">.  </w:t>
      </w:r>
      <w:r w:rsidRPr="00BB6462">
        <w:rPr>
          <w:rFonts w:hint="eastAsia"/>
        </w:rPr>
        <w:t>在</w:t>
      </w:r>
      <w:r w:rsidRPr="00BB6462">
        <w:t>2015</w:t>
      </w:r>
      <w:r w:rsidRPr="00BB6462">
        <w:rPr>
          <w:rFonts w:hint="eastAsia"/>
        </w:rPr>
        <w:t>年</w:t>
      </w:r>
      <w:r w:rsidRPr="00BB6462">
        <w:rPr>
          <w:rFonts w:hint="eastAsia"/>
        </w:rPr>
        <w:t>7</w:t>
      </w:r>
      <w:r w:rsidRPr="00BB6462">
        <w:rPr>
          <w:rFonts w:hint="eastAsia"/>
        </w:rPr>
        <w:t>月</w:t>
      </w:r>
      <w:r w:rsidRPr="00BB6462">
        <w:rPr>
          <w:rFonts w:hint="eastAsia"/>
        </w:rPr>
        <w:t>30</w:t>
      </w:r>
      <w:r w:rsidRPr="00BB6462">
        <w:rPr>
          <w:rFonts w:hint="eastAsia"/>
        </w:rPr>
        <w:t>日第</w:t>
      </w:r>
      <w:r w:rsidRPr="00BB6462">
        <w:rPr>
          <w:rFonts w:hint="eastAsia"/>
        </w:rPr>
        <w:t>3281</w:t>
      </w:r>
      <w:r w:rsidRPr="00BB6462">
        <w:rPr>
          <w:rFonts w:hint="eastAsia"/>
        </w:rPr>
        <w:t>次会议上，起草委员会主席介绍</w:t>
      </w:r>
      <w:r w:rsidRPr="003F1277">
        <w:rPr>
          <w:rStyle w:val="a3"/>
          <w:szCs w:val="21"/>
        </w:rPr>
        <w:footnoteReference w:id="377"/>
      </w:r>
      <w:r>
        <w:rPr>
          <w:rFonts w:hint="eastAsia"/>
        </w:rPr>
        <w:t xml:space="preserve"> </w:t>
      </w:r>
      <w:r w:rsidRPr="00BB6462">
        <w:rPr>
          <w:rFonts w:hint="eastAsia"/>
        </w:rPr>
        <w:t>了起草委员会关于“与武装冲突有关的环境保护”的报告，其中载有起草委员会在第六十七届会议上暂时通过的导言部分规定和原则草案</w:t>
      </w:r>
      <w:r w:rsidRPr="003354D8">
        <w:rPr>
          <w:rFonts w:hint="eastAsia"/>
          <w:lang w:val="en-GB"/>
        </w:rPr>
        <w:t>1-</w:t>
      </w:r>
      <w:r w:rsidRPr="003354D8">
        <w:rPr>
          <w:lang w:val="en-GB"/>
        </w:rPr>
        <w:t>(x)</w:t>
      </w:r>
      <w:r w:rsidRPr="003354D8">
        <w:rPr>
          <w:rFonts w:hint="eastAsia"/>
        </w:rPr>
        <w:t>和</w:t>
      </w:r>
      <w:r w:rsidRPr="003354D8">
        <w:rPr>
          <w:rFonts w:hint="eastAsia"/>
          <w:lang w:val="en-GB"/>
        </w:rPr>
        <w:t>2-</w:t>
      </w:r>
      <w:r w:rsidRPr="003354D8">
        <w:rPr>
          <w:rFonts w:hint="eastAsia"/>
        </w:rPr>
        <w:t>5</w:t>
      </w:r>
      <w:r w:rsidRPr="00BB6462">
        <w:t>(A/CN.4/L.870)</w:t>
      </w:r>
      <w:r w:rsidRPr="00BB6462">
        <w:rPr>
          <w:rFonts w:hint="eastAsia"/>
        </w:rPr>
        <w:t>，</w:t>
      </w:r>
      <w:r w:rsidRPr="003F1277">
        <w:rPr>
          <w:rStyle w:val="a3"/>
          <w:szCs w:val="21"/>
        </w:rPr>
        <w:footnoteReference w:id="378"/>
      </w:r>
      <w:r w:rsidRPr="00BB6462">
        <w:t xml:space="preserve"> </w:t>
      </w:r>
      <w:r w:rsidRPr="00BB6462">
        <w:rPr>
          <w:rFonts w:hint="eastAsia"/>
        </w:rPr>
        <w:t>这些</w:t>
      </w:r>
      <w:r w:rsidRPr="00BB6462">
        <w:rPr>
          <w:rFonts w:hint="eastAsia"/>
        </w:rPr>
        <w:lastRenderedPageBreak/>
        <w:t>条文草案可在委员会网站上查阅。委员会注意到起草委员会提出的导言部分规定和原则草案。预计在下届会议上将审议这些原则草案的评注。</w:t>
      </w:r>
    </w:p>
    <w:p w:rsidR="00DB3DD4" w:rsidRPr="004245C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1.</w:t>
      </w:r>
      <w:r w:rsidRPr="00BB6462">
        <w:rPr>
          <w:rFonts w:hint="eastAsia"/>
        </w:rPr>
        <w:tab/>
        <w:t>特别报告员介绍第二次报告</w:t>
      </w:r>
    </w:p>
    <w:p w:rsidR="00DB3DD4" w:rsidRPr="004245C9"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135</w:t>
      </w:r>
      <w:r w:rsidRPr="00BB6462">
        <w:t>.</w:t>
      </w:r>
      <w:r w:rsidRPr="00BB6462">
        <w:rPr>
          <w:rFonts w:hAnsi="宋体"/>
        </w:rPr>
        <w:t xml:space="preserve">  </w:t>
      </w:r>
      <w:r w:rsidRPr="00BB6462">
        <w:rPr>
          <w:rFonts w:hAnsi="宋体" w:hint="eastAsia"/>
        </w:rPr>
        <w:t>第二次报告的目的是找出对“与武装冲突有关的环境保护”问题具有直接相关性的现有武装冲突规则，并对此类规则开展研究。报告中还载有一份序言和五条原</w:t>
      </w:r>
      <w:r w:rsidRPr="00BB6462">
        <w:rPr>
          <w:rFonts w:hint="eastAsia"/>
        </w:rPr>
        <w:t>则草案提案。序言段落包括关于条款草案的范围、宗旨和</w:t>
      </w:r>
      <w:r>
        <w:rPr>
          <w:rFonts w:hint="eastAsia"/>
        </w:rPr>
        <w:t>用语</w:t>
      </w:r>
      <w:r w:rsidRPr="00BB6462">
        <w:rPr>
          <w:rFonts w:hint="eastAsia"/>
        </w:rPr>
        <w:t>的规定，为原则草案的目的限定了“武装冲突”和“环境”的用语含义。关于“武装冲突”和“环境”的措辞建议已经在初次报告中提出。原则草案</w:t>
      </w:r>
      <w:r w:rsidRPr="00BB6462">
        <w:t>1</w:t>
      </w:r>
      <w:r w:rsidRPr="00BB6462">
        <w:rPr>
          <w:rFonts w:hint="eastAsia"/>
        </w:rPr>
        <w:t>载有关于武装冲突期间保</w:t>
      </w:r>
      <w:r w:rsidRPr="00BB6462">
        <w:rPr>
          <w:rFonts w:hint="eastAsia"/>
          <w:spacing w:val="2"/>
        </w:rPr>
        <w:t>护环境的规定，属于一般性规定。原则草案</w:t>
      </w:r>
      <w:r w:rsidRPr="00BB6462">
        <w:rPr>
          <w:spacing w:val="2"/>
        </w:rPr>
        <w:t>2</w:t>
      </w:r>
      <w:r w:rsidRPr="00BB6462">
        <w:rPr>
          <w:rFonts w:hint="eastAsia"/>
          <w:spacing w:val="2"/>
        </w:rPr>
        <w:t>涉及对环境适用武装冲突法的问题，</w:t>
      </w:r>
      <w:r w:rsidRPr="00BB6462">
        <w:rPr>
          <w:rFonts w:hint="eastAsia"/>
        </w:rPr>
        <w:t>原则草案</w:t>
      </w:r>
      <w:r w:rsidRPr="00BB6462">
        <w:t>3</w:t>
      </w:r>
      <w:r w:rsidRPr="00BB6462">
        <w:rPr>
          <w:rFonts w:hint="eastAsia"/>
        </w:rPr>
        <w:t>处理在追求军事目标的过程中评估何为必要和相称时考虑到环境因素的必要性。原则草案</w:t>
      </w:r>
      <w:r w:rsidRPr="00BB6462">
        <w:t>4</w:t>
      </w:r>
      <w:r w:rsidRPr="00BB6462">
        <w:rPr>
          <w:rFonts w:hint="eastAsia"/>
        </w:rPr>
        <w:t>载有禁止以攻击环境作为报复手段的规定，原则草案</w:t>
      </w:r>
      <w:r w:rsidRPr="00BB6462">
        <w:t>5</w:t>
      </w:r>
      <w:r w:rsidRPr="00BB6462">
        <w:rPr>
          <w:rFonts w:hint="eastAsia"/>
        </w:rPr>
        <w:t>涉及将具有重大生态意义的地区划定为非军事区域。特别报告员在介绍报告时澄清说，当初提出采用“原则”形式，因为这是最恰当的工作结果，可以提供涵盖本专题所有阶段的灵活性。关于拟议的序言，特别报告员再次提到，她对“</w:t>
      </w:r>
      <w:r>
        <w:rPr>
          <w:rFonts w:hint="eastAsia"/>
        </w:rPr>
        <w:t>用语</w:t>
      </w:r>
      <w:r w:rsidRPr="00BB6462">
        <w:rPr>
          <w:rFonts w:hint="eastAsia"/>
        </w:rPr>
        <w:t>”这一规定是否必要抱有疑问，但是她说，从委员会一些委员和有些国家就这样一个条款所表示的意见看，现在就加以排除尚为时过早。将结合本届会议的讨论再度评估这条规定的必要性。</w:t>
      </w:r>
    </w:p>
    <w:p w:rsidR="00DB3DD4" w:rsidRPr="00BB6462" w:rsidRDefault="00DB3DD4" w:rsidP="00DB3DD4">
      <w:pPr>
        <w:pStyle w:val="SingleTxt"/>
      </w:pPr>
      <w:r w:rsidRPr="00BB6462">
        <w:rPr>
          <w:rFonts w:hint="eastAsia"/>
        </w:rPr>
        <w:t>136</w:t>
      </w:r>
      <w:r w:rsidRPr="00BB6462">
        <w:t xml:space="preserve">.  </w:t>
      </w:r>
      <w:r w:rsidRPr="00BB6462">
        <w:rPr>
          <w:rFonts w:hint="eastAsia"/>
        </w:rPr>
        <w:t>特别报告员表示，除了研究武装冲突期间适用的法律之外，报告还处理了方法和渊源的某些方面。报告还简要阐述了委员会上届会议过程中的讨论情况，提供了关于国家的意见和惯例以及关于若干相关判例法的信息。关于各国提供的资料，特别报告员指出，由于各国选送的信息涉及不同问题，这些资料十分庞杂，因此难以得出意义过于深远的结论。不过，有两个结论值得强调，一个是，关于和平时期军事义务的大多数条例都是近期的，另一个是，多边行动越来越多地在相对较新的环境规章框架内开展。至于报告中有关判例法的一节，特别报告员提请注意，在分析案例方面存在的挑战是，需要分清财产、生计、自然、土地和自然资源，这些显</w:t>
      </w:r>
      <w:r w:rsidRPr="00BB6462">
        <w:rPr>
          <w:rFonts w:hint="eastAsia"/>
        </w:rPr>
        <w:lastRenderedPageBreak/>
        <w:t>然都与人权有关系，尤其是在土著人民受到影响的地方。她的结论是，回到这个问题上来是有道理的。</w:t>
      </w:r>
    </w:p>
    <w:p w:rsidR="00DB3DD4" w:rsidRPr="00BB6462" w:rsidRDefault="00DB3DD4" w:rsidP="00DB3DD4">
      <w:pPr>
        <w:pStyle w:val="SingleTxt"/>
      </w:pPr>
      <w:r w:rsidRPr="00BB6462">
        <w:rPr>
          <w:rFonts w:hint="eastAsia"/>
        </w:rPr>
        <w:t>137</w:t>
      </w:r>
      <w:r w:rsidRPr="00BB6462">
        <w:t xml:space="preserve">.  </w:t>
      </w:r>
      <w:r w:rsidRPr="00BB6462">
        <w:rPr>
          <w:rFonts w:hint="eastAsia"/>
        </w:rPr>
        <w:t>第二次报告的核心涉及武装冲突期间适用的法律。报告分析了直接适用的条约规定和武装冲突法的有关原则，如区分原则、相称原则和攻击中的谨慎原则以及关于军事必要性的规则。但特别报告员强调，由于委员会的任务不是修订武装冲突法，报告避免对此类规定的操作性解释加以分析。因此，报告仅限于弄清，规定的适用是否也覆盖旨在保护环境的措施。</w:t>
      </w:r>
    </w:p>
    <w:p w:rsidR="00DB3DD4" w:rsidRPr="00BB6462" w:rsidRDefault="00DB3DD4" w:rsidP="00DB3DD4">
      <w:pPr>
        <w:pStyle w:val="SingleTxt"/>
      </w:pPr>
      <w:r w:rsidRPr="00BB6462">
        <w:rPr>
          <w:rFonts w:hint="eastAsia"/>
        </w:rPr>
        <w:t>138</w:t>
      </w:r>
      <w:r w:rsidRPr="00BB6462">
        <w:t xml:space="preserve">.  </w:t>
      </w:r>
      <w:r w:rsidRPr="00BB6462">
        <w:rPr>
          <w:rFonts w:hint="eastAsia"/>
        </w:rPr>
        <w:t>报告还处理了保护区的问题，并审视了关于非军事区、无核武器区以及与本专题有关的自然遗产区和重大生态意义地区的法律框架。特别报告员指出，这一节的目的是分析各种环境区与文化遗产区之间的关系以及土著人民对于其环境作为一种文化和自然资源而具有的权利。</w:t>
      </w:r>
    </w:p>
    <w:p w:rsidR="00DB3DD4" w:rsidRDefault="00DB3DD4" w:rsidP="00F11C7D">
      <w:pPr>
        <w:pStyle w:val="SingleTxt"/>
      </w:pPr>
      <w:r w:rsidRPr="00BB6462">
        <w:rPr>
          <w:rFonts w:hint="eastAsia"/>
        </w:rPr>
        <w:t>139</w:t>
      </w:r>
      <w:r w:rsidRPr="00BB6462">
        <w:t xml:space="preserve">.  </w:t>
      </w:r>
      <w:r w:rsidRPr="00BB6462">
        <w:rPr>
          <w:rFonts w:hint="eastAsia"/>
        </w:rPr>
        <w:t>特别报告员还提醒注意第二次报告没有提到的某些问题，包括马顿斯条款、多边行动、联合国赔偿委员会的工作和占领局势，都将结合与第三阶段</w:t>
      </w:r>
      <w:r w:rsidRPr="00BB6462">
        <w:rPr>
          <w:rFonts w:hint="eastAsia"/>
          <w:spacing w:val="-50"/>
        </w:rPr>
        <w:t>－</w:t>
      </w:r>
      <w:r w:rsidRPr="00BB6462">
        <w:rPr>
          <w:rFonts w:hint="eastAsia"/>
        </w:rPr>
        <w:t>－冲突后义务</w:t>
      </w:r>
      <w:r w:rsidRPr="00BB6462">
        <w:rPr>
          <w:rFonts w:hint="eastAsia"/>
          <w:spacing w:val="-50"/>
        </w:rPr>
        <w:t>－</w:t>
      </w:r>
      <w:r w:rsidRPr="00BB6462">
        <w:rPr>
          <w:rFonts w:hint="eastAsia"/>
        </w:rPr>
        <w:t>－同样具有的相关性在第三次报告中分析所有这些问题。</w:t>
      </w:r>
    </w:p>
    <w:p w:rsidR="00DB3DD4" w:rsidRDefault="00DB3DD4" w:rsidP="00DB3DD4">
      <w:pPr>
        <w:pStyle w:val="SingleTxt"/>
      </w:pPr>
      <w:r w:rsidRPr="00BB6462">
        <w:t>1</w:t>
      </w:r>
      <w:r w:rsidRPr="00BB6462">
        <w:rPr>
          <w:rFonts w:hint="eastAsia"/>
        </w:rPr>
        <w:t>40</w:t>
      </w:r>
      <w:r w:rsidRPr="00BB6462">
        <w:t xml:space="preserve">.  </w:t>
      </w:r>
      <w:r w:rsidRPr="00BB6462">
        <w:rPr>
          <w:rFonts w:hint="eastAsia"/>
        </w:rPr>
        <w:t>特别报告员最后说明了拟议的未来</w:t>
      </w:r>
      <w:r w:rsidRPr="00BB6462">
        <w:t>工作方案</w:t>
      </w:r>
      <w:r w:rsidRPr="00BB6462">
        <w:rPr>
          <w:rFonts w:hint="eastAsia"/>
        </w:rPr>
        <w:t>，她提到，她的第三次报告将包含关于冲突后措施的提案，包括合作、信息分享和最佳做法以及恢复措施。第三次报告还争取将三个时间段的周期收尾，因此将分为三个部分。第一部分的重点是冲突后形势下适用的法律，第二部分处理尚未研究过的问题，如占领，第三部分简要分析所有这三个阶段。特别报告员表示有意与其他实体和区域性组织继续磋商，并且说，如果各国能继续提交与本专题有关的国家法规和判例法资料将会是有帮助的。</w:t>
      </w:r>
    </w:p>
    <w:p w:rsidR="00DB3DD4" w:rsidRPr="00555A2B"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2.</w:t>
      </w:r>
      <w:r w:rsidRPr="00BB6462">
        <w:rPr>
          <w:rFonts w:hint="eastAsia"/>
        </w:rPr>
        <w:tab/>
        <w:t>辩论摘要</w:t>
      </w:r>
    </w:p>
    <w:p w:rsidR="00DB3DD4" w:rsidRPr="00555A2B"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(a)</w:t>
      </w:r>
      <w:r w:rsidRPr="00BB6462">
        <w:rPr>
          <w:rFonts w:hint="eastAsia"/>
        </w:rPr>
        <w:tab/>
        <w:t>一般评论</w:t>
      </w:r>
    </w:p>
    <w:p w:rsidR="00DB3DD4" w:rsidRPr="00555A2B" w:rsidRDefault="00DB3DD4" w:rsidP="00DB3DD4">
      <w:pPr>
        <w:pStyle w:val="SingleTxt"/>
        <w:spacing w:after="0" w:line="120" w:lineRule="exact"/>
        <w:rPr>
          <w:sz w:val="10"/>
        </w:rPr>
      </w:pPr>
    </w:p>
    <w:p w:rsidR="00DB3DD4" w:rsidRPr="00BB6462" w:rsidRDefault="00DB3DD4" w:rsidP="00DB3DD4">
      <w:pPr>
        <w:pStyle w:val="SingleTxt"/>
      </w:pPr>
      <w:r w:rsidRPr="00BB6462">
        <w:t>1</w:t>
      </w:r>
      <w:r w:rsidRPr="00BB6462">
        <w:rPr>
          <w:rFonts w:hint="eastAsia"/>
        </w:rPr>
        <w:t>41</w:t>
      </w:r>
      <w:r w:rsidRPr="00BB6462">
        <w:t xml:space="preserve">.  </w:t>
      </w:r>
      <w:r w:rsidRPr="00BB6462">
        <w:rPr>
          <w:rFonts w:hint="eastAsia"/>
        </w:rPr>
        <w:t>有的委员重申对这一专题的重视，不仅指出了专题的当代相关性，而且也提到了所带来的挑战，尤其是尝试在保障武装冲突法之下现有合法权益与保护环境之间取得恰当平衡方面。有意见认为，为了取得这种平衡，首先就要深入分析“广泛、长期和严重损害”的概念以及对这些标准适用的尺度。</w:t>
      </w:r>
    </w:p>
    <w:p w:rsidR="00DB3DD4" w:rsidRPr="00BB6462" w:rsidRDefault="00DB3DD4" w:rsidP="00DB3DD4">
      <w:pPr>
        <w:pStyle w:val="SingleTxt"/>
      </w:pPr>
      <w:r w:rsidRPr="00BB6462">
        <w:t>1</w:t>
      </w:r>
      <w:r w:rsidRPr="00BB6462">
        <w:rPr>
          <w:rFonts w:hint="eastAsia"/>
        </w:rPr>
        <w:t>42</w:t>
      </w:r>
      <w:r w:rsidRPr="00BB6462">
        <w:t xml:space="preserve">.  </w:t>
      </w:r>
      <w:r w:rsidRPr="00BB6462">
        <w:rPr>
          <w:rFonts w:hint="eastAsia"/>
        </w:rPr>
        <w:t>有些委员承认，第二次报告的目的是找出与环境保护直接相关的现有武装冲突规则。同时，也有些委员强调，需要从方法上研究国际环境法的规则和原则，以便审议这些规则和原则在武装冲突期间是否可继续适用以及它们与该法律制度的关系。这种性质的分析是整个专题的关键，尤其是目前正在讨论的第二阶段的关键。这方面的建议是，这种系统化审查应当采用委员会</w:t>
      </w:r>
      <w:r w:rsidRPr="00BB6462">
        <w:t>2011</w:t>
      </w:r>
      <w:r w:rsidRPr="00BB6462">
        <w:rPr>
          <w:rFonts w:hint="eastAsia"/>
        </w:rPr>
        <w:t>年通过的关于武装冲突对条约的影响的条款草案作为起点。虽然承认武装冲突法在武装冲突期间原则上是作为特别法适用的，但同时还说，如果不排除国际环境法的并行适用，就能避免出现法律空白。委员会在处理关于灾害事件中对人的保护的专题中类似问题时使用的就是这种办法。有些委员还提醒注意其他法域与本专题的相关性，如人权，并鼓励特别报告员进一步研究这些法域相互关联的方式。在这方面，有建议说，应当处理打算如何让本专题与关于国际人道主义法和国际人权法之间关系的辩论开展互动的</w:t>
      </w:r>
      <w:r w:rsidRPr="00BB6462">
        <w:rPr>
          <w:rFonts w:hint="eastAsia"/>
        </w:rPr>
        <w:lastRenderedPageBreak/>
        <w:t>问题。这一分析既要争取澄清落实环境保护的方式，也要澄清这种保护如何与相关的人权保护相配合。</w:t>
      </w:r>
    </w:p>
    <w:p w:rsidR="00DB3DD4" w:rsidRPr="00BB6462" w:rsidRDefault="00DB3DD4" w:rsidP="00DB3DD4">
      <w:pPr>
        <w:pStyle w:val="SingleTxt"/>
      </w:pPr>
      <w:r w:rsidRPr="00BB6462">
        <w:t>14</w:t>
      </w:r>
      <w:r w:rsidRPr="00BB6462">
        <w:rPr>
          <w:rFonts w:hint="eastAsia"/>
        </w:rPr>
        <w:t>3</w:t>
      </w:r>
      <w:r w:rsidRPr="00BB6462">
        <w:t xml:space="preserve">.  </w:t>
      </w:r>
      <w:r w:rsidRPr="00BB6462">
        <w:rPr>
          <w:rFonts w:hint="eastAsia"/>
        </w:rPr>
        <w:t>同样从方法的角度看，有些委员告诫说，不要试图简单地把武装冲突法适用于保护平民或民用物体的条款照搬于环境保护。武装冲突法的物、人、时适用范围都不能不尊重。有建议说，制定专门的环境保护规则，而不是通过简单地说环境是民用性质来填补环保制度在武装冲突期间的空白，或许更为恰当。</w:t>
      </w:r>
    </w:p>
    <w:p w:rsidR="00DB3DD4" w:rsidRDefault="00DB3DD4" w:rsidP="00F11C7D">
      <w:pPr>
        <w:pStyle w:val="SingleTxt"/>
      </w:pPr>
      <w:r w:rsidRPr="00BB6462">
        <w:t>1</w:t>
      </w:r>
      <w:r w:rsidRPr="00BB6462">
        <w:rPr>
          <w:rFonts w:hint="eastAsia"/>
        </w:rPr>
        <w:t>44</w:t>
      </w:r>
      <w:r w:rsidRPr="00BB6462">
        <w:t xml:space="preserve">.  </w:t>
      </w:r>
      <w:r w:rsidRPr="00BB6462">
        <w:rPr>
          <w:rFonts w:hint="eastAsia"/>
        </w:rPr>
        <w:t>报告中关于国家惯例的详细材料和对适用规则所作的分析受到了普遍欢迎，但也有些委员说，能够从中得出什么结论，又怎样将这些信息引入拟议原则草案的商讨和内容，都不清楚。有的委员强调，委员会需要了解怎样在工作中利用这些信息，惯例是否代表了习惯国际法、新出现的规则或新的趋势。还有人表示认为，武装冲突法之下与环境保护有关的一些规则似乎并没有反映出习惯国际法。因此，委员会不得不考虑最后的结果将在何种程度上有助于拟议法的发展。</w:t>
      </w:r>
    </w:p>
    <w:p w:rsidR="00DB3DD4" w:rsidRPr="00BB6462" w:rsidRDefault="00DB3DD4" w:rsidP="00DB3DD4">
      <w:pPr>
        <w:pStyle w:val="SingleTxt"/>
      </w:pPr>
      <w:r w:rsidRPr="00BB6462">
        <w:t>1</w:t>
      </w:r>
      <w:r w:rsidRPr="00BB6462">
        <w:rPr>
          <w:rFonts w:hint="eastAsia"/>
        </w:rPr>
        <w:t>45</w:t>
      </w:r>
      <w:r w:rsidRPr="00BB6462">
        <w:t xml:space="preserve">.  </w:t>
      </w:r>
      <w:r w:rsidRPr="00BB6462">
        <w:rPr>
          <w:rFonts w:hint="eastAsia"/>
        </w:rPr>
        <w:t>关于原则草案中使用的术语，若干委员对概念缺乏一致性提出了质疑，尤其是关于“环境”和“自然环境”等用语，案文中的用法前后不一，造成混乱。另外，委员们普遍对于把关于范围、宗旨和</w:t>
      </w:r>
      <w:r>
        <w:rPr>
          <w:rFonts w:hint="eastAsia"/>
        </w:rPr>
        <w:t>用语</w:t>
      </w:r>
      <w:r w:rsidRPr="00BB6462">
        <w:rPr>
          <w:rFonts w:hint="eastAsia"/>
        </w:rPr>
        <w:t>的规定放在序言部分提出疑问。虽然他们理解特别报告员关于这些规定本身不是“原则”的看法，但还提到了委员会过去的做法，鼓励特别报告员考虑这些规定的位置，包括把其中某些内容调整到原则草案的执行部分。但是另外还有人建议，可以把这些内容一并放在一个引导性标题之下。</w:t>
      </w:r>
    </w:p>
    <w:p w:rsidR="00DB3DD4" w:rsidRDefault="00DB3DD4" w:rsidP="00DB3DD4">
      <w:pPr>
        <w:pStyle w:val="SingleTxt"/>
      </w:pPr>
      <w:r w:rsidRPr="00BB6462">
        <w:t>1</w:t>
      </w:r>
      <w:r w:rsidRPr="00BB6462">
        <w:rPr>
          <w:rFonts w:hint="eastAsia"/>
        </w:rPr>
        <w:t>46</w:t>
      </w:r>
      <w:r w:rsidRPr="00BB6462">
        <w:t xml:space="preserve">.  </w:t>
      </w:r>
      <w:r w:rsidRPr="00BB6462">
        <w:rPr>
          <w:rFonts w:hint="eastAsia"/>
        </w:rPr>
        <w:t>关于专题的结果和形式，有些委员表示倾向于条款草案，因为这更符合有些拟议原则草案中所使用术语的规范性质。若干委员对特别报告员拟订原则草案的建议表示支持。对于委员会有些委员认为委员会只是在影响国际法发展的愿望推动下才采用原则形式，而不是要奠定规范性规定的看法，他们并不同意。他们认为，虽然原则比规则较为一般和抽象，但的确具有法律意义。另外还提出，如果意图并不是要制定一项新的公约，原则草案的形式就尤其适当。另外还指出，委员会可能并不希望把自己仅限于原则范围，而是也可能提出建议或最佳做法。有若干委员认为，原则草案的结构应与时间段看齐，而且还认为，由于有些原则草案的跨度超过一个时段，严格按时段划分既不可取，也不可行。</w:t>
      </w:r>
    </w:p>
    <w:p w:rsidR="00DB3DD4" w:rsidRPr="00555A2B" w:rsidRDefault="00DB3DD4" w:rsidP="00DB3DD4">
      <w:pPr>
        <w:pStyle w:val="SingleTxt"/>
        <w:spacing w:after="0" w:line="120" w:lineRule="exact"/>
        <w:rPr>
          <w:sz w:val="10"/>
        </w:rPr>
      </w:pPr>
    </w:p>
    <w:p w:rsidR="00DB3DD4" w:rsidRPr="00BB6462" w:rsidRDefault="00DB3DD4" w:rsidP="00DB3DD4">
      <w:pPr>
        <w:pStyle w:val="Sponsors"/>
      </w:pPr>
      <w:r w:rsidRPr="00BB6462">
        <w:rPr>
          <w:rFonts w:hint="eastAsia"/>
        </w:rPr>
        <w:tab/>
      </w:r>
      <w:r w:rsidRPr="00BB6462">
        <w:t>(b)</w:t>
      </w:r>
      <w:r w:rsidRPr="00BB6462">
        <w:tab/>
      </w:r>
      <w:r w:rsidRPr="00BB6462">
        <w:rPr>
          <w:rFonts w:hint="eastAsia"/>
        </w:rPr>
        <w:t>范围</w:t>
      </w:r>
    </w:p>
    <w:p w:rsidR="00DB3DD4" w:rsidRPr="00555A2B" w:rsidRDefault="00DB3DD4" w:rsidP="00DB3DD4">
      <w:pPr>
        <w:pStyle w:val="SingleTxt"/>
        <w:spacing w:after="0" w:line="120" w:lineRule="exact"/>
        <w:rPr>
          <w:sz w:val="10"/>
        </w:rPr>
      </w:pPr>
    </w:p>
    <w:p w:rsidR="00DB3DD4" w:rsidRPr="00BB6462" w:rsidRDefault="00DB3DD4" w:rsidP="00DB3DD4">
      <w:pPr>
        <w:pStyle w:val="SingleTxt"/>
      </w:pPr>
      <w:r w:rsidRPr="00BB6462">
        <w:t>1</w:t>
      </w:r>
      <w:r w:rsidRPr="00BB6462">
        <w:rPr>
          <w:rFonts w:hint="eastAsia"/>
        </w:rPr>
        <w:t>47</w:t>
      </w:r>
      <w:r w:rsidRPr="00BB6462">
        <w:t xml:space="preserve">.  </w:t>
      </w:r>
      <w:r w:rsidRPr="00BB6462">
        <w:rPr>
          <w:rFonts w:hint="eastAsia"/>
        </w:rPr>
        <w:t>关于专题范围的局限性开展了充分讨论。有些委员指出，增加一个门槛要素，表明专题的目标是处理武装冲突期间对环境造成</w:t>
      </w:r>
      <w:r w:rsidRPr="00BB6462">
        <w:rPr>
          <w:rFonts w:ascii="楷体_GB2312" w:eastAsia="楷体_GB2312" w:hint="eastAsia"/>
        </w:rPr>
        <w:t>某种程度</w:t>
      </w:r>
      <w:r w:rsidRPr="00BB6462">
        <w:rPr>
          <w:rFonts w:hint="eastAsia"/>
        </w:rPr>
        <w:t>损害的情况，可能是有帮助的。虽然有广泛的一致意见认为，国际武装冲突和非国际武装冲突都应置于专题范围之内，但也提到需要澄清如何体现这两类不同冲突的差别。有意见指出，如果委员会决定采用单一制度覆盖这两类武装冲突，这是自有其优点的办法，那就必须清楚表明为此所应该采取的方法。若干委员还强调，需要进一步研究在非国际武装冲突背景下非国家行为者的惯例。</w:t>
      </w:r>
    </w:p>
    <w:p w:rsidR="00DB3DD4" w:rsidRPr="00BB6462" w:rsidRDefault="00DB3DD4" w:rsidP="00DB3DD4">
      <w:pPr>
        <w:pStyle w:val="SingleTxt"/>
      </w:pPr>
      <w:r w:rsidRPr="00BB6462">
        <w:t>1</w:t>
      </w:r>
      <w:r w:rsidRPr="00BB6462">
        <w:rPr>
          <w:rFonts w:hint="eastAsia"/>
        </w:rPr>
        <w:t>48</w:t>
      </w:r>
      <w:r w:rsidRPr="00BB6462">
        <w:t xml:space="preserve">.  </w:t>
      </w:r>
      <w:r w:rsidRPr="00BB6462">
        <w:rPr>
          <w:rFonts w:hint="eastAsia"/>
        </w:rPr>
        <w:t>关于特定武器的问题，对于原则草案作为现行法律是否适用于核武器和其他大规模毁灭性武器，表示出了分歧意见。从各国批准</w:t>
      </w:r>
      <w:r w:rsidRPr="00BB6462">
        <w:t>1949</w:t>
      </w:r>
      <w:r w:rsidRPr="00BB6462">
        <w:rPr>
          <w:rFonts w:hint="eastAsia"/>
        </w:rPr>
        <w:t>年</w:t>
      </w:r>
      <w:r w:rsidRPr="00BB6462">
        <w:t>8</w:t>
      </w:r>
      <w:r w:rsidRPr="00BB6462">
        <w:rPr>
          <w:rFonts w:hint="eastAsia"/>
        </w:rPr>
        <w:t>月</w:t>
      </w:r>
      <w:r w:rsidRPr="00BB6462">
        <w:t>12</w:t>
      </w:r>
      <w:r w:rsidRPr="00BB6462">
        <w:rPr>
          <w:rFonts w:hint="eastAsia"/>
        </w:rPr>
        <w:t>日《日内瓦四公约附加议定书》时所作《关于保护国际性武装冲突受难者的附加议定书》</w:t>
      </w:r>
      <w:r w:rsidRPr="00BB6462">
        <w:rPr>
          <w:rFonts w:hint="eastAsia"/>
        </w:rPr>
        <w:t>(</w:t>
      </w:r>
      <w:r w:rsidRPr="00BB6462">
        <w:rPr>
          <w:rFonts w:hint="eastAsia"/>
        </w:rPr>
        <w:t>《第</w:t>
      </w:r>
      <w:r w:rsidRPr="00BB6462">
        <w:rPr>
          <w:rFonts w:hint="eastAsia"/>
        </w:rPr>
        <w:lastRenderedPageBreak/>
        <w:t>一附加议定书》</w:t>
      </w:r>
      <w:r w:rsidRPr="00BB6462">
        <w:rPr>
          <w:rFonts w:hint="eastAsia"/>
        </w:rPr>
        <w:t>)</w:t>
      </w:r>
      <w:r w:rsidRPr="00BB6462">
        <w:rPr>
          <w:rFonts w:hint="eastAsia"/>
        </w:rPr>
        <w:t>不适用于核武器的声明看，有人建议原则草案用“不妨碍”条款处理这个问题。另外还有意见表示，可能需要在武器问题上进一步澄清本专题的范围。</w:t>
      </w:r>
    </w:p>
    <w:p w:rsidR="00DB3DD4" w:rsidRDefault="00DB3DD4" w:rsidP="00F11C7D">
      <w:pPr>
        <w:pStyle w:val="SingleTxt"/>
      </w:pPr>
      <w:r w:rsidRPr="00BB6462">
        <w:rPr>
          <w:rFonts w:hint="eastAsia"/>
        </w:rPr>
        <w:t>149</w:t>
      </w:r>
      <w:r w:rsidRPr="00BB6462">
        <w:t xml:space="preserve">.  </w:t>
      </w:r>
      <w:r w:rsidRPr="00BB6462">
        <w:rPr>
          <w:rFonts w:hint="eastAsia"/>
        </w:rPr>
        <w:t>有些委员认为，自然和文化遗产应当排除在范围之外，尽管也认为这个问题与环境有重要联系，需要处理。有些委员还强调，明确区分人的环境与自然环境十分重要，他们认为前者概念属于专题范围之外。有些委员强调，开采自然资源与专题范围没有直接关系，但有建议说，应当处理影响自然资源的行动导致人权受到侵犯的问题。另外，有些委员认为，原则草案应当包括关于土著人民与环境之间特殊关系的一项规定。</w:t>
      </w:r>
    </w:p>
    <w:p w:rsidR="00DB3DD4" w:rsidRPr="00BB6462" w:rsidRDefault="00DB3DD4" w:rsidP="00DB3DD4">
      <w:pPr>
        <w:pStyle w:val="SingleTxt"/>
      </w:pPr>
      <w:r w:rsidRPr="00BB6462">
        <w:rPr>
          <w:rFonts w:hint="eastAsia"/>
        </w:rPr>
        <w:t>150</w:t>
      </w:r>
      <w:r w:rsidRPr="00BB6462">
        <w:t xml:space="preserve">.  </w:t>
      </w:r>
      <w:r w:rsidRPr="00BB6462">
        <w:rPr>
          <w:rFonts w:hint="eastAsia"/>
        </w:rPr>
        <w:t>有些委员提到了他们认为拟议原则草案中存在的某种空白，提出了关于增设规定的各种提案。在这方面若干委员认为，应当如《第一附加议定书》第三十五条第三款所列，在原则草案中禁止“使用旨在或可能对自然环境引起广泛、长期而严重损害的作战方法或手段”。有的委员虽然承认这是一个高门槛规定，但认为至少这提供了一个最低标准。另外还提到了该附加议定书第五十五条第一款提出的保护义务，即“在作战中，应注意保护自然环境不受广泛、长期和严重的损害”。有人建议在原则草案</w:t>
      </w:r>
      <w:r w:rsidRPr="00BB6462">
        <w:t>1</w:t>
      </w:r>
      <w:r w:rsidRPr="00BB6462">
        <w:rPr>
          <w:rFonts w:hint="eastAsia"/>
        </w:rPr>
        <w:t>或另外一条单列原则草案中体现这条规定。还有意见认为，应该</w:t>
      </w:r>
      <w:r w:rsidRPr="00622BC1">
        <w:rPr>
          <w:rFonts w:hint="eastAsia"/>
          <w:spacing w:val="-4"/>
        </w:rPr>
        <w:t>在原则草案中体现《禁止为军事或任何其他敌对目的使用改变环境的技术的公约》</w:t>
      </w:r>
      <w:r w:rsidRPr="003F1277">
        <w:rPr>
          <w:rStyle w:val="a3"/>
          <w:szCs w:val="21"/>
        </w:rPr>
        <w:footnoteReference w:id="379"/>
      </w:r>
      <w:r w:rsidRPr="00BB6462">
        <w:t xml:space="preserve"> </w:t>
      </w:r>
      <w:r w:rsidRPr="00BB6462">
        <w:rPr>
          <w:rFonts w:hint="eastAsia"/>
        </w:rPr>
        <w:t>“不为军事或任何其他敌对目的使用具有广泛、持久或严重后果的改变环境的技术作为摧毁、破坏或伤害的手段”的义务。有意见认为，原则除了在习惯国际法中的地位存在不确定性之外，其相对于当代国际环境法的价值也难以辩护。另有建议说，原则草案应当采用大会</w:t>
      </w:r>
      <w:r w:rsidRPr="00BB6462">
        <w:t>1992</w:t>
      </w:r>
      <w:r w:rsidRPr="00BB6462">
        <w:rPr>
          <w:rFonts w:hint="eastAsia"/>
        </w:rPr>
        <w:t>年</w:t>
      </w:r>
      <w:r w:rsidRPr="00BB6462">
        <w:t>11</w:t>
      </w:r>
      <w:r w:rsidRPr="00BB6462">
        <w:rPr>
          <w:rFonts w:hint="eastAsia"/>
        </w:rPr>
        <w:t>月</w:t>
      </w:r>
      <w:r w:rsidRPr="00BB6462">
        <w:t>25</w:t>
      </w:r>
      <w:r w:rsidRPr="00BB6462">
        <w:rPr>
          <w:rFonts w:hint="eastAsia"/>
        </w:rPr>
        <w:t>日第</w:t>
      </w:r>
      <w:r w:rsidRPr="00BB6462">
        <w:t>47/37</w:t>
      </w:r>
      <w:r w:rsidRPr="00BB6462">
        <w:rPr>
          <w:rFonts w:hint="eastAsia"/>
        </w:rPr>
        <w:t>号决议的措辞，禁止非为军事必要而滥肆破坏环境。原则草案</w:t>
      </w:r>
      <w:r w:rsidRPr="00BB6462">
        <w:t>1</w:t>
      </w:r>
      <w:r w:rsidRPr="00BB6462">
        <w:rPr>
          <w:rFonts w:hint="eastAsia"/>
        </w:rPr>
        <w:t>似乎没有涵盖这个方面，提到的是“攻击”而并不一定是“破坏”概念。</w:t>
      </w:r>
    </w:p>
    <w:p w:rsidR="00F11C7D" w:rsidRDefault="00DB3DD4" w:rsidP="00B146B8">
      <w:pPr>
        <w:pStyle w:val="SingleTxt"/>
      </w:pPr>
      <w:r w:rsidRPr="00BB6462">
        <w:rPr>
          <w:rFonts w:hint="eastAsia"/>
        </w:rPr>
        <w:t>151</w:t>
      </w:r>
      <w:r w:rsidRPr="00BB6462">
        <w:t xml:space="preserve">.  </w:t>
      </w:r>
      <w:r w:rsidRPr="00BB6462">
        <w:rPr>
          <w:rFonts w:hint="eastAsia"/>
        </w:rPr>
        <w:t>有些委员表示遗憾说，报告中关于国家立法对环境保护的重要性的阐述没有被转化入原则草案。因此，建议单列一条原则草案反映各国应当承担义务通过符合适用的国际法的立法措施保护环境。</w:t>
      </w:r>
    </w:p>
    <w:p w:rsidR="00DB3DD4" w:rsidRPr="005473DD"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(c)</w:t>
      </w:r>
      <w:r w:rsidRPr="00BB6462">
        <w:tab/>
      </w:r>
      <w:r w:rsidRPr="00BB6462">
        <w:rPr>
          <w:rFonts w:hint="eastAsia"/>
        </w:rPr>
        <w:t>宗旨</w:t>
      </w:r>
    </w:p>
    <w:p w:rsidR="00DB3DD4" w:rsidRPr="005473DD"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152</w:t>
      </w:r>
      <w:r w:rsidRPr="00BB6462">
        <w:t xml:space="preserve">.  </w:t>
      </w:r>
      <w:r w:rsidRPr="00BB6462">
        <w:rPr>
          <w:rFonts w:hint="eastAsia"/>
        </w:rPr>
        <w:t>若干委员表示认为，关于宗旨的拟议规定具有不当限制性。除了预防和恢复措施之外，原则草案还包含了禁止性条款以及采取谨慎措施的的义务。有几位代表建议删掉“附带”一词。据指出，这样做的目的是尽量减少一切损害，无论附带与否。另外建议，应当区分故意损害和附带损害。有意见认为，可单列一条原则草案处理附带损害的问题，但有些委员认为需要进一步分析这个用语。</w:t>
      </w:r>
    </w:p>
    <w:p w:rsidR="00DB3DD4" w:rsidRPr="00622BC1"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(d)</w:t>
      </w:r>
      <w:r w:rsidRPr="00BB6462">
        <w:tab/>
      </w:r>
      <w:r>
        <w:rPr>
          <w:rFonts w:hint="eastAsia"/>
        </w:rPr>
        <w:t>用语</w:t>
      </w:r>
    </w:p>
    <w:p w:rsidR="00DB3DD4" w:rsidRPr="00622BC1" w:rsidRDefault="00DB3DD4" w:rsidP="00DB3DD4">
      <w:pPr>
        <w:pStyle w:val="SingleTxt"/>
        <w:spacing w:after="0" w:line="120" w:lineRule="exact"/>
        <w:rPr>
          <w:sz w:val="10"/>
        </w:rPr>
      </w:pPr>
    </w:p>
    <w:p w:rsidR="00B146B8" w:rsidRDefault="00DB3DD4" w:rsidP="00F11C7D">
      <w:pPr>
        <w:pStyle w:val="SingleTxt"/>
      </w:pPr>
      <w:r w:rsidRPr="00BB6462">
        <w:rPr>
          <w:rFonts w:hint="eastAsia"/>
        </w:rPr>
        <w:t>153</w:t>
      </w:r>
      <w:r w:rsidRPr="00BB6462">
        <w:t xml:space="preserve">.  </w:t>
      </w:r>
      <w:r w:rsidRPr="00BB6462">
        <w:rPr>
          <w:rFonts w:hint="eastAsia"/>
        </w:rPr>
        <w:t>若干委员支持在原则草案中纳入关于</w:t>
      </w:r>
      <w:r>
        <w:rPr>
          <w:rFonts w:hint="eastAsia"/>
        </w:rPr>
        <w:t>用语</w:t>
      </w:r>
      <w:r w:rsidRPr="00BB6462">
        <w:rPr>
          <w:rFonts w:hint="eastAsia"/>
        </w:rPr>
        <w:t>的规定，这样一条规定将有助于恰当确定案文的范围和澄清所要处理的议题。但是有人提出，就本专题目的而言，界</w:t>
      </w:r>
    </w:p>
    <w:p w:rsidR="00DB3DD4" w:rsidRPr="00F11C7D" w:rsidRDefault="00DB3DD4" w:rsidP="00F11C7D">
      <w:pPr>
        <w:pStyle w:val="SingleTxt"/>
      </w:pPr>
      <w:r w:rsidRPr="00BB6462">
        <w:rPr>
          <w:rFonts w:hint="eastAsia"/>
        </w:rPr>
        <w:lastRenderedPageBreak/>
        <w:t>定“武装冲突”和“环境”用语的任何尝试都必须谨慎，其中涉及的问题十分复杂。关于“武装冲突”的定义，若干委员说，其含义之宽泛足以涵盖非国际性武装冲突，这类冲突更为常见，更难管控，对环境的损害也更大。另有建议说，可能需要作出某些澄清，确保原则草案仅适用于持续使用武力达到某一密度水平的局势。这样就能把纯粹执法性质的国内动乱局势排除在本专题范围之外。不少委员对于界定“环境”的宽泛方式提出疑问，并且建议，保护范围应当仅限于同武装冲突局势有关的环境。在这方面有意见认为，从处理和平时期局势的文书中借用一个定义直接套用在武装冲突局势上是不可能的。</w:t>
      </w:r>
    </w:p>
    <w:p w:rsidR="00B146B8" w:rsidRPr="00B146B8" w:rsidRDefault="00B146B8" w:rsidP="00B146B8">
      <w:pPr>
        <w:pStyle w:val="Sponsors"/>
        <w:spacing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(e)</w:t>
      </w:r>
      <w:r w:rsidRPr="00BB6462">
        <w:rPr>
          <w:rFonts w:hint="eastAsia"/>
        </w:rPr>
        <w:tab/>
        <w:t>原则草案</w:t>
      </w:r>
      <w:r w:rsidRPr="00BB6462">
        <w:t>1</w:t>
      </w:r>
    </w:p>
    <w:p w:rsidR="00DB3DD4" w:rsidRPr="00751823"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154</w:t>
      </w:r>
      <w:r w:rsidRPr="00BB6462">
        <w:t xml:space="preserve">.  </w:t>
      </w:r>
      <w:r w:rsidRPr="00BB6462">
        <w:rPr>
          <w:rFonts w:hint="eastAsia"/>
        </w:rPr>
        <w:t>有些委员对原则草案</w:t>
      </w:r>
      <w:r w:rsidRPr="00BB6462">
        <w:t>1</w:t>
      </w:r>
      <w:r w:rsidRPr="00BB6462">
        <w:rPr>
          <w:rFonts w:hint="eastAsia"/>
        </w:rPr>
        <w:t>表示支持，但另有一些委员对于将整个环境贴上“民用性质”的标签表示关切，他们认为这样做过于宽泛和含混。这种提法似乎暗示整个环境等同于“民用物体”的概念，会在适用区别原则时造成重大困难。据指出，武装冲突法并没有抽象地处理人或物的保护问题。因此，表示环境保护规则的较恰当方法是提到具体的部分或特征。另外还建议将环境定义为一种民用物体。这种办法有助于将保护归类到适用于保护民用物体的规则之下，但也有意见认为，这种规则不可能自动适用于环境。有意见指出，民用物体变成军事目标的情形，以及全部还是部分变成军事目标的界限，都需要澄清。另外有一些委员强调，尽管环境当中包含民用物体，但不能把环境本身看作是一种民用“物体”。</w:t>
      </w:r>
    </w:p>
    <w:p w:rsidR="00DB3DD4" w:rsidRPr="00BB6462" w:rsidRDefault="00DB3DD4" w:rsidP="00DB3DD4">
      <w:pPr>
        <w:pStyle w:val="SingleTxt"/>
      </w:pPr>
      <w:r w:rsidRPr="00BB6462">
        <w:rPr>
          <w:rFonts w:hint="eastAsia"/>
        </w:rPr>
        <w:t>155</w:t>
      </w:r>
      <w:r w:rsidRPr="00BB6462">
        <w:t xml:space="preserve">.  </w:t>
      </w:r>
      <w:r w:rsidRPr="00BB6462">
        <w:rPr>
          <w:rFonts w:hint="eastAsia"/>
        </w:rPr>
        <w:t>有些委员提请注意原则草案</w:t>
      </w:r>
      <w:r w:rsidRPr="00BB6462">
        <w:t>1</w:t>
      </w:r>
      <w:r w:rsidRPr="00BB6462">
        <w:rPr>
          <w:rFonts w:hint="eastAsia"/>
        </w:rPr>
        <w:t>的第二句，他们认为可以把这作为第一项原则，首先处理整个环境保护问题，然后是环境的各个组成部分。因此，应当把第二句和第一句的位置颠倒过来，或者索性在一项单列的原则中加以处理。另外还建议澄清“适用的国际法”，并说明国际人道主义法下的有关规则。</w:t>
      </w:r>
    </w:p>
    <w:p w:rsidR="00DB3DD4" w:rsidRPr="00751823"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(f)</w:t>
      </w:r>
      <w:r w:rsidRPr="00BB6462">
        <w:rPr>
          <w:rFonts w:hint="eastAsia"/>
        </w:rPr>
        <w:tab/>
        <w:t>原则草案</w:t>
      </w:r>
      <w:r w:rsidRPr="00BB6462">
        <w:t>2</w:t>
      </w:r>
    </w:p>
    <w:p w:rsidR="00DB3DD4" w:rsidRPr="00751823"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156</w:t>
      </w:r>
      <w:r w:rsidRPr="00BB6462">
        <w:t xml:space="preserve">.  </w:t>
      </w:r>
      <w:r w:rsidRPr="00BB6462">
        <w:rPr>
          <w:rFonts w:hint="eastAsia"/>
        </w:rPr>
        <w:t>委员们对原则草案</w:t>
      </w:r>
      <w:r w:rsidRPr="00BB6462">
        <w:t>2</w:t>
      </w:r>
      <w:r w:rsidRPr="00BB6462">
        <w:rPr>
          <w:rFonts w:hint="eastAsia"/>
        </w:rPr>
        <w:t>的主旨普遍表示赞同，尽管也对“尽可能强有力”的保护这一措辞表示了关切。据指出，这种表达方式并没有准确反映国际人道主义法的要求，其中规定了采取可行谨慎措施避免和在任何情况下尽量减少超出实际军事优势的损害的义务。另外，有意见指出，这一措辞似乎不承认在某些情况下，既要保护平民又要保护环境是不可能达到这些标准。另外有人表示认为，需要按照环境的具体情况调整在这一条中提到的原则，并且参照原则草案</w:t>
      </w:r>
      <w:r w:rsidRPr="00BB6462">
        <w:t>1</w:t>
      </w:r>
      <w:r w:rsidRPr="00BB6462">
        <w:rPr>
          <w:rFonts w:hint="eastAsia"/>
        </w:rPr>
        <w:t>所述环境的民用地位澄清这些原则的适用性。关于谨慎原则，有意见指出，应当澄清对规定的“损害”评估所适用的标准，尤其是这一标准是否有别于“广泛、严重和长期损害”标准。另外还提到，应当澄清相称性原则对失去保护的环境部分的适用性问题。有人建议应当在草案中具体提到人道原则。</w:t>
      </w:r>
    </w:p>
    <w:p w:rsidR="00DB3DD4" w:rsidRPr="00751823"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(g)</w:t>
      </w:r>
      <w:r w:rsidRPr="00BB6462">
        <w:rPr>
          <w:rFonts w:hint="eastAsia"/>
        </w:rPr>
        <w:tab/>
        <w:t>原则草案</w:t>
      </w:r>
      <w:r w:rsidRPr="00BB6462">
        <w:t>3</w:t>
      </w:r>
    </w:p>
    <w:p w:rsidR="00DB3DD4" w:rsidRPr="00751823" w:rsidRDefault="00DB3DD4" w:rsidP="00DB3DD4">
      <w:pPr>
        <w:pStyle w:val="SingleTxt"/>
        <w:spacing w:after="0" w:line="120" w:lineRule="exact"/>
        <w:rPr>
          <w:sz w:val="10"/>
        </w:rPr>
      </w:pPr>
    </w:p>
    <w:p w:rsidR="00DB3DD4" w:rsidRPr="00BB6462" w:rsidRDefault="00DB3DD4" w:rsidP="00B146B8">
      <w:pPr>
        <w:pStyle w:val="SingleTxt"/>
        <w:widowControl w:val="0"/>
      </w:pPr>
      <w:r w:rsidRPr="00BB6462">
        <w:rPr>
          <w:rFonts w:hint="eastAsia"/>
        </w:rPr>
        <w:t>157</w:t>
      </w:r>
      <w:r w:rsidRPr="00BB6462">
        <w:t xml:space="preserve">.  </w:t>
      </w:r>
      <w:r w:rsidRPr="00BB6462">
        <w:rPr>
          <w:rFonts w:hint="eastAsia"/>
        </w:rPr>
        <w:t>若干委员对原则草案</w:t>
      </w:r>
      <w:r w:rsidRPr="00BB6462">
        <w:t>3</w:t>
      </w:r>
      <w:r w:rsidRPr="00BB6462">
        <w:rPr>
          <w:rFonts w:hint="eastAsia"/>
        </w:rPr>
        <w:t>表示支持，他们注意到这一草案取自国际法院关于</w:t>
      </w:r>
      <w:r w:rsidRPr="00BB6462">
        <w:rPr>
          <w:rFonts w:ascii="楷体" w:eastAsia="楷体" w:hAnsi="楷体" w:hint="eastAsia"/>
        </w:rPr>
        <w:t>核</w:t>
      </w:r>
      <w:r w:rsidRPr="00BB6462">
        <w:rPr>
          <w:rFonts w:ascii="楷体" w:eastAsia="楷体" w:hAnsi="楷体" w:hint="eastAsia"/>
        </w:rPr>
        <w:lastRenderedPageBreak/>
        <w:t>武器</w:t>
      </w:r>
      <w:r w:rsidRPr="00BB6462">
        <w:rPr>
          <w:rFonts w:hint="eastAsia"/>
        </w:rPr>
        <w:t>的咨询意见。</w:t>
      </w:r>
      <w:r w:rsidRPr="003F1277">
        <w:rPr>
          <w:rStyle w:val="a3"/>
          <w:szCs w:val="21"/>
        </w:rPr>
        <w:footnoteReference w:id="380"/>
      </w:r>
      <w:r w:rsidRPr="00BB6462">
        <w:t xml:space="preserve"> </w:t>
      </w:r>
      <w:r w:rsidRPr="00BB6462">
        <w:rPr>
          <w:rFonts w:hint="eastAsia"/>
        </w:rPr>
        <w:t>但是，也有人表示认为，国际法院当时似乎是结合禁止使用武力而不是战时法处理环境考虑的，这就使原则草案</w:t>
      </w:r>
      <w:r w:rsidRPr="00BB6462">
        <w:t>3</w:t>
      </w:r>
      <w:r w:rsidRPr="00BB6462">
        <w:rPr>
          <w:rFonts w:hint="eastAsia"/>
        </w:rPr>
        <w:t>的提法出现了问题。也有反方意见认为，国际法院咨询意见中提到的确实是战时法。另外还提请注意的是，在有些情况下环境考虑完全没有相关性，规定当中应列入承认这一点的但书说明。有人建议说，原则草案</w:t>
      </w:r>
      <w:r w:rsidRPr="00BB6462">
        <w:t>3</w:t>
      </w:r>
      <w:r w:rsidRPr="00BB6462">
        <w:rPr>
          <w:rFonts w:hint="eastAsia"/>
        </w:rPr>
        <w:t>的措辞内容应当澄清在评估必要性和相称性时如何考虑环境因素。在这方面，有意见指出，“环境因素”需要恰当定义，澄清这种考虑因素的界限。有一项建议是，增加一句措辞，说明此种评估应当客观完成，并以当时可得的信息为依据。有些委员注意到原则草案</w:t>
      </w:r>
      <w:r w:rsidRPr="00BB6462">
        <w:t>2</w:t>
      </w:r>
      <w:r w:rsidRPr="00BB6462">
        <w:rPr>
          <w:rFonts w:hint="eastAsia"/>
        </w:rPr>
        <w:t>和</w:t>
      </w:r>
      <w:r w:rsidRPr="00BB6462">
        <w:t>3</w:t>
      </w:r>
      <w:r w:rsidRPr="00BB6462">
        <w:rPr>
          <w:rFonts w:hint="eastAsia"/>
        </w:rPr>
        <w:t>有某些重叠，因此提出是否能将这两条原则草案合并。但有人提出，原则草案</w:t>
      </w:r>
      <w:r w:rsidRPr="00BB6462">
        <w:t>3</w:t>
      </w:r>
      <w:r w:rsidRPr="00BB6462">
        <w:rPr>
          <w:rFonts w:hint="eastAsia"/>
        </w:rPr>
        <w:t>比原则草案</w:t>
      </w:r>
      <w:r w:rsidRPr="00BB6462">
        <w:t>2</w:t>
      </w:r>
      <w:r w:rsidRPr="00BB6462">
        <w:rPr>
          <w:rFonts w:hint="eastAsia"/>
        </w:rPr>
        <w:t>更为具体，应当保留。</w:t>
      </w:r>
    </w:p>
    <w:p w:rsidR="00DB3DD4" w:rsidRPr="00751823"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(h)</w:t>
      </w:r>
      <w:r w:rsidRPr="00BB6462">
        <w:tab/>
      </w:r>
      <w:r w:rsidRPr="00BB6462">
        <w:rPr>
          <w:rFonts w:hint="eastAsia"/>
        </w:rPr>
        <w:t>原则草案</w:t>
      </w:r>
      <w:r w:rsidRPr="00BB6462">
        <w:t>4</w:t>
      </w:r>
    </w:p>
    <w:p w:rsidR="00DB3DD4" w:rsidRPr="00751823" w:rsidRDefault="00DB3DD4" w:rsidP="00DB3DD4">
      <w:pPr>
        <w:pStyle w:val="SingleTxt"/>
        <w:spacing w:after="0" w:line="120" w:lineRule="exact"/>
        <w:rPr>
          <w:sz w:val="10"/>
        </w:rPr>
      </w:pPr>
    </w:p>
    <w:p w:rsidR="00DB3DD4" w:rsidRDefault="00DB3DD4" w:rsidP="00DB3DD4">
      <w:pPr>
        <w:pStyle w:val="SingleTxt"/>
      </w:pPr>
      <w:r w:rsidRPr="00BB6462">
        <w:rPr>
          <w:rFonts w:hint="eastAsia"/>
        </w:rPr>
        <w:t>158</w:t>
      </w:r>
      <w:r w:rsidRPr="00BB6462">
        <w:t xml:space="preserve">.  </w:t>
      </w:r>
      <w:r w:rsidRPr="00BB6462">
        <w:rPr>
          <w:rFonts w:hint="eastAsia"/>
        </w:rPr>
        <w:t>若干委员注意到，原则草案</w:t>
      </w:r>
      <w:r w:rsidRPr="00BB6462">
        <w:t>4</w:t>
      </w:r>
      <w:r w:rsidRPr="00BB6462">
        <w:rPr>
          <w:rFonts w:hint="eastAsia"/>
        </w:rPr>
        <w:t>体现了《第一附加议定书》第五十五条第二款的规定，并对此表示支持。一种绝对禁止规定似乎是适当的，假如环境或环境的某些部分成为军事目标，则对攻击环境的行为就应适用其他规则。因此，低于绝对禁止的任何内容似乎都没有道理。另有意见认为，禁止只能作为条约义务存在，而不是习惯法规则，这一事实可在评注中加以解释，委员会的任务不是编写习惯法规则目录。但是，其他一些委员认为，禁止报复并不是习惯国际法之下得到普遍接受的规则，这一事实关系重大，应当在原则草案中有所体现。因此，这些委员对于特别报告员拟议用这种绝对措辞起草禁止规定表示质疑。另外有意见说，在特殊情况下，把交战报复作为对另一方的非法行动作出反应的强制措施可被视为合法。在这方面，提到了各国对《第一附加议定书》第五十五条第二款所作的保留以及红十字国际委员会习惯国际法研究中的报复定义。</w:t>
      </w:r>
      <w:r w:rsidRPr="003F1277">
        <w:rPr>
          <w:rStyle w:val="a3"/>
          <w:szCs w:val="21"/>
        </w:rPr>
        <w:footnoteReference w:id="381"/>
      </w:r>
      <w:r w:rsidRPr="00BB6462">
        <w:t xml:space="preserve"> </w:t>
      </w:r>
      <w:r w:rsidRPr="00BB6462">
        <w:rPr>
          <w:rFonts w:hint="eastAsia"/>
        </w:rPr>
        <w:t>原则草案针对的是所有武装冲突，既包括国际武装冲突也包括非国际武装冲突，就此而言提请注意的事实是，无论是《日内瓦四公约》共同的第三条还是《第二附加议定书》都没有具体规定禁止交战报复。因此，应当重新起草这一原则草案，附带适当的但书说明。但也有意见表示，这是委员会在逐步发展国际法方面不妨进入的一个领域，以便将禁止报复扩展到非国际性武装冲突。</w:t>
      </w:r>
    </w:p>
    <w:p w:rsidR="00DB3DD4" w:rsidRPr="00751823"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(i)</w:t>
      </w:r>
      <w:r w:rsidRPr="00BB6462">
        <w:tab/>
      </w:r>
      <w:r w:rsidRPr="00BB6462">
        <w:rPr>
          <w:rFonts w:hint="eastAsia"/>
        </w:rPr>
        <w:t>原则草案</w:t>
      </w:r>
      <w:r w:rsidRPr="00BB6462">
        <w:t>5</w:t>
      </w:r>
    </w:p>
    <w:p w:rsidR="00DB3DD4" w:rsidRPr="00751823"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159</w:t>
      </w:r>
      <w:r w:rsidRPr="00BB6462">
        <w:t xml:space="preserve">.  </w:t>
      </w:r>
      <w:r w:rsidRPr="00BB6462">
        <w:rPr>
          <w:rFonts w:hint="eastAsia"/>
        </w:rPr>
        <w:t>原则草案</w:t>
      </w:r>
      <w:r w:rsidRPr="00BB6462">
        <w:t>5</w:t>
      </w:r>
      <w:r w:rsidRPr="00BB6462">
        <w:rPr>
          <w:rFonts w:hint="eastAsia"/>
        </w:rPr>
        <w:t>涉及在军事冲突之前或之初将有重大生态意义的地区指定为非军事区，若干委员对这条草案的主旨表示支持，但他们同时也认为，这提出了若干重要问题，对于这样一条规定的实际适用及其规范性影响，都需要进一步研究。不过也有人对于这项原则草案的法律基础及其实现表示怀疑。</w:t>
      </w:r>
    </w:p>
    <w:p w:rsidR="00B146B8" w:rsidRDefault="00DB3DD4" w:rsidP="00DB3DD4">
      <w:pPr>
        <w:pStyle w:val="SingleTxt"/>
      </w:pPr>
      <w:r w:rsidRPr="00BB6462">
        <w:rPr>
          <w:rFonts w:hint="eastAsia"/>
        </w:rPr>
        <w:t>160</w:t>
      </w:r>
      <w:r w:rsidRPr="00BB6462">
        <w:t xml:space="preserve">.  </w:t>
      </w:r>
      <w:r w:rsidRPr="00BB6462">
        <w:rPr>
          <w:rFonts w:hint="eastAsia"/>
        </w:rPr>
        <w:t>有些委员认为，这条规定与第一阶段即和平时期的义务有关，其他一些委员指出，这也可适用于第二阶段即武装冲突期间，或甚至是关于冲突后义务的第三阶段。因此有人建议扩展原则草案</w:t>
      </w:r>
      <w:r w:rsidRPr="00BB6462">
        <w:t>5</w:t>
      </w:r>
      <w:r w:rsidRPr="00BB6462">
        <w:rPr>
          <w:rFonts w:hint="eastAsia"/>
        </w:rPr>
        <w:t>的时间范围，并处理这种非军事区对冲突其他当</w:t>
      </w:r>
    </w:p>
    <w:p w:rsidR="00DB3DD4" w:rsidRPr="00BB6462" w:rsidRDefault="00DB3DD4" w:rsidP="00DB3DD4">
      <w:pPr>
        <w:pStyle w:val="SingleTxt"/>
      </w:pPr>
      <w:r w:rsidRPr="00BB6462">
        <w:rPr>
          <w:rFonts w:hint="eastAsia"/>
        </w:rPr>
        <w:lastRenderedPageBreak/>
        <w:t>事方的法律影响，包括不对之实施攻击的义务。有意见认为，冲突各方就设立此种地区缔结相互之间的协定所能提供的保护程度高于单方面的指定，原则草案应当列有这方面的措辞。有些委员还表示认为，文化和自然遗址应当划入这一条款草案的范围。有一项建议是，关于无核武器区的环境保护，以及关于第三国落实所承担的尊重这类地区的义务的必要性，可单列一条原则草案。</w:t>
      </w:r>
    </w:p>
    <w:p w:rsidR="00DB3DD4" w:rsidRPr="00BB6462" w:rsidRDefault="00DB3DD4" w:rsidP="00DB3DD4">
      <w:pPr>
        <w:pStyle w:val="SingleTxt"/>
      </w:pPr>
      <w:r w:rsidRPr="00BB6462">
        <w:rPr>
          <w:rFonts w:hint="eastAsia"/>
        </w:rPr>
        <w:t>161</w:t>
      </w:r>
      <w:r w:rsidRPr="00BB6462">
        <w:t xml:space="preserve">.  </w:t>
      </w:r>
      <w:r w:rsidRPr="00BB6462">
        <w:rPr>
          <w:rFonts w:hint="eastAsia"/>
        </w:rPr>
        <w:t>若干代表鼓励特别报告员在下一次报告中进一步详细分析这一原则草案涉及到的复杂法律和实际问题，并制订拟议的制度。</w:t>
      </w:r>
    </w:p>
    <w:p w:rsidR="00DB3DD4" w:rsidRPr="00751823" w:rsidRDefault="00DB3DD4" w:rsidP="00DB3DD4">
      <w:pPr>
        <w:pStyle w:val="SingleTxt"/>
        <w:spacing w:after="0" w:line="120" w:lineRule="exact"/>
        <w:rPr>
          <w:sz w:val="10"/>
        </w:rPr>
      </w:pPr>
    </w:p>
    <w:p w:rsidR="00B146B8" w:rsidRPr="00B146B8" w:rsidRDefault="00B146B8" w:rsidP="00B146B8">
      <w:pPr>
        <w:pStyle w:val="Sponsors"/>
        <w:spacing w:line="120" w:lineRule="exact"/>
        <w:rPr>
          <w:sz w:val="10"/>
        </w:rPr>
      </w:pPr>
    </w:p>
    <w:p w:rsidR="00DB3DD4" w:rsidRPr="00BB6462" w:rsidRDefault="00DB3DD4" w:rsidP="00DB3DD4">
      <w:pPr>
        <w:pStyle w:val="Sponsors"/>
      </w:pPr>
      <w:r w:rsidRPr="00BB6462">
        <w:rPr>
          <w:rFonts w:hint="eastAsia"/>
        </w:rPr>
        <w:tab/>
      </w:r>
      <w:r w:rsidRPr="00BB6462">
        <w:t>(j)</w:t>
      </w:r>
      <w:r w:rsidRPr="00BB6462">
        <w:rPr>
          <w:rFonts w:hint="eastAsia"/>
        </w:rPr>
        <w:tab/>
        <w:t>今后的</w:t>
      </w:r>
      <w:r w:rsidRPr="00BB6462">
        <w:t>工作方案</w:t>
      </w:r>
    </w:p>
    <w:p w:rsidR="00DB3DD4" w:rsidRPr="00751823"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162</w:t>
      </w:r>
      <w:r w:rsidRPr="00BB6462">
        <w:t xml:space="preserve">.  </w:t>
      </w:r>
      <w:r w:rsidRPr="00BB6462">
        <w:rPr>
          <w:rFonts w:hint="eastAsia"/>
        </w:rPr>
        <w:t>一些委员表示支持特别报告员的建议，在第三次报告中处理冲突后局势中适用的法律和在第二阶段尚未审议的问题，并提出对这三个阶段的概要分析。但也有意见认为，现在并不完全清楚特别报告员打算在第三次报告之后如何处理这一专题，希望能够对此作进一步澄清。有建议说，为了便利开展工作，可拟订一份特别报告员设想的原则草案的纲要。</w:t>
      </w:r>
    </w:p>
    <w:p w:rsidR="00DB3DD4" w:rsidRPr="00BB6462" w:rsidRDefault="00DB3DD4" w:rsidP="00DB3DD4">
      <w:pPr>
        <w:pStyle w:val="SingleTxt"/>
      </w:pPr>
      <w:r w:rsidRPr="00BB6462">
        <w:rPr>
          <w:rFonts w:hint="eastAsia"/>
        </w:rPr>
        <w:t>163</w:t>
      </w:r>
      <w:r w:rsidRPr="00BB6462">
        <w:t xml:space="preserve">.  </w:t>
      </w:r>
      <w:r w:rsidRPr="00BB6462">
        <w:rPr>
          <w:rFonts w:hint="eastAsia"/>
        </w:rPr>
        <w:t>关于在第三次报告中要审议的具体问题，有意见表示认为，特别报告员应更深入地分析对可能有害影响自然环境的战争手段和方法加以限制的其他国际人道主义法条约，尤其是审视新技术和新武器的发展动态。一些委员对于特别报告员打算结合第二和第三阶段审议占领问题表示欢迎。另外还建议，特别报告员拟订关于武装部队培训和编写及散发有关教材的原则草案。最后，有人表示认为，特别报告员应当提出关于国际组织从法律方面增进与武装冲突有关的环境保护的方法和手段的议案。一些委员鼓励特别报告员相应于不同时段编排未来原则草案的结构。</w:t>
      </w:r>
    </w:p>
    <w:p w:rsidR="00DB3DD4" w:rsidRPr="00BB6462" w:rsidRDefault="00DB3DD4" w:rsidP="00DB3DD4">
      <w:pPr>
        <w:pStyle w:val="SingleTxt"/>
      </w:pPr>
      <w:r w:rsidRPr="00BB6462">
        <w:rPr>
          <w:rFonts w:hint="eastAsia"/>
        </w:rPr>
        <w:t>164</w:t>
      </w:r>
      <w:r w:rsidRPr="00BB6462">
        <w:t xml:space="preserve">.  </w:t>
      </w:r>
      <w:r w:rsidRPr="00BB6462">
        <w:rPr>
          <w:rFonts w:hint="eastAsia"/>
        </w:rPr>
        <w:t>有些代表对于特别报告员打算继续与其他实体如红十字国际委员会、教科文组织和环境署以及区域性组织开展磋商表示欢迎。他们也同意认为，如果各国能继续提供立法实例和有关的判例法将会是有帮助的。</w:t>
      </w:r>
    </w:p>
    <w:p w:rsidR="00DB3DD4" w:rsidRPr="00751823" w:rsidRDefault="00DB3DD4" w:rsidP="00DB3DD4">
      <w:pPr>
        <w:pStyle w:val="SingleTxt"/>
        <w:spacing w:after="0" w:line="120" w:lineRule="exact"/>
        <w:rPr>
          <w:sz w:val="10"/>
        </w:rPr>
      </w:pPr>
    </w:p>
    <w:p w:rsidR="00B146B8" w:rsidRPr="00B146B8" w:rsidRDefault="00B146B8" w:rsidP="00B146B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B3DD4" w:rsidRPr="00BB6462"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6462">
        <w:rPr>
          <w:rFonts w:hint="eastAsia"/>
        </w:rPr>
        <w:tab/>
      </w:r>
      <w:r w:rsidRPr="00BB6462">
        <w:t>3.</w:t>
      </w:r>
      <w:r w:rsidRPr="00BB6462">
        <w:rPr>
          <w:rFonts w:hint="eastAsia"/>
        </w:rPr>
        <w:tab/>
        <w:t>特别报告员的总结</w:t>
      </w:r>
    </w:p>
    <w:p w:rsidR="00DB3DD4" w:rsidRPr="00751823" w:rsidRDefault="00DB3DD4" w:rsidP="00DB3DD4">
      <w:pPr>
        <w:pStyle w:val="SingleTxt"/>
        <w:spacing w:after="0" w:line="120" w:lineRule="exact"/>
        <w:rPr>
          <w:sz w:val="10"/>
        </w:rPr>
      </w:pPr>
    </w:p>
    <w:p w:rsidR="00DB3DD4" w:rsidRPr="00BB6462" w:rsidRDefault="00DB3DD4" w:rsidP="00DB3DD4">
      <w:pPr>
        <w:pStyle w:val="SingleTxt"/>
      </w:pPr>
      <w:r w:rsidRPr="00BB6462">
        <w:rPr>
          <w:rFonts w:hint="eastAsia"/>
        </w:rPr>
        <w:t>165</w:t>
      </w:r>
      <w:r w:rsidRPr="00BB6462">
        <w:t xml:space="preserve">.  </w:t>
      </w:r>
      <w:r w:rsidRPr="00BB6462">
        <w:rPr>
          <w:rFonts w:hint="eastAsia"/>
        </w:rPr>
        <w:t>从全体辩论过程中提出的关于报告和原则草案的编排和方法的评论看，特别报告员认为，应该澄清，专题的总体纲要由若干组原则草案构成，按照其功能用途分门别类，以便尽可能反映三个时间阶段。另外还重申，本报告中提出的原则草案与第二时间段</w:t>
      </w:r>
      <w:r w:rsidRPr="00BB6462">
        <w:rPr>
          <w:rFonts w:hint="eastAsia"/>
        </w:rPr>
        <w:t>(</w:t>
      </w:r>
      <w:r w:rsidRPr="00BB6462">
        <w:rPr>
          <w:rFonts w:hint="eastAsia"/>
        </w:rPr>
        <w:t>即武装冲突期间</w:t>
      </w:r>
      <w:r w:rsidRPr="00BB6462">
        <w:rPr>
          <w:rFonts w:hint="eastAsia"/>
        </w:rPr>
        <w:t>)</w:t>
      </w:r>
      <w:r w:rsidRPr="00BB6462">
        <w:rPr>
          <w:rFonts w:hint="eastAsia"/>
        </w:rPr>
        <w:t>相关，这是报告的重点。因此，原则草案的位置和编号应该从这个角度看，所以是临时性的，在未来的一份报告中还要加上关于第一和第三时间段的原则草案。特别报告员同样认为，这一专题需要一份妥当的序言，可在这个进程的某个较迟阶段拟订。另外，特别报告员强调，武装冲突期间另外还可适用哪些规则，包括国际环境法的规则和原则，是本专题的核心问题，因此，她完全同意关于需要处理这些问题的评论。但是，第二次报告的重点是找到武装冲突法中与环境保护有关的规则和原则，就此而言，在这一研究中增添其他法域是不可能的。这样一番研究将在以后的某个阶段进行。</w:t>
      </w:r>
    </w:p>
    <w:p w:rsidR="00DB3DD4" w:rsidRPr="00BB6462" w:rsidRDefault="00DB3DD4" w:rsidP="00DB3DD4">
      <w:pPr>
        <w:pStyle w:val="SingleTxt"/>
      </w:pPr>
      <w:r w:rsidRPr="00BB6462">
        <w:rPr>
          <w:rFonts w:hint="eastAsia"/>
        </w:rPr>
        <w:lastRenderedPageBreak/>
        <w:t>166</w:t>
      </w:r>
      <w:r w:rsidRPr="00BB6462">
        <w:t xml:space="preserve">.  </w:t>
      </w:r>
      <w:r w:rsidRPr="00BB6462">
        <w:rPr>
          <w:rFonts w:hint="eastAsia"/>
        </w:rPr>
        <w:t>关于原则草案中既使用“环境”又使用“自然环境”的用语的问题，特别报告员在答复时解释说，这样做背后的理由关系到专题的范围，专题是宽泛的，提到的用语是“环境”。因此这必须体现在关于范围和宗旨的规定中。但是，关于第二阶段的原则草案反映的是武装冲突法的条款，而这些条款中使用的概念是相对狭义的，即“自然环境”。为了不被误解为扩展武装冲突法的范围，在这一具体问题上保留了自然环境一语。这两个用语想要把握的就是这个区别。</w:t>
      </w:r>
    </w:p>
    <w:p w:rsidR="00DB3DD4" w:rsidRPr="00BB6462" w:rsidRDefault="00DB3DD4" w:rsidP="00DB3DD4">
      <w:pPr>
        <w:pStyle w:val="SingleTxt"/>
      </w:pPr>
      <w:r w:rsidRPr="00BB6462">
        <w:rPr>
          <w:rFonts w:hint="eastAsia"/>
        </w:rPr>
        <w:t>167</w:t>
      </w:r>
      <w:r w:rsidRPr="00BB6462">
        <w:t xml:space="preserve">.  </w:t>
      </w:r>
      <w:r w:rsidRPr="00BB6462">
        <w:rPr>
          <w:rFonts w:hint="eastAsia"/>
        </w:rPr>
        <w:t>特别报告员指出，原则草案</w:t>
      </w:r>
      <w:r w:rsidRPr="00BB6462">
        <w:t>1</w:t>
      </w:r>
      <w:r w:rsidRPr="00BB6462">
        <w:rPr>
          <w:rFonts w:hint="eastAsia"/>
        </w:rPr>
        <w:t>引起了不少辩论。她澄清说，“环境属民用性质”这一拟议措辞是参考了武装冲突法中民用物体和军事目标之间的区分原则，也就是说，就武装冲突法的适用而言，环境属于这两类中的某一类，非此即彼。她在措辞中想要把握的就是这一概念。她没有把环境称为一种民用“物体”，因为这可能引起混乱，尽管她认为环境的组成部分可以构成一种民用物体。不过，她同意认为，把整个环境贴上“物体”的标签是不妥当的。由于这一提法造成了某种混淆，她认为较好的办法或许是避免今后在原则草案中继续使用。</w:t>
      </w:r>
    </w:p>
    <w:p w:rsidR="00DB3DD4" w:rsidRPr="00BB6462" w:rsidRDefault="00DB3DD4" w:rsidP="00DB3DD4">
      <w:pPr>
        <w:pStyle w:val="SingleTxt"/>
      </w:pPr>
      <w:r w:rsidRPr="00BB6462">
        <w:rPr>
          <w:rFonts w:hint="eastAsia"/>
        </w:rPr>
        <w:t>168</w:t>
      </w:r>
      <w:r w:rsidRPr="00BB6462">
        <w:t xml:space="preserve">.  </w:t>
      </w:r>
      <w:r w:rsidRPr="00BB6462">
        <w:rPr>
          <w:rFonts w:hint="eastAsia"/>
        </w:rPr>
        <w:t>关于“附带损害”一语，特别报告员说，这个概念几乎已经成了平民和民用财产由于某种合法攻击而可能受到的损害的同义词，与相称性原则直接相联。考虑到辩论中提出的评论，特别报告员建议，可从原则草案中删去这个用语。</w:t>
      </w:r>
    </w:p>
    <w:p w:rsidR="00DB3DD4" w:rsidRPr="00BB6462" w:rsidRDefault="00DB3DD4" w:rsidP="00DB3DD4">
      <w:pPr>
        <w:pStyle w:val="SingleTxt"/>
      </w:pPr>
      <w:r w:rsidRPr="00BB6462">
        <w:rPr>
          <w:rFonts w:hint="eastAsia"/>
        </w:rPr>
        <w:t>169</w:t>
      </w:r>
      <w:r w:rsidRPr="00BB6462">
        <w:t xml:space="preserve">.  </w:t>
      </w:r>
      <w:r w:rsidRPr="00BB6462">
        <w:rPr>
          <w:rFonts w:hint="eastAsia"/>
        </w:rPr>
        <w:t>有些委员表示认为，禁止报复不是习惯国际法下的一条规则，对此，特别报告员强调说，本专题的目的不是要建立习惯法规则，而是要订立一种标准。另外，由于《第一附加议定书》的缔约国数目众多，如果委员会不能承认这一重要的禁止或加以贬低，将是令人遗憾的。</w:t>
      </w:r>
    </w:p>
    <w:p w:rsidR="002E132F" w:rsidRDefault="00DB3DD4" w:rsidP="00DB3DD4">
      <w:pPr>
        <w:pStyle w:val="SingleTxt"/>
      </w:pPr>
      <w:r w:rsidRPr="00BB6462">
        <w:rPr>
          <w:rFonts w:hint="eastAsia"/>
        </w:rPr>
        <w:t>170</w:t>
      </w:r>
      <w:r w:rsidRPr="00BB6462">
        <w:t xml:space="preserve">.  </w:t>
      </w:r>
      <w:r w:rsidRPr="00BB6462">
        <w:rPr>
          <w:rFonts w:hint="eastAsia"/>
        </w:rPr>
        <w:t>最后，特别报告员表示认为，对于武装冲突法中使用的某些术语，委员会试图处理门槛问题是不妥当的，尤其不应像有些委员所建议的那样涉及《第一附加议定书》第三十五条和第五十五条。</w:t>
      </w:r>
    </w:p>
    <w:p w:rsidR="00DB3DD4" w:rsidRDefault="00DB3DD4">
      <w:pPr>
        <w:spacing w:line="240" w:lineRule="auto"/>
        <w:jc w:val="left"/>
      </w:pPr>
      <w:r>
        <w:br w:type="page"/>
      </w:r>
    </w:p>
    <w:p w:rsidR="00DB3DD4" w:rsidRPr="00DB3DD4"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B3DD4"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9C6DB2">
        <w:rPr>
          <w:rFonts w:hint="eastAsia"/>
        </w:rPr>
        <w:t>第十章</w:t>
      </w:r>
      <w:r w:rsidRPr="009C6DB2">
        <w:rPr>
          <w:rFonts w:hint="eastAsia"/>
        </w:rPr>
        <w:br/>
        <w:t>国家官员的外国刑事管辖豁免</w:t>
      </w:r>
    </w:p>
    <w:p w:rsidR="00DB3DD4" w:rsidRPr="00434FDC" w:rsidRDefault="00DB3DD4" w:rsidP="00DB3DD4">
      <w:pPr>
        <w:pStyle w:val="SingleTxt"/>
        <w:spacing w:after="0" w:line="120" w:lineRule="exact"/>
        <w:rPr>
          <w:sz w:val="10"/>
        </w:rPr>
      </w:pPr>
    </w:p>
    <w:p w:rsidR="00DB3DD4" w:rsidRPr="00434FDC" w:rsidRDefault="00DB3DD4" w:rsidP="00DB3DD4">
      <w:pPr>
        <w:pStyle w:val="SingleTxt"/>
        <w:spacing w:after="0" w:line="120" w:lineRule="exact"/>
        <w:rPr>
          <w:sz w:val="10"/>
        </w:rPr>
      </w:pPr>
    </w:p>
    <w:p w:rsidR="00DB3DD4" w:rsidRPr="00DB3DD4"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66" w:name="_Toc398107311"/>
    </w:p>
    <w:p w:rsidR="00DB3DD4"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t>A</w:t>
      </w:r>
      <w:r w:rsidRPr="009C6DB2">
        <w:t>.</w:t>
      </w:r>
      <w:r w:rsidRPr="009C6DB2">
        <w:tab/>
      </w:r>
      <w:bookmarkEnd w:id="66"/>
      <w:r w:rsidRPr="009C6DB2">
        <w:rPr>
          <w:rFonts w:hint="eastAsia"/>
        </w:rPr>
        <w:t>导言</w:t>
      </w:r>
    </w:p>
    <w:p w:rsidR="00DB3DD4" w:rsidRPr="00434FDC" w:rsidRDefault="00DB3DD4" w:rsidP="00DB3DD4">
      <w:pPr>
        <w:pStyle w:val="SingleTxt"/>
        <w:spacing w:after="0" w:line="120" w:lineRule="exact"/>
        <w:rPr>
          <w:sz w:val="10"/>
        </w:rPr>
      </w:pPr>
    </w:p>
    <w:p w:rsidR="00DB3DD4" w:rsidRPr="00434FDC" w:rsidRDefault="00DB3DD4" w:rsidP="00DB3DD4">
      <w:pPr>
        <w:pStyle w:val="SingleTxt"/>
        <w:spacing w:after="0" w:line="120" w:lineRule="exact"/>
        <w:rPr>
          <w:sz w:val="10"/>
        </w:rPr>
      </w:pPr>
    </w:p>
    <w:p w:rsidR="00DB3DD4" w:rsidRPr="009C6DB2" w:rsidRDefault="00DB3DD4" w:rsidP="00DB3DD4">
      <w:pPr>
        <w:pStyle w:val="SingleTxt"/>
      </w:pPr>
      <w:r>
        <w:t>1</w:t>
      </w:r>
      <w:r w:rsidRPr="009C6DB2">
        <w:rPr>
          <w:rFonts w:hint="eastAsia"/>
        </w:rPr>
        <w:t>7</w:t>
      </w:r>
      <w:r>
        <w:rPr>
          <w:rFonts w:hint="eastAsia"/>
        </w:rPr>
        <w:t>1</w:t>
      </w:r>
      <w:r w:rsidRPr="009C6DB2">
        <w:t xml:space="preserve">.  </w:t>
      </w:r>
      <w:r w:rsidRPr="009C6DB2">
        <w:rPr>
          <w:snapToGrid w:val="0"/>
        </w:rPr>
        <w:t>委员会在第五十九届会议</w:t>
      </w:r>
      <w:r w:rsidRPr="009C6DB2">
        <w:rPr>
          <w:snapToGrid w:val="0"/>
        </w:rPr>
        <w:t>(</w:t>
      </w:r>
      <w:r>
        <w:rPr>
          <w:snapToGrid w:val="0"/>
        </w:rPr>
        <w:t>2</w:t>
      </w:r>
      <w:r w:rsidRPr="009C6DB2">
        <w:rPr>
          <w:snapToGrid w:val="0"/>
        </w:rPr>
        <w:t>007</w:t>
      </w:r>
      <w:r w:rsidRPr="009C6DB2">
        <w:rPr>
          <w:snapToGrid w:val="0"/>
        </w:rPr>
        <w:t>年</w:t>
      </w:r>
      <w:r w:rsidRPr="009C6DB2">
        <w:rPr>
          <w:snapToGrid w:val="0"/>
        </w:rPr>
        <w:t>)</w:t>
      </w:r>
      <w:r w:rsidRPr="009C6DB2">
        <w:rPr>
          <w:snapToGrid w:val="0"/>
        </w:rPr>
        <w:t>上决定将</w:t>
      </w:r>
      <w:r w:rsidRPr="00572707">
        <w:rPr>
          <w:rFonts w:ascii="宋体" w:hAnsi="宋体"/>
          <w:snapToGrid w:val="0"/>
        </w:rPr>
        <w:t>“国家官员的外国刑事管辖豁免”</w:t>
      </w:r>
      <w:r w:rsidRPr="009C6DB2">
        <w:rPr>
          <w:snapToGrid w:val="0"/>
        </w:rPr>
        <w:t>专题列入工作方案，并任命罗曼</w:t>
      </w:r>
      <w:r w:rsidRPr="009C6DB2">
        <w:rPr>
          <w:rFonts w:hint="eastAsia"/>
        </w:rPr>
        <w:t>·</w:t>
      </w:r>
      <w:r w:rsidRPr="009C6DB2">
        <w:rPr>
          <w:snapToGrid w:val="0"/>
        </w:rPr>
        <w:t>阿</w:t>
      </w:r>
      <w:r w:rsidRPr="009C6DB2">
        <w:rPr>
          <w:rFonts w:hint="eastAsia"/>
        </w:rPr>
        <w:t>·</w:t>
      </w:r>
      <w:r w:rsidRPr="009C6DB2">
        <w:rPr>
          <w:snapToGrid w:val="0"/>
        </w:rPr>
        <w:t>科洛德金先生为特别报告员。</w:t>
      </w:r>
      <w:r w:rsidRPr="003F1277">
        <w:rPr>
          <w:color w:val="0000FF"/>
          <w:w w:val="150"/>
          <w:szCs w:val="24"/>
          <w:vertAlign w:val="superscript"/>
        </w:rPr>
        <w:footnoteReference w:id="382"/>
      </w:r>
      <w:r w:rsidRPr="009C6DB2">
        <w:rPr>
          <w:rFonts w:hint="eastAsia"/>
          <w:snapToGrid w:val="0"/>
        </w:rPr>
        <w:t xml:space="preserve"> </w:t>
      </w:r>
      <w:r w:rsidRPr="009C6DB2">
        <w:rPr>
          <w:snapToGrid w:val="0"/>
        </w:rPr>
        <w:t>同届会议上，委员会请秘书处编写一份关于此专题的背景研究报告，该研究报告提交给了委员会第六十届会议。</w:t>
      </w:r>
      <w:r w:rsidRPr="003F1277">
        <w:rPr>
          <w:color w:val="0000FF"/>
          <w:w w:val="150"/>
          <w:szCs w:val="24"/>
          <w:vertAlign w:val="superscript"/>
        </w:rPr>
        <w:footnoteReference w:id="383"/>
      </w:r>
    </w:p>
    <w:p w:rsidR="00DB3DD4" w:rsidRPr="009C6DB2" w:rsidRDefault="00DB3DD4" w:rsidP="00DB3DD4">
      <w:pPr>
        <w:pStyle w:val="SingleTxt"/>
      </w:pPr>
      <w:r>
        <w:rPr>
          <w:rFonts w:hint="eastAsia"/>
        </w:rPr>
        <w:t>1</w:t>
      </w:r>
      <w:r w:rsidRPr="009C6DB2">
        <w:rPr>
          <w:rFonts w:hint="eastAsia"/>
        </w:rPr>
        <w:t>7</w:t>
      </w:r>
      <w:r>
        <w:rPr>
          <w:rFonts w:hint="eastAsia"/>
        </w:rPr>
        <w:t>2</w:t>
      </w:r>
      <w:r w:rsidRPr="009C6DB2">
        <w:t>.</w:t>
      </w:r>
      <w:r w:rsidRPr="009C6DB2">
        <w:rPr>
          <w:rFonts w:hint="eastAsia"/>
        </w:rPr>
        <w:t xml:space="preserve">  </w:t>
      </w:r>
      <w:r w:rsidRPr="009C6DB2">
        <w:rPr>
          <w:snapToGrid w:val="0"/>
        </w:rPr>
        <w:t>特别报告员提交了三</w:t>
      </w:r>
      <w:r w:rsidRPr="009C6DB2">
        <w:rPr>
          <w:rFonts w:hint="eastAsia"/>
          <w:snapToGrid w:val="0"/>
        </w:rPr>
        <w:t>次</w:t>
      </w:r>
      <w:r w:rsidRPr="009C6DB2">
        <w:rPr>
          <w:snapToGrid w:val="0"/>
        </w:rPr>
        <w:t>报告。委员会第六十届会议</w:t>
      </w:r>
      <w:r w:rsidRPr="009C6DB2">
        <w:rPr>
          <w:snapToGrid w:val="0"/>
        </w:rPr>
        <w:t>(</w:t>
      </w:r>
      <w:r>
        <w:rPr>
          <w:snapToGrid w:val="0"/>
        </w:rPr>
        <w:t>2</w:t>
      </w:r>
      <w:r w:rsidRPr="009C6DB2">
        <w:rPr>
          <w:snapToGrid w:val="0"/>
        </w:rPr>
        <w:t>008</w:t>
      </w:r>
      <w:r w:rsidRPr="009C6DB2">
        <w:rPr>
          <w:snapToGrid w:val="0"/>
        </w:rPr>
        <w:t>年</w:t>
      </w:r>
      <w:r w:rsidRPr="009C6DB2">
        <w:rPr>
          <w:snapToGrid w:val="0"/>
        </w:rPr>
        <w:t>)</w:t>
      </w:r>
      <w:r w:rsidRPr="009C6DB2">
        <w:rPr>
          <w:snapToGrid w:val="0"/>
        </w:rPr>
        <w:t>收到并审议了初步报告，第六十三届会议</w:t>
      </w:r>
      <w:r w:rsidRPr="009C6DB2">
        <w:rPr>
          <w:snapToGrid w:val="0"/>
        </w:rPr>
        <w:t>(</w:t>
      </w:r>
      <w:r>
        <w:rPr>
          <w:snapToGrid w:val="0"/>
        </w:rPr>
        <w:t>2</w:t>
      </w:r>
      <w:r w:rsidRPr="009C6DB2">
        <w:rPr>
          <w:snapToGrid w:val="0"/>
        </w:rPr>
        <w:t>0</w:t>
      </w:r>
      <w:r>
        <w:rPr>
          <w:snapToGrid w:val="0"/>
        </w:rPr>
        <w:t>11</w:t>
      </w:r>
      <w:r w:rsidRPr="009C6DB2">
        <w:rPr>
          <w:snapToGrid w:val="0"/>
        </w:rPr>
        <w:t>年</w:t>
      </w:r>
      <w:r w:rsidRPr="009C6DB2">
        <w:rPr>
          <w:snapToGrid w:val="0"/>
        </w:rPr>
        <w:t>)</w:t>
      </w:r>
      <w:r w:rsidRPr="009C6DB2">
        <w:rPr>
          <w:snapToGrid w:val="0"/>
        </w:rPr>
        <w:t>收到并审议了第二次和第三次报告。</w:t>
      </w:r>
      <w:r w:rsidRPr="003F1277">
        <w:rPr>
          <w:color w:val="0000FF"/>
          <w:w w:val="150"/>
          <w:szCs w:val="24"/>
          <w:vertAlign w:val="superscript"/>
        </w:rPr>
        <w:footnoteReference w:id="384"/>
      </w:r>
      <w:r w:rsidRPr="009C6DB2">
        <w:rPr>
          <w:rFonts w:hint="eastAsia"/>
          <w:snapToGrid w:val="0"/>
        </w:rPr>
        <w:t xml:space="preserve"> </w:t>
      </w:r>
      <w:r w:rsidRPr="009C6DB2">
        <w:rPr>
          <w:snapToGrid w:val="0"/>
        </w:rPr>
        <w:t>委员会第六十一届</w:t>
      </w:r>
      <w:r w:rsidRPr="009C6DB2">
        <w:rPr>
          <w:snapToGrid w:val="0"/>
        </w:rPr>
        <w:t>(</w:t>
      </w:r>
      <w:r>
        <w:rPr>
          <w:snapToGrid w:val="0"/>
        </w:rPr>
        <w:t>2</w:t>
      </w:r>
      <w:r w:rsidRPr="009C6DB2">
        <w:rPr>
          <w:snapToGrid w:val="0"/>
        </w:rPr>
        <w:t>009</w:t>
      </w:r>
      <w:r w:rsidRPr="009C6DB2">
        <w:rPr>
          <w:snapToGrid w:val="0"/>
        </w:rPr>
        <w:t>年</w:t>
      </w:r>
      <w:r w:rsidRPr="009C6DB2">
        <w:rPr>
          <w:snapToGrid w:val="0"/>
        </w:rPr>
        <w:t>)</w:t>
      </w:r>
      <w:r w:rsidRPr="009C6DB2">
        <w:rPr>
          <w:snapToGrid w:val="0"/>
        </w:rPr>
        <w:t>和第六十二届会议</w:t>
      </w:r>
      <w:r w:rsidRPr="009C6DB2">
        <w:rPr>
          <w:snapToGrid w:val="0"/>
        </w:rPr>
        <w:t>(</w:t>
      </w:r>
      <w:r>
        <w:rPr>
          <w:snapToGrid w:val="0"/>
        </w:rPr>
        <w:t>2</w:t>
      </w:r>
      <w:r w:rsidRPr="009C6DB2">
        <w:rPr>
          <w:snapToGrid w:val="0"/>
        </w:rPr>
        <w:t>0</w:t>
      </w:r>
      <w:r>
        <w:rPr>
          <w:snapToGrid w:val="0"/>
        </w:rPr>
        <w:t>1</w:t>
      </w:r>
      <w:r w:rsidRPr="009C6DB2">
        <w:rPr>
          <w:snapToGrid w:val="0"/>
        </w:rPr>
        <w:t>0</w:t>
      </w:r>
      <w:r w:rsidRPr="009C6DB2">
        <w:rPr>
          <w:snapToGrid w:val="0"/>
        </w:rPr>
        <w:t>年</w:t>
      </w:r>
      <w:r w:rsidRPr="009C6DB2">
        <w:rPr>
          <w:snapToGrid w:val="0"/>
        </w:rPr>
        <w:t>)</w:t>
      </w:r>
      <w:r w:rsidRPr="009C6DB2">
        <w:rPr>
          <w:snapToGrid w:val="0"/>
        </w:rPr>
        <w:t>未能审议本专题。</w:t>
      </w:r>
      <w:r w:rsidRPr="003F1277">
        <w:rPr>
          <w:color w:val="0000FF"/>
          <w:w w:val="150"/>
          <w:szCs w:val="24"/>
          <w:vertAlign w:val="superscript"/>
        </w:rPr>
        <w:footnoteReference w:id="385"/>
      </w:r>
    </w:p>
    <w:p w:rsidR="00DB3DD4" w:rsidRDefault="00DB3DD4" w:rsidP="00DB3DD4">
      <w:pPr>
        <w:pStyle w:val="SingleTxt"/>
        <w:rPr>
          <w:snapToGrid w:val="0"/>
        </w:rPr>
      </w:pPr>
      <w:r>
        <w:rPr>
          <w:rFonts w:hint="eastAsia"/>
        </w:rPr>
        <w:t>1</w:t>
      </w:r>
      <w:r w:rsidRPr="009C6DB2">
        <w:rPr>
          <w:rFonts w:hint="eastAsia"/>
        </w:rPr>
        <w:t>7</w:t>
      </w:r>
      <w:r>
        <w:rPr>
          <w:rFonts w:hint="eastAsia"/>
        </w:rPr>
        <w:t>3</w:t>
      </w:r>
      <w:r w:rsidRPr="009C6DB2">
        <w:t>.</w:t>
      </w:r>
      <w:r w:rsidRPr="009C6DB2">
        <w:rPr>
          <w:rFonts w:hint="eastAsia"/>
        </w:rPr>
        <w:t xml:space="preserve">  </w:t>
      </w:r>
      <w:r w:rsidRPr="009C6DB2">
        <w:rPr>
          <w:snapToGrid w:val="0"/>
        </w:rPr>
        <w:t>委员会第六十四届会议</w:t>
      </w:r>
      <w:r w:rsidRPr="009C6DB2">
        <w:rPr>
          <w:snapToGrid w:val="0"/>
        </w:rPr>
        <w:t>(</w:t>
      </w:r>
      <w:r>
        <w:rPr>
          <w:snapToGrid w:val="0"/>
        </w:rPr>
        <w:t>2</w:t>
      </w:r>
      <w:r w:rsidRPr="009C6DB2">
        <w:rPr>
          <w:snapToGrid w:val="0"/>
        </w:rPr>
        <w:t>0</w:t>
      </w:r>
      <w:r>
        <w:rPr>
          <w:snapToGrid w:val="0"/>
        </w:rPr>
        <w:t>12</w:t>
      </w:r>
      <w:r w:rsidRPr="009C6DB2">
        <w:rPr>
          <w:snapToGrid w:val="0"/>
        </w:rPr>
        <w:t>年</w:t>
      </w:r>
      <w:r w:rsidRPr="009C6DB2">
        <w:rPr>
          <w:snapToGrid w:val="0"/>
        </w:rPr>
        <w:t>)</w:t>
      </w:r>
      <w:r w:rsidRPr="009C6DB2">
        <w:rPr>
          <w:snapToGrid w:val="0"/>
        </w:rPr>
        <w:t>任命康塞普西翁</w:t>
      </w:r>
      <w:r w:rsidRPr="009C6DB2">
        <w:rPr>
          <w:rFonts w:hint="eastAsia"/>
          <w:snapToGrid w:val="0"/>
        </w:rPr>
        <w:t>·</w:t>
      </w:r>
      <w:r w:rsidRPr="009C6DB2">
        <w:rPr>
          <w:snapToGrid w:val="0"/>
        </w:rPr>
        <w:t>埃斯科瓦尔</w:t>
      </w:r>
      <w:r w:rsidRPr="009C6DB2">
        <w:rPr>
          <w:rFonts w:hint="eastAsia"/>
          <w:snapToGrid w:val="0"/>
        </w:rPr>
        <w:t>·</w:t>
      </w:r>
      <w:r w:rsidRPr="009C6DB2">
        <w:rPr>
          <w:snapToGrid w:val="0"/>
        </w:rPr>
        <w:t>埃尔南德斯女士代替科洛德金先生担任特别报告员，科洛德金先生不再担任委员会委员。委员会同届会议</w:t>
      </w:r>
      <w:r w:rsidRPr="009C6DB2">
        <w:rPr>
          <w:snapToGrid w:val="0"/>
        </w:rPr>
        <w:t>(</w:t>
      </w:r>
      <w:r>
        <w:rPr>
          <w:snapToGrid w:val="0"/>
        </w:rPr>
        <w:t>2</w:t>
      </w:r>
      <w:r w:rsidRPr="009C6DB2">
        <w:rPr>
          <w:snapToGrid w:val="0"/>
        </w:rPr>
        <w:t>0</w:t>
      </w:r>
      <w:r>
        <w:rPr>
          <w:snapToGrid w:val="0"/>
        </w:rPr>
        <w:t>12</w:t>
      </w:r>
      <w:r w:rsidRPr="009C6DB2">
        <w:rPr>
          <w:snapToGrid w:val="0"/>
        </w:rPr>
        <w:t>年</w:t>
      </w:r>
      <w:r w:rsidRPr="009C6DB2">
        <w:rPr>
          <w:snapToGrid w:val="0"/>
        </w:rPr>
        <w:t>)</w:t>
      </w:r>
      <w:r w:rsidRPr="009C6DB2">
        <w:rPr>
          <w:snapToGrid w:val="0"/>
        </w:rPr>
        <w:t>收到并审议了特别报告员提交的初步报告，第六十</w:t>
      </w:r>
      <w:r w:rsidRPr="009C6DB2">
        <w:rPr>
          <w:rFonts w:hint="eastAsia"/>
          <w:snapToGrid w:val="0"/>
        </w:rPr>
        <w:t>五</w:t>
      </w:r>
      <w:r w:rsidRPr="009C6DB2">
        <w:rPr>
          <w:snapToGrid w:val="0"/>
        </w:rPr>
        <w:t>届会议</w:t>
      </w:r>
      <w:r w:rsidRPr="00BD5A0E">
        <w:rPr>
          <w:rFonts w:hint="eastAsia"/>
          <w:snapToGrid w:val="0"/>
          <w:spacing w:val="-4"/>
        </w:rPr>
        <w:t>(2013</w:t>
      </w:r>
      <w:r w:rsidRPr="00BD5A0E">
        <w:rPr>
          <w:rFonts w:hint="eastAsia"/>
          <w:snapToGrid w:val="0"/>
          <w:spacing w:val="-4"/>
        </w:rPr>
        <w:t>年</w:t>
      </w:r>
      <w:r w:rsidRPr="00BD5A0E">
        <w:rPr>
          <w:rFonts w:hint="eastAsia"/>
          <w:snapToGrid w:val="0"/>
          <w:spacing w:val="-4"/>
        </w:rPr>
        <w:t>)</w:t>
      </w:r>
      <w:r w:rsidRPr="00BD5A0E">
        <w:rPr>
          <w:snapToGrid w:val="0"/>
          <w:spacing w:val="-4"/>
        </w:rPr>
        <w:t>收到了她的第二次报告</w:t>
      </w:r>
      <w:r w:rsidRPr="00BD5A0E">
        <w:rPr>
          <w:rFonts w:hint="eastAsia"/>
          <w:snapToGrid w:val="0"/>
          <w:spacing w:val="-4"/>
        </w:rPr>
        <w:t>，第六十六届会议</w:t>
      </w:r>
      <w:r w:rsidRPr="00BD5A0E">
        <w:rPr>
          <w:rFonts w:hint="eastAsia"/>
          <w:snapToGrid w:val="0"/>
          <w:spacing w:val="-4"/>
        </w:rPr>
        <w:t>(2014</w:t>
      </w:r>
      <w:r w:rsidRPr="00BD5A0E">
        <w:rPr>
          <w:rFonts w:hint="eastAsia"/>
          <w:snapToGrid w:val="0"/>
          <w:spacing w:val="-4"/>
        </w:rPr>
        <w:t>年</w:t>
      </w:r>
      <w:r w:rsidRPr="00BD5A0E">
        <w:rPr>
          <w:rFonts w:hint="eastAsia"/>
          <w:snapToGrid w:val="0"/>
          <w:spacing w:val="-4"/>
        </w:rPr>
        <w:t>)</w:t>
      </w:r>
      <w:r w:rsidRPr="00BD5A0E">
        <w:rPr>
          <w:rFonts w:hint="eastAsia"/>
          <w:snapToGrid w:val="0"/>
          <w:spacing w:val="-4"/>
        </w:rPr>
        <w:t>收到了她的第三次报告。</w:t>
      </w:r>
      <w:r w:rsidRPr="003F1277">
        <w:rPr>
          <w:color w:val="0000FF"/>
          <w:w w:val="150"/>
          <w:szCs w:val="24"/>
          <w:vertAlign w:val="superscript"/>
        </w:rPr>
        <w:footnoteReference w:id="386"/>
      </w:r>
      <w:r w:rsidRPr="009C6DB2">
        <w:rPr>
          <w:rFonts w:hint="eastAsia"/>
          <w:snapToGrid w:val="0"/>
        </w:rPr>
        <w:t xml:space="preserve"> </w:t>
      </w:r>
      <w:r w:rsidRPr="009C6DB2">
        <w:rPr>
          <w:rFonts w:hint="eastAsia"/>
          <w:snapToGrid w:val="0"/>
        </w:rPr>
        <w:t>委员会在特别报告员第二和第三次报告提出的条款草案基础上，迄今为止暂时通过了五条草案及相关评注。关于术语的使用的第</w:t>
      </w:r>
      <w:r>
        <w:rPr>
          <w:rFonts w:hint="eastAsia"/>
          <w:snapToGrid w:val="0"/>
        </w:rPr>
        <w:t>2</w:t>
      </w:r>
      <w:r w:rsidRPr="009C6DB2">
        <w:rPr>
          <w:rFonts w:hint="eastAsia"/>
          <w:snapToGrid w:val="0"/>
        </w:rPr>
        <w:t>条草案案文仍处在拟订过程中。</w:t>
      </w:r>
      <w:r w:rsidRPr="003F1277">
        <w:rPr>
          <w:color w:val="0000FF"/>
          <w:w w:val="150"/>
          <w:szCs w:val="24"/>
          <w:vertAlign w:val="superscript"/>
        </w:rPr>
        <w:footnoteReference w:id="387"/>
      </w:r>
    </w:p>
    <w:p w:rsidR="00DB3DD4" w:rsidRPr="00434FDC" w:rsidRDefault="00DB3DD4" w:rsidP="00DB3DD4">
      <w:pPr>
        <w:pStyle w:val="SingleTxt"/>
        <w:spacing w:after="0" w:line="120" w:lineRule="exact"/>
        <w:rPr>
          <w:snapToGrid w:val="0"/>
          <w:sz w:val="10"/>
        </w:rPr>
      </w:pPr>
    </w:p>
    <w:p w:rsidR="00DB3DD4" w:rsidRPr="00434FDC" w:rsidRDefault="00DB3DD4" w:rsidP="00DB3DD4">
      <w:pPr>
        <w:pStyle w:val="SingleTxt"/>
        <w:spacing w:after="0" w:line="120" w:lineRule="exact"/>
        <w:rPr>
          <w:sz w:val="10"/>
        </w:rPr>
      </w:pPr>
    </w:p>
    <w:p w:rsidR="00DB3DD4" w:rsidRPr="009C6DB2"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宋体"/>
          <w:sz w:val="10"/>
        </w:rPr>
      </w:pPr>
      <w:r w:rsidRPr="009C6DB2">
        <w:tab/>
      </w:r>
      <w:bookmarkStart w:id="67" w:name="_Toc398107312"/>
      <w:r>
        <w:t>B</w:t>
      </w:r>
      <w:r w:rsidRPr="009C6DB2">
        <w:t>.</w:t>
      </w:r>
      <w:r w:rsidRPr="009C6DB2">
        <w:tab/>
      </w:r>
      <w:r w:rsidRPr="009C6DB2">
        <w:rPr>
          <w:rFonts w:hint="eastAsia"/>
        </w:rPr>
        <w:t>本届会议审议此专题的情况</w:t>
      </w:r>
      <w:bookmarkEnd w:id="67"/>
    </w:p>
    <w:p w:rsidR="00DB3DD4" w:rsidRPr="00434FDC" w:rsidRDefault="00DB3DD4" w:rsidP="00DB3DD4">
      <w:pPr>
        <w:pStyle w:val="SingleTxt"/>
        <w:spacing w:after="0" w:line="120" w:lineRule="exact"/>
        <w:rPr>
          <w:sz w:val="10"/>
        </w:rPr>
      </w:pPr>
    </w:p>
    <w:p w:rsidR="00DB3DD4" w:rsidRPr="00434FDC" w:rsidRDefault="00DB3DD4" w:rsidP="00DB3DD4">
      <w:pPr>
        <w:pStyle w:val="SingleTxt"/>
        <w:spacing w:after="0" w:line="120" w:lineRule="exact"/>
        <w:rPr>
          <w:sz w:val="10"/>
        </w:rPr>
      </w:pPr>
    </w:p>
    <w:p w:rsidR="00DB3DD4" w:rsidRPr="009C6DB2" w:rsidRDefault="00DB3DD4" w:rsidP="00DB3DD4">
      <w:pPr>
        <w:pStyle w:val="SingleTxt"/>
      </w:pPr>
      <w:r>
        <w:rPr>
          <w:rFonts w:hint="eastAsia"/>
        </w:rPr>
        <w:t>1</w:t>
      </w:r>
      <w:r w:rsidRPr="009C6DB2">
        <w:rPr>
          <w:rFonts w:hint="eastAsia"/>
        </w:rPr>
        <w:t>7</w:t>
      </w:r>
      <w:r>
        <w:t>4.</w:t>
      </w:r>
      <w:r>
        <w:rPr>
          <w:rFonts w:hint="eastAsia"/>
        </w:rPr>
        <w:t xml:space="preserve">  </w:t>
      </w:r>
      <w:r w:rsidRPr="009C6DB2">
        <w:rPr>
          <w:rFonts w:hint="eastAsia"/>
        </w:rPr>
        <w:t>委员会收到了特别报告员的第四次报告</w:t>
      </w:r>
      <w:r w:rsidRPr="009C6DB2">
        <w:t>(</w:t>
      </w:r>
      <w:r>
        <w:t>A</w:t>
      </w:r>
      <w:r w:rsidRPr="009C6DB2">
        <w:t>/</w:t>
      </w:r>
      <w:r>
        <w:t>CN</w:t>
      </w:r>
      <w:r w:rsidRPr="009C6DB2">
        <w:t>.</w:t>
      </w:r>
      <w:r>
        <w:t>4</w:t>
      </w:r>
      <w:r w:rsidRPr="009C6DB2">
        <w:t>/68</w:t>
      </w:r>
      <w:r w:rsidRPr="009C6DB2">
        <w:rPr>
          <w:rFonts w:hint="eastAsia"/>
        </w:rPr>
        <w:t>6</w:t>
      </w:r>
      <w:r w:rsidRPr="009C6DB2">
        <w:t>)</w:t>
      </w:r>
      <w:r w:rsidRPr="009C6DB2">
        <w:rPr>
          <w:rFonts w:hint="eastAsia"/>
        </w:rPr>
        <w:t>。委员会在</w:t>
      </w:r>
      <w:r>
        <w:t>2</w:t>
      </w:r>
      <w:r w:rsidRPr="009C6DB2">
        <w:t>0</w:t>
      </w:r>
      <w:r>
        <w:t>15</w:t>
      </w:r>
      <w:r w:rsidRPr="009C6DB2">
        <w:t>年</w:t>
      </w:r>
      <w:r w:rsidRPr="009C6DB2">
        <w:t>7</w:t>
      </w:r>
      <w:r w:rsidRPr="009C6DB2">
        <w:t>月</w:t>
      </w:r>
      <w:r>
        <w:t>1</w:t>
      </w:r>
      <w:r w:rsidRPr="009C6DB2">
        <w:t>6</w:t>
      </w:r>
      <w:r w:rsidRPr="009C6DB2">
        <w:t>日和</w:t>
      </w:r>
      <w:r w:rsidRPr="009C6DB2">
        <w:t>7</w:t>
      </w:r>
      <w:r w:rsidRPr="009C6DB2">
        <w:t>月</w:t>
      </w:r>
      <w:r>
        <w:t>21</w:t>
      </w:r>
      <w:r w:rsidRPr="009C6DB2">
        <w:t>日至</w:t>
      </w:r>
      <w:r>
        <w:t>24</w:t>
      </w:r>
      <w:r w:rsidRPr="009C6DB2">
        <w:t>日的第</w:t>
      </w:r>
      <w:r>
        <w:t>32</w:t>
      </w:r>
      <w:r w:rsidRPr="009C6DB2">
        <w:t>7</w:t>
      </w:r>
      <w:r>
        <w:t>1</w:t>
      </w:r>
      <w:r w:rsidRPr="009C6DB2">
        <w:rPr>
          <w:rFonts w:hint="eastAsia"/>
        </w:rPr>
        <w:t>至</w:t>
      </w:r>
      <w:r>
        <w:t>32</w:t>
      </w:r>
      <w:r w:rsidRPr="009C6DB2">
        <w:t>78</w:t>
      </w:r>
      <w:r w:rsidRPr="009C6DB2">
        <w:rPr>
          <w:rFonts w:hint="eastAsia"/>
        </w:rPr>
        <w:t>次会议上审议了该报告。</w:t>
      </w:r>
    </w:p>
    <w:p w:rsidR="00DB3DD4" w:rsidRPr="009C6DB2" w:rsidRDefault="00DB3DD4" w:rsidP="00DB3DD4">
      <w:pPr>
        <w:pStyle w:val="SingleTxt"/>
      </w:pPr>
      <w:r>
        <w:rPr>
          <w:rFonts w:hint="eastAsia"/>
        </w:rPr>
        <w:lastRenderedPageBreak/>
        <w:t>1</w:t>
      </w:r>
      <w:r w:rsidRPr="009C6DB2">
        <w:rPr>
          <w:rFonts w:hint="eastAsia"/>
        </w:rPr>
        <w:t>7</w:t>
      </w:r>
      <w:r>
        <w:t>5</w:t>
      </w:r>
      <w:r w:rsidRPr="009C6DB2">
        <w:t>.</w:t>
      </w:r>
      <w:r w:rsidRPr="009C6DB2">
        <w:rPr>
          <w:rFonts w:hint="eastAsia"/>
        </w:rPr>
        <w:t xml:space="preserve">  </w:t>
      </w:r>
      <w:r w:rsidRPr="009C6DB2">
        <w:rPr>
          <w:rFonts w:hint="eastAsia"/>
        </w:rPr>
        <w:t>委员会在</w:t>
      </w:r>
      <w:r>
        <w:t>2</w:t>
      </w:r>
      <w:r w:rsidRPr="009C6DB2">
        <w:t>0</w:t>
      </w:r>
      <w:r>
        <w:t>15</w:t>
      </w:r>
      <w:r w:rsidRPr="009C6DB2">
        <w:rPr>
          <w:rFonts w:hint="eastAsia"/>
        </w:rPr>
        <w:t>年</w:t>
      </w:r>
      <w:r w:rsidRPr="009C6DB2">
        <w:t>7</w:t>
      </w:r>
      <w:r w:rsidRPr="009C6DB2">
        <w:rPr>
          <w:rFonts w:hint="eastAsia"/>
        </w:rPr>
        <w:t>月</w:t>
      </w:r>
      <w:r>
        <w:t>24</w:t>
      </w:r>
      <w:r w:rsidRPr="009C6DB2">
        <w:rPr>
          <w:rFonts w:hint="eastAsia"/>
        </w:rPr>
        <w:t>日第</w:t>
      </w:r>
      <w:r>
        <w:t>32</w:t>
      </w:r>
      <w:r w:rsidRPr="009C6DB2">
        <w:t>78</w:t>
      </w:r>
      <w:r w:rsidRPr="009C6DB2">
        <w:rPr>
          <w:rFonts w:hint="eastAsia"/>
        </w:rPr>
        <w:t>次会议上决定将特别报告员拟议的第</w:t>
      </w:r>
      <w:r>
        <w:t>2</w:t>
      </w:r>
      <w:r w:rsidRPr="009C6DB2">
        <w:rPr>
          <w:rFonts w:hint="eastAsia"/>
        </w:rPr>
        <w:t>条草案</w:t>
      </w:r>
      <w:r w:rsidRPr="009C6DB2">
        <w:t>(</w:t>
      </w:r>
      <w:r>
        <w:t>f</w:t>
      </w:r>
      <w:r w:rsidRPr="009C6DB2">
        <w:t>)</w:t>
      </w:r>
      <w:r w:rsidRPr="009C6DB2">
        <w:rPr>
          <w:rFonts w:hint="eastAsia"/>
        </w:rPr>
        <w:t>款和第</w:t>
      </w:r>
      <w:r w:rsidRPr="009C6DB2">
        <w:t>6</w:t>
      </w:r>
      <w:r w:rsidRPr="009C6DB2">
        <w:rPr>
          <w:rFonts w:hint="eastAsia"/>
        </w:rPr>
        <w:t>条草案</w:t>
      </w:r>
      <w:r w:rsidRPr="003F1277">
        <w:rPr>
          <w:color w:val="0000FF"/>
          <w:w w:val="150"/>
          <w:szCs w:val="24"/>
          <w:vertAlign w:val="superscript"/>
        </w:rPr>
        <w:footnoteReference w:id="388"/>
      </w:r>
      <w:r>
        <w:rPr>
          <w:rFonts w:hint="eastAsia"/>
        </w:rPr>
        <w:t xml:space="preserve"> </w:t>
      </w:r>
      <w:r w:rsidRPr="009C6DB2">
        <w:rPr>
          <w:rFonts w:hint="eastAsia"/>
        </w:rPr>
        <w:t>送交起草委员会。</w:t>
      </w:r>
    </w:p>
    <w:p w:rsidR="00DB3DD4" w:rsidRDefault="00DB3DD4" w:rsidP="00DB3DD4">
      <w:pPr>
        <w:pStyle w:val="SingleTxt"/>
      </w:pPr>
      <w:r>
        <w:rPr>
          <w:rFonts w:hint="eastAsia"/>
        </w:rPr>
        <w:t>1</w:t>
      </w:r>
      <w:r w:rsidRPr="009C6DB2">
        <w:rPr>
          <w:rFonts w:hint="eastAsia"/>
        </w:rPr>
        <w:t>7</w:t>
      </w:r>
      <w:r w:rsidRPr="009C6DB2">
        <w:t>6.</w:t>
      </w:r>
      <w:r w:rsidRPr="009C6DB2">
        <w:rPr>
          <w:rFonts w:hint="eastAsia"/>
        </w:rPr>
        <w:t xml:space="preserve">  </w:t>
      </w:r>
      <w:r w:rsidRPr="009C6DB2">
        <w:rPr>
          <w:rFonts w:hint="eastAsia"/>
        </w:rPr>
        <w:t>起草委员会主席在</w:t>
      </w:r>
      <w:r>
        <w:t>2</w:t>
      </w:r>
      <w:r w:rsidRPr="009C6DB2">
        <w:t>0</w:t>
      </w:r>
      <w:r>
        <w:t>15</w:t>
      </w:r>
      <w:r w:rsidRPr="009C6DB2">
        <w:rPr>
          <w:rFonts w:hint="eastAsia"/>
        </w:rPr>
        <w:t>年</w:t>
      </w:r>
      <w:r w:rsidRPr="009C6DB2">
        <w:rPr>
          <w:rFonts w:hint="eastAsia"/>
        </w:rPr>
        <w:t>8</w:t>
      </w:r>
      <w:r w:rsidRPr="009C6DB2">
        <w:rPr>
          <w:rFonts w:hint="eastAsia"/>
        </w:rPr>
        <w:t>月</w:t>
      </w:r>
      <w:r>
        <w:rPr>
          <w:rFonts w:hint="eastAsia"/>
        </w:rPr>
        <w:t>4</w:t>
      </w:r>
      <w:r w:rsidRPr="009C6DB2">
        <w:rPr>
          <w:rFonts w:hint="eastAsia"/>
        </w:rPr>
        <w:t>日第</w:t>
      </w:r>
      <w:r>
        <w:rPr>
          <w:rFonts w:hint="eastAsia"/>
        </w:rPr>
        <w:t>32</w:t>
      </w:r>
      <w:r w:rsidRPr="009C6DB2">
        <w:rPr>
          <w:rFonts w:hint="eastAsia"/>
        </w:rPr>
        <w:t>8</w:t>
      </w:r>
      <w:r>
        <w:rPr>
          <w:rFonts w:hint="eastAsia"/>
        </w:rPr>
        <w:t>4</w:t>
      </w:r>
      <w:r w:rsidRPr="009C6DB2">
        <w:rPr>
          <w:rFonts w:hint="eastAsia"/>
        </w:rPr>
        <w:t>次会议上提交了</w:t>
      </w:r>
      <w:r w:rsidRPr="003F1277">
        <w:rPr>
          <w:color w:val="0000FF"/>
          <w:w w:val="150"/>
          <w:vertAlign w:val="superscript"/>
        </w:rPr>
        <w:footnoteReference w:id="389"/>
      </w:r>
      <w:r>
        <w:rPr>
          <w:rFonts w:hint="eastAsia"/>
        </w:rPr>
        <w:t xml:space="preserve"> </w:t>
      </w:r>
      <w:r w:rsidRPr="009C6DB2">
        <w:rPr>
          <w:rFonts w:hint="eastAsia"/>
        </w:rPr>
        <w:t>起草委员会关于</w:t>
      </w:r>
      <w:r w:rsidRPr="00D713CB">
        <w:rPr>
          <w:rFonts w:ascii="宋体" w:hAnsi="宋体"/>
        </w:rPr>
        <w:t>“</w:t>
      </w:r>
      <w:r w:rsidRPr="00D713CB">
        <w:rPr>
          <w:rFonts w:ascii="宋体" w:hAnsi="宋体" w:hint="eastAsia"/>
        </w:rPr>
        <w:t>国家官员的外国刑事管辖豁免</w:t>
      </w:r>
      <w:r w:rsidRPr="00D713CB">
        <w:rPr>
          <w:rFonts w:ascii="宋体" w:hAnsi="宋体"/>
        </w:rPr>
        <w:t>”</w:t>
      </w:r>
      <w:r w:rsidRPr="009C6DB2">
        <w:rPr>
          <w:rFonts w:hint="eastAsia"/>
        </w:rPr>
        <w:t>的报告，其中载有起草委员会在</w:t>
      </w:r>
      <w:r w:rsidRPr="009C6DB2">
        <w:t>第六十七届会议上</w:t>
      </w:r>
      <w:r w:rsidRPr="009C6DB2">
        <w:rPr>
          <w:rFonts w:hint="eastAsia"/>
        </w:rPr>
        <w:t>暂时</w:t>
      </w:r>
      <w:r w:rsidRPr="009C6DB2">
        <w:t>通过</w:t>
      </w:r>
      <w:r w:rsidRPr="009C6DB2">
        <w:rPr>
          <w:rFonts w:hint="eastAsia"/>
        </w:rPr>
        <w:t>的第</w:t>
      </w:r>
      <w:r>
        <w:rPr>
          <w:rFonts w:hint="eastAsia"/>
        </w:rPr>
        <w:t>2</w:t>
      </w:r>
      <w:r w:rsidRPr="009C6DB2">
        <w:rPr>
          <w:rFonts w:hint="eastAsia"/>
        </w:rPr>
        <w:t>条草案</w:t>
      </w:r>
      <w:r w:rsidRPr="009C6DB2">
        <w:rPr>
          <w:rFonts w:hint="eastAsia"/>
        </w:rPr>
        <w:t>(</w:t>
      </w:r>
      <w:r>
        <w:rPr>
          <w:rFonts w:hint="eastAsia"/>
        </w:rPr>
        <w:t>f</w:t>
      </w:r>
      <w:r w:rsidRPr="009C6DB2">
        <w:rPr>
          <w:rFonts w:hint="eastAsia"/>
        </w:rPr>
        <w:t>)</w:t>
      </w:r>
      <w:r w:rsidRPr="009C6DB2">
        <w:rPr>
          <w:rFonts w:hint="eastAsia"/>
        </w:rPr>
        <w:t>款和第</w:t>
      </w:r>
      <w:r w:rsidRPr="009C6DB2">
        <w:rPr>
          <w:rFonts w:hint="eastAsia"/>
        </w:rPr>
        <w:t>6</w:t>
      </w:r>
      <w:r w:rsidRPr="009C6DB2">
        <w:t>条草案</w:t>
      </w:r>
      <w:r w:rsidRPr="009C6DB2">
        <w:t>(</w:t>
      </w:r>
      <w:r>
        <w:t>A</w:t>
      </w:r>
      <w:r w:rsidRPr="009C6DB2">
        <w:t>/</w:t>
      </w:r>
      <w:r>
        <w:t>CN</w:t>
      </w:r>
      <w:r w:rsidRPr="009C6DB2">
        <w:t>.</w:t>
      </w:r>
      <w:r>
        <w:t>4</w:t>
      </w:r>
      <w:r w:rsidRPr="009C6DB2">
        <w:t>/</w:t>
      </w:r>
      <w:r>
        <w:t>L</w:t>
      </w:r>
      <w:r w:rsidRPr="009C6DB2">
        <w:t>.86</w:t>
      </w:r>
      <w:r>
        <w:t>5</w:t>
      </w:r>
      <w:r w:rsidRPr="009C6DB2">
        <w:t>)</w:t>
      </w:r>
      <w:r w:rsidRPr="009C6DB2">
        <w:rPr>
          <w:rFonts w:hint="eastAsia"/>
        </w:rPr>
        <w:t>，</w:t>
      </w:r>
      <w:r w:rsidRPr="003F1277">
        <w:rPr>
          <w:color w:val="0000FF"/>
          <w:w w:val="150"/>
          <w:vertAlign w:val="superscript"/>
        </w:rPr>
        <w:footnoteReference w:id="390"/>
      </w:r>
      <w:r w:rsidRPr="009C6DB2">
        <w:rPr>
          <w:rFonts w:hint="eastAsia"/>
        </w:rPr>
        <w:t xml:space="preserve"> </w:t>
      </w:r>
      <w:r w:rsidRPr="009C6DB2">
        <w:rPr>
          <w:rFonts w:hint="eastAsia"/>
        </w:rPr>
        <w:t>可在委员会网站上查阅。委员会注意到起草委员会提交的条款草案。预计将在下届会议上审议条款草案的评注。</w:t>
      </w:r>
    </w:p>
    <w:p w:rsidR="00DB3DD4" w:rsidRDefault="00DB3DD4" w:rsidP="00DB3DD4">
      <w:pPr>
        <w:pStyle w:val="SingleTxt"/>
      </w:pPr>
      <w:r>
        <w:br w:type="page"/>
      </w:r>
    </w:p>
    <w:p w:rsidR="00DB3DD4" w:rsidRPr="00D713CB" w:rsidRDefault="00DB3DD4" w:rsidP="00DB3DD4">
      <w:pPr>
        <w:pStyle w:val="SingleTxt"/>
        <w:spacing w:after="0" w:line="120" w:lineRule="exact"/>
        <w:rPr>
          <w:sz w:val="10"/>
        </w:rPr>
      </w:pPr>
    </w:p>
    <w:p w:rsidR="00DB3DD4" w:rsidRPr="00D713CB"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t>1</w:t>
      </w:r>
      <w:r w:rsidRPr="009C6DB2">
        <w:t>.</w:t>
      </w:r>
      <w:r w:rsidRPr="009C6DB2">
        <w:rPr>
          <w:rFonts w:hint="eastAsia"/>
        </w:rPr>
        <w:tab/>
        <w:t>特别报告员介绍第四次报告</w:t>
      </w:r>
    </w:p>
    <w:p w:rsidR="00DB3DD4" w:rsidRPr="00D713CB" w:rsidRDefault="00DB3DD4" w:rsidP="00DB3DD4">
      <w:pPr>
        <w:pStyle w:val="SingleTxt"/>
        <w:spacing w:after="0" w:line="120" w:lineRule="exact"/>
        <w:rPr>
          <w:sz w:val="10"/>
        </w:rPr>
      </w:pPr>
    </w:p>
    <w:p w:rsidR="00DB3DD4" w:rsidRPr="00D713CB" w:rsidRDefault="00DB3DD4" w:rsidP="00DB3DD4">
      <w:pPr>
        <w:pStyle w:val="SingleTxt"/>
        <w:spacing w:after="0" w:line="120" w:lineRule="exact"/>
        <w:rPr>
          <w:sz w:val="10"/>
        </w:rPr>
      </w:pPr>
    </w:p>
    <w:p w:rsidR="00DB3DD4" w:rsidRPr="009C6DB2" w:rsidRDefault="00DB3DD4" w:rsidP="00DB3DD4">
      <w:pPr>
        <w:pStyle w:val="SingleTxt"/>
        <w:rPr>
          <w:bCs/>
        </w:rPr>
      </w:pPr>
      <w:r>
        <w:rPr>
          <w:rFonts w:hint="eastAsia"/>
        </w:rPr>
        <w:t>1</w:t>
      </w:r>
      <w:r w:rsidRPr="009C6DB2">
        <w:rPr>
          <w:rFonts w:hint="eastAsia"/>
        </w:rPr>
        <w:t>7</w:t>
      </w:r>
      <w:r w:rsidRPr="009C6DB2">
        <w:t>7.</w:t>
      </w:r>
      <w:r w:rsidRPr="009C6DB2">
        <w:rPr>
          <w:rFonts w:hint="eastAsia"/>
        </w:rPr>
        <w:t xml:space="preserve">  </w:t>
      </w:r>
      <w:r w:rsidRPr="009C6DB2">
        <w:rPr>
          <w:rFonts w:hint="eastAsia"/>
        </w:rPr>
        <w:t>第四次报告延续了第三次报告</w:t>
      </w:r>
      <w:r w:rsidRPr="009C6DB2">
        <w:t>(</w:t>
      </w:r>
      <w:r>
        <w:t>A</w:t>
      </w:r>
      <w:r w:rsidRPr="009C6DB2">
        <w:t>/</w:t>
      </w:r>
      <w:r>
        <w:t>CN</w:t>
      </w:r>
      <w:r w:rsidRPr="009C6DB2">
        <w:t>.</w:t>
      </w:r>
      <w:r>
        <w:t>4</w:t>
      </w:r>
      <w:r w:rsidRPr="009C6DB2">
        <w:t>/6</w:t>
      </w:r>
      <w:r>
        <w:t>4</w:t>
      </w:r>
      <w:r w:rsidRPr="009C6DB2">
        <w:t>6)</w:t>
      </w:r>
      <w:r w:rsidRPr="009C6DB2">
        <w:rPr>
          <w:rFonts w:hint="eastAsia"/>
        </w:rPr>
        <w:t>开始的关于属事豁免规范性要素的分析。由于第三次报告已经处理了这种豁免的主体范围</w:t>
      </w:r>
      <w:r>
        <w:rPr>
          <w:rFonts w:hint="eastAsia"/>
        </w:rPr>
        <w:t>(</w:t>
      </w:r>
      <w:r w:rsidRPr="009C6DB2">
        <w:rPr>
          <w:rFonts w:hint="eastAsia"/>
        </w:rPr>
        <w:t>此种豁免的受益人</w:t>
      </w:r>
      <w:r>
        <w:rPr>
          <w:rFonts w:hint="eastAsia"/>
        </w:rPr>
        <w:t>)</w:t>
      </w:r>
      <w:r w:rsidRPr="009C6DB2">
        <w:rPr>
          <w:rFonts w:hint="eastAsia"/>
        </w:rPr>
        <w:t>，第四次报告专门审议尚未讨论的实质范围</w:t>
      </w:r>
      <w:r>
        <w:rPr>
          <w:rFonts w:hint="eastAsia"/>
        </w:rPr>
        <w:t>(</w:t>
      </w:r>
      <w:r w:rsidRPr="00262A30">
        <w:rPr>
          <w:rFonts w:ascii="宋体" w:hAnsi="宋体"/>
        </w:rPr>
        <w:t>“</w:t>
      </w:r>
      <w:r w:rsidRPr="00262A30">
        <w:rPr>
          <w:rFonts w:ascii="宋体" w:hAnsi="宋体" w:hint="eastAsia"/>
        </w:rPr>
        <w:t>以官方身份实施的行为</w:t>
      </w:r>
      <w:r w:rsidRPr="00262A30">
        <w:rPr>
          <w:rFonts w:ascii="宋体" w:hAnsi="宋体"/>
        </w:rPr>
        <w:t>”</w:t>
      </w:r>
      <w:r w:rsidRPr="009C6DB2">
        <w:t>)</w:t>
      </w:r>
      <w:r w:rsidRPr="009C6DB2">
        <w:t>和时间范围。作为分析结果，报告还载有</w:t>
      </w:r>
      <w:r w:rsidRPr="009C6DB2">
        <w:rPr>
          <w:rFonts w:hint="eastAsia"/>
        </w:rPr>
        <w:t>第</w:t>
      </w:r>
      <w:r>
        <w:t>2</w:t>
      </w:r>
      <w:r w:rsidRPr="009C6DB2">
        <w:rPr>
          <w:rFonts w:hint="eastAsia"/>
        </w:rPr>
        <w:t>条草案</w:t>
      </w:r>
      <w:r w:rsidRPr="009C6DB2">
        <w:t>(</w:t>
      </w:r>
      <w:r>
        <w:t>f</w:t>
      </w:r>
      <w:r w:rsidRPr="009C6DB2">
        <w:t>)</w:t>
      </w:r>
      <w:r w:rsidRPr="009C6DB2">
        <w:rPr>
          <w:rFonts w:hint="eastAsia"/>
        </w:rPr>
        <w:t>款的拟议案文，为豁免的一般目的界定了</w:t>
      </w:r>
      <w:r w:rsidRPr="00587809">
        <w:rPr>
          <w:rFonts w:ascii="宋体" w:hAnsi="宋体"/>
        </w:rPr>
        <w:t>“</w:t>
      </w:r>
      <w:r w:rsidRPr="00587809">
        <w:rPr>
          <w:rFonts w:ascii="宋体" w:hAnsi="宋体" w:hint="eastAsia"/>
        </w:rPr>
        <w:t>以官方身份实施的行为</w:t>
      </w:r>
      <w:r w:rsidRPr="00587809">
        <w:rPr>
          <w:rFonts w:ascii="宋体" w:hAnsi="宋体"/>
        </w:rPr>
        <w:t>”</w:t>
      </w:r>
      <w:r w:rsidRPr="009C6DB2">
        <w:rPr>
          <w:rFonts w:hint="eastAsia"/>
        </w:rPr>
        <w:t>，以及关于属事豁免实质和时间范围的第</w:t>
      </w:r>
      <w:r w:rsidRPr="009C6DB2">
        <w:rPr>
          <w:rFonts w:hint="eastAsia"/>
        </w:rPr>
        <w:t>6</w:t>
      </w:r>
      <w:r w:rsidRPr="009C6DB2">
        <w:rPr>
          <w:rFonts w:hint="eastAsia"/>
        </w:rPr>
        <w:t>条草案，其中具体提到了属事豁免对前国家元首、前政府首脑和前外交部长的适用。</w:t>
      </w:r>
    </w:p>
    <w:p w:rsidR="00DB3DD4" w:rsidRPr="009C6DB2" w:rsidRDefault="00DB3DD4" w:rsidP="00DB3DD4">
      <w:pPr>
        <w:pStyle w:val="SingleTxt"/>
        <w:rPr>
          <w:bCs/>
        </w:rPr>
      </w:pPr>
      <w:r>
        <w:rPr>
          <w:rFonts w:hint="eastAsia"/>
        </w:rPr>
        <w:t>1</w:t>
      </w:r>
      <w:r w:rsidRPr="009C6DB2">
        <w:rPr>
          <w:rFonts w:hint="eastAsia"/>
        </w:rPr>
        <w:t>7</w:t>
      </w:r>
      <w:r w:rsidRPr="009C6DB2">
        <w:t>8.</w:t>
      </w:r>
      <w:r w:rsidRPr="009C6DB2">
        <w:rPr>
          <w:rFonts w:hint="eastAsia"/>
        </w:rPr>
        <w:t xml:space="preserve">  </w:t>
      </w:r>
      <w:r w:rsidRPr="009C6DB2">
        <w:rPr>
          <w:rFonts w:hint="eastAsia"/>
        </w:rPr>
        <w:t>特别报告员在介绍报告时指出，必须结合此前的各次报告阅读本报告，因为这些报告是一个整体。她指出，本报告与过去处理属人豁免的方法一样，没有直接阐述豁免的限制和例外问题，她将在</w:t>
      </w:r>
      <w:r>
        <w:t>2</w:t>
      </w:r>
      <w:r w:rsidRPr="009C6DB2">
        <w:t>0</w:t>
      </w:r>
      <w:r>
        <w:t>1</w:t>
      </w:r>
      <w:r w:rsidRPr="009C6DB2">
        <w:t>6</w:t>
      </w:r>
      <w:r w:rsidRPr="009C6DB2">
        <w:t>年的第五次报告中处理此事。特别报告员提到了报告翻译过程中将西班牙原文翻译为其他各语言</w:t>
      </w:r>
      <w:r w:rsidRPr="009C6DB2">
        <w:rPr>
          <w:rFonts w:hint="eastAsia"/>
        </w:rPr>
        <w:t>时</w:t>
      </w:r>
      <w:r w:rsidRPr="009C6DB2">
        <w:t>出现的一些问题，就此，她通过一份更正做了适当改动，已经分发给了委员会委员。特别报告员请秘书处编写一份更正，作为本届会议的正式文件分发。</w:t>
      </w:r>
    </w:p>
    <w:p w:rsidR="00DB3DD4" w:rsidRPr="009C6DB2" w:rsidRDefault="00DB3DD4" w:rsidP="00DB3DD4">
      <w:pPr>
        <w:pStyle w:val="SingleTxt"/>
        <w:rPr>
          <w:bCs/>
        </w:rPr>
      </w:pPr>
      <w:r>
        <w:rPr>
          <w:rFonts w:hint="eastAsia"/>
          <w:bCs/>
        </w:rPr>
        <w:t>1</w:t>
      </w:r>
      <w:r w:rsidRPr="009C6DB2">
        <w:rPr>
          <w:rFonts w:hint="eastAsia"/>
          <w:bCs/>
        </w:rPr>
        <w:t>7</w:t>
      </w:r>
      <w:r w:rsidRPr="009C6DB2">
        <w:rPr>
          <w:bCs/>
        </w:rPr>
        <w:t>9.</w:t>
      </w:r>
      <w:r w:rsidRPr="009C6DB2">
        <w:rPr>
          <w:rFonts w:hint="eastAsia"/>
          <w:bCs/>
        </w:rPr>
        <w:t xml:space="preserve">  </w:t>
      </w:r>
      <w:r w:rsidRPr="009C6DB2">
        <w:rPr>
          <w:rFonts w:hint="eastAsia"/>
          <w:bCs/>
        </w:rPr>
        <w:t>特别报告员提交的第四次报告在处理属事豁免的规范性要素时首先强调了这类豁免的基本特性，即豁免是给予所有国家官员的，仅适用于</w:t>
      </w:r>
      <w:r w:rsidRPr="00262A30">
        <w:rPr>
          <w:rFonts w:ascii="宋体" w:hAnsi="宋体"/>
          <w:bCs/>
        </w:rPr>
        <w:t>“</w:t>
      </w:r>
      <w:r w:rsidRPr="00262A30">
        <w:rPr>
          <w:rFonts w:ascii="宋体" w:hAnsi="宋体" w:hint="eastAsia"/>
          <w:bCs/>
        </w:rPr>
        <w:t>以官方身份实施的行为</w:t>
      </w:r>
      <w:r w:rsidRPr="00262A30">
        <w:rPr>
          <w:rFonts w:ascii="宋体" w:hAnsi="宋体"/>
          <w:bCs/>
        </w:rPr>
        <w:t>”</w:t>
      </w:r>
      <w:r w:rsidRPr="009C6DB2">
        <w:rPr>
          <w:rFonts w:hint="eastAsia"/>
          <w:bCs/>
        </w:rPr>
        <w:t>，不受时间限制。至于属事豁免的规范性要素，如上所述，第三次报告已经处理了主体范围的问题，第四次报告侧重于实质和时间范围。</w:t>
      </w:r>
    </w:p>
    <w:p w:rsidR="00DB3DD4" w:rsidRPr="00D713CB" w:rsidRDefault="00DB3DD4" w:rsidP="00DB3DD4">
      <w:pPr>
        <w:pStyle w:val="SingleTxt"/>
        <w:rPr>
          <w:rFonts w:ascii="宋体" w:hAnsi="宋体"/>
          <w:bCs/>
        </w:rPr>
      </w:pPr>
      <w:r>
        <w:rPr>
          <w:rFonts w:hint="eastAsia"/>
          <w:bCs/>
        </w:rPr>
        <w:t>1</w:t>
      </w:r>
      <w:r w:rsidRPr="009C6DB2">
        <w:rPr>
          <w:rFonts w:hint="eastAsia"/>
          <w:bCs/>
        </w:rPr>
        <w:t xml:space="preserve">80. </w:t>
      </w:r>
      <w:r>
        <w:rPr>
          <w:rFonts w:hint="eastAsia"/>
          <w:bCs/>
        </w:rPr>
        <w:t xml:space="preserve"> </w:t>
      </w:r>
      <w:r w:rsidRPr="00D713CB">
        <w:rPr>
          <w:rFonts w:ascii="宋体" w:hAnsi="宋体"/>
          <w:bCs/>
        </w:rPr>
        <w:t>“</w:t>
      </w:r>
      <w:r w:rsidRPr="00D713CB">
        <w:rPr>
          <w:rFonts w:ascii="宋体" w:hAnsi="宋体" w:hint="eastAsia"/>
          <w:bCs/>
        </w:rPr>
        <w:t>以官方身份实施的行为</w:t>
      </w:r>
      <w:r w:rsidRPr="00D713CB">
        <w:rPr>
          <w:rFonts w:ascii="宋体" w:hAnsi="宋体"/>
          <w:bCs/>
        </w:rPr>
        <w:t>”</w:t>
      </w:r>
      <w:r w:rsidRPr="00D713CB">
        <w:rPr>
          <w:rFonts w:ascii="宋体" w:hAnsi="宋体" w:hint="eastAsia"/>
          <w:bCs/>
        </w:rPr>
        <w:t>概念首先是一些一般性考虑的主题，这些考虑强调这一概念在属事豁免上的重要性。而这种重要性的来源是这类豁免的功能性。报告接着阐述了</w:t>
      </w:r>
      <w:r w:rsidRPr="00D713CB">
        <w:rPr>
          <w:rFonts w:ascii="宋体" w:hAnsi="宋体"/>
          <w:bCs/>
        </w:rPr>
        <w:t>“</w:t>
      </w:r>
      <w:r w:rsidRPr="00D713CB">
        <w:rPr>
          <w:rFonts w:ascii="宋体" w:hAnsi="宋体" w:hint="eastAsia"/>
          <w:bCs/>
        </w:rPr>
        <w:t>以官方身份实施的行为</w:t>
      </w:r>
      <w:r w:rsidRPr="00D713CB">
        <w:rPr>
          <w:rFonts w:ascii="宋体" w:hAnsi="宋体"/>
          <w:bCs/>
        </w:rPr>
        <w:t>”</w:t>
      </w:r>
      <w:r w:rsidRPr="00D713CB">
        <w:rPr>
          <w:rFonts w:ascii="宋体" w:hAnsi="宋体" w:hint="eastAsia"/>
          <w:bCs/>
        </w:rPr>
        <w:t>与</w:t>
      </w:r>
      <w:r w:rsidRPr="00D713CB">
        <w:rPr>
          <w:rFonts w:ascii="宋体" w:hAnsi="宋体"/>
          <w:bCs/>
        </w:rPr>
        <w:t>“</w:t>
      </w:r>
      <w:r w:rsidRPr="00D713CB">
        <w:rPr>
          <w:rFonts w:ascii="宋体" w:hAnsi="宋体" w:hint="eastAsia"/>
          <w:bCs/>
        </w:rPr>
        <w:t>以私人身份实施的行为</w:t>
      </w:r>
      <w:r w:rsidRPr="00D713CB">
        <w:rPr>
          <w:rFonts w:ascii="宋体" w:hAnsi="宋体"/>
          <w:bCs/>
        </w:rPr>
        <w:t>”</w:t>
      </w:r>
      <w:r w:rsidRPr="00D713CB">
        <w:rPr>
          <w:rFonts w:ascii="宋体" w:hAnsi="宋体" w:hint="eastAsia"/>
          <w:bCs/>
        </w:rPr>
        <w:t>之间的区别。通过对这一区别的研究，除其他外，断定这一区别不同于</w:t>
      </w:r>
      <w:r w:rsidRPr="00D713CB">
        <w:rPr>
          <w:rFonts w:ascii="宋体" w:hAnsi="宋体"/>
          <w:bCs/>
        </w:rPr>
        <w:t>“</w:t>
      </w:r>
      <w:r w:rsidRPr="00D713CB">
        <w:rPr>
          <w:rFonts w:ascii="宋体" w:hAnsi="宋体" w:hint="eastAsia"/>
          <w:bCs/>
        </w:rPr>
        <w:t>统治权行为</w:t>
      </w:r>
      <w:r w:rsidRPr="00D713CB">
        <w:rPr>
          <w:rFonts w:ascii="宋体" w:hAnsi="宋体"/>
          <w:bCs/>
        </w:rPr>
        <w:t>”</w:t>
      </w:r>
      <w:r w:rsidRPr="00D713CB">
        <w:rPr>
          <w:rFonts w:ascii="宋体" w:hAnsi="宋体" w:hint="eastAsia"/>
          <w:bCs/>
        </w:rPr>
        <w:t>与</w:t>
      </w:r>
      <w:r w:rsidRPr="00D713CB">
        <w:rPr>
          <w:rFonts w:ascii="宋体" w:hAnsi="宋体"/>
          <w:bCs/>
        </w:rPr>
        <w:t>“</w:t>
      </w:r>
      <w:r w:rsidRPr="00D713CB">
        <w:rPr>
          <w:rFonts w:ascii="宋体" w:hAnsi="宋体" w:hint="eastAsia"/>
          <w:bCs/>
        </w:rPr>
        <w:t>管理权行为</w:t>
      </w:r>
      <w:r w:rsidRPr="00D713CB">
        <w:rPr>
          <w:rFonts w:ascii="宋体" w:hAnsi="宋体"/>
          <w:bCs/>
        </w:rPr>
        <w:t>”</w:t>
      </w:r>
      <w:r w:rsidRPr="00D713CB">
        <w:rPr>
          <w:rFonts w:ascii="宋体" w:hAnsi="宋体" w:hint="eastAsia"/>
          <w:bCs/>
        </w:rPr>
        <w:t>之间的区别，也不同于合法行为与非法行为之间的区别。</w:t>
      </w:r>
    </w:p>
    <w:p w:rsidR="00DB3DD4" w:rsidRPr="009C6DB2" w:rsidRDefault="00DB3DD4" w:rsidP="00DB3DD4">
      <w:pPr>
        <w:pStyle w:val="SingleTxt"/>
        <w:rPr>
          <w:bCs/>
        </w:rPr>
      </w:pPr>
      <w:r>
        <w:rPr>
          <w:rFonts w:hint="eastAsia"/>
          <w:bCs/>
        </w:rPr>
        <w:t>1</w:t>
      </w:r>
      <w:r w:rsidRPr="009C6DB2">
        <w:rPr>
          <w:rFonts w:hint="eastAsia"/>
          <w:bCs/>
        </w:rPr>
        <w:t>8</w:t>
      </w:r>
      <w:r>
        <w:rPr>
          <w:rFonts w:hint="eastAsia"/>
          <w:bCs/>
        </w:rPr>
        <w:t>1</w:t>
      </w:r>
      <w:r w:rsidRPr="009C6DB2">
        <w:rPr>
          <w:rFonts w:hint="eastAsia"/>
          <w:bCs/>
        </w:rPr>
        <w:t xml:space="preserve">. </w:t>
      </w:r>
      <w:r>
        <w:rPr>
          <w:rFonts w:hint="eastAsia"/>
          <w:bCs/>
        </w:rPr>
        <w:t xml:space="preserve"> </w:t>
      </w:r>
      <w:r w:rsidRPr="009C6DB2">
        <w:rPr>
          <w:rFonts w:hint="eastAsia"/>
          <w:bCs/>
        </w:rPr>
        <w:t>报告接下来重点提出了识别</w:t>
      </w:r>
      <w:r w:rsidRPr="00262A30">
        <w:rPr>
          <w:rFonts w:ascii="宋体" w:hAnsi="宋体"/>
          <w:bCs/>
        </w:rPr>
        <w:t>“</w:t>
      </w:r>
      <w:r w:rsidRPr="00262A30">
        <w:rPr>
          <w:rFonts w:ascii="宋体" w:hAnsi="宋体" w:hint="eastAsia"/>
          <w:bCs/>
        </w:rPr>
        <w:t>以官方身份实施的行为</w:t>
      </w:r>
      <w:r w:rsidRPr="00262A30">
        <w:rPr>
          <w:rFonts w:ascii="宋体" w:hAnsi="宋体"/>
          <w:bCs/>
        </w:rPr>
        <w:t>”</w:t>
      </w:r>
      <w:r w:rsidRPr="009C6DB2">
        <w:rPr>
          <w:rFonts w:hint="eastAsia"/>
          <w:bCs/>
        </w:rPr>
        <w:t>的标准，相继分析了</w:t>
      </w:r>
      <w:r>
        <w:rPr>
          <w:rFonts w:hint="eastAsia"/>
          <w:bCs/>
        </w:rPr>
        <w:t>(</w:t>
      </w:r>
      <w:r w:rsidRPr="009C6DB2">
        <w:rPr>
          <w:rFonts w:hint="eastAsia"/>
          <w:bCs/>
        </w:rPr>
        <w:t>国际和国家</w:t>
      </w:r>
      <w:r w:rsidRPr="009C6DB2">
        <w:rPr>
          <w:bCs/>
        </w:rPr>
        <w:t>)</w:t>
      </w:r>
      <w:r w:rsidRPr="009C6DB2">
        <w:rPr>
          <w:rFonts w:hint="eastAsia"/>
          <w:bCs/>
        </w:rPr>
        <w:t>司法实践、条约实践和委员会以往的工作。关于国际司法实践的分析强调了国际法院、欧洲人权法院和前南斯拉夫问题国际刑事法庭所作各项判决的重要意义。关于国家司法实践的研究基于涉及属事豁免若干方面的大量国家案例，既考虑到了刑事诉讼，也考虑到了民事诉讼，因为在这两类诉讼中都存在为可被认定为</w:t>
      </w:r>
      <w:r w:rsidRPr="00587809">
        <w:rPr>
          <w:rFonts w:ascii="宋体" w:hAnsi="宋体"/>
          <w:bCs/>
        </w:rPr>
        <w:t>“</w:t>
      </w:r>
      <w:r w:rsidRPr="00587809">
        <w:rPr>
          <w:rFonts w:ascii="宋体" w:hAnsi="宋体" w:hint="eastAsia"/>
          <w:bCs/>
        </w:rPr>
        <w:t>以官方身份实施的行为</w:t>
      </w:r>
      <w:r w:rsidRPr="00587809">
        <w:rPr>
          <w:rFonts w:ascii="宋体" w:hAnsi="宋体"/>
          <w:bCs/>
        </w:rPr>
        <w:t>”</w:t>
      </w:r>
      <w:r w:rsidRPr="009C6DB2">
        <w:rPr>
          <w:rFonts w:hint="eastAsia"/>
          <w:bCs/>
        </w:rPr>
        <w:t>的行为形式，也可从中推导出此类行为共同的要素。对条约实践的分析审视了直接或间接提到豁免的各项联合国公约，以及提到了国际刑法禁止的行为所具有的官方性质的国际</w:t>
      </w:r>
      <w:r>
        <w:rPr>
          <w:rFonts w:hint="eastAsia"/>
          <w:bCs/>
        </w:rPr>
        <w:t>(</w:t>
      </w:r>
      <w:r w:rsidRPr="009C6DB2">
        <w:rPr>
          <w:rFonts w:hint="eastAsia"/>
          <w:bCs/>
        </w:rPr>
        <w:t>普遍性和区域性</w:t>
      </w:r>
      <w:r>
        <w:rPr>
          <w:rFonts w:hint="eastAsia"/>
          <w:bCs/>
        </w:rPr>
        <w:t>)</w:t>
      </w:r>
      <w:r w:rsidRPr="009C6DB2">
        <w:rPr>
          <w:rFonts w:hint="eastAsia"/>
          <w:bCs/>
        </w:rPr>
        <w:t>刑法条约。至于对国际法委员会以往工作的分析，重点是关于国家对国际不法行为的责任的条款、《纽伦堡原则》、</w:t>
      </w:r>
      <w:r>
        <w:rPr>
          <w:bCs/>
        </w:rPr>
        <w:t>1</w:t>
      </w:r>
      <w:r w:rsidRPr="009C6DB2">
        <w:rPr>
          <w:bCs/>
        </w:rPr>
        <w:t>9</w:t>
      </w:r>
      <w:r>
        <w:rPr>
          <w:bCs/>
        </w:rPr>
        <w:t>54</w:t>
      </w:r>
      <w:r w:rsidRPr="009C6DB2">
        <w:rPr>
          <w:bCs/>
        </w:rPr>
        <w:t>年《危害人类和平及安全治罪法草案》、</w:t>
      </w:r>
      <w:r>
        <w:rPr>
          <w:bCs/>
        </w:rPr>
        <w:t>1</w:t>
      </w:r>
      <w:r w:rsidRPr="009C6DB2">
        <w:rPr>
          <w:bCs/>
        </w:rPr>
        <w:t>996</w:t>
      </w:r>
      <w:r w:rsidRPr="009C6DB2">
        <w:rPr>
          <w:bCs/>
        </w:rPr>
        <w:t>年《危害人类和平及安全治罪法草案》和</w:t>
      </w:r>
      <w:r>
        <w:rPr>
          <w:rFonts w:hint="eastAsia"/>
          <w:bCs/>
        </w:rPr>
        <w:t>2</w:t>
      </w:r>
      <w:r w:rsidRPr="009C6DB2">
        <w:rPr>
          <w:rFonts w:hint="eastAsia"/>
          <w:bCs/>
        </w:rPr>
        <w:t>0</w:t>
      </w:r>
      <w:r>
        <w:rPr>
          <w:rFonts w:hint="eastAsia"/>
          <w:bCs/>
        </w:rPr>
        <w:t>11</w:t>
      </w:r>
      <w:r w:rsidRPr="009C6DB2">
        <w:rPr>
          <w:rFonts w:hint="eastAsia"/>
          <w:bCs/>
        </w:rPr>
        <w:t>年</w:t>
      </w:r>
      <w:r w:rsidRPr="009C6DB2">
        <w:rPr>
          <w:bCs/>
        </w:rPr>
        <w:t>关于国际组织责任的条款。</w:t>
      </w:r>
    </w:p>
    <w:p w:rsidR="00DB3DD4" w:rsidRPr="009C6DB2" w:rsidRDefault="00DB3DD4" w:rsidP="00DB3DD4">
      <w:pPr>
        <w:pStyle w:val="SingleTxt"/>
        <w:rPr>
          <w:bCs/>
          <w:szCs w:val="21"/>
        </w:rPr>
      </w:pPr>
      <w:r>
        <w:rPr>
          <w:rFonts w:hint="eastAsia"/>
          <w:bCs/>
          <w:szCs w:val="21"/>
        </w:rPr>
        <w:t>1</w:t>
      </w:r>
      <w:r w:rsidRPr="009C6DB2">
        <w:rPr>
          <w:rFonts w:hint="eastAsia"/>
          <w:bCs/>
          <w:szCs w:val="21"/>
        </w:rPr>
        <w:t>8</w:t>
      </w:r>
      <w:r>
        <w:rPr>
          <w:rFonts w:hint="eastAsia"/>
          <w:bCs/>
          <w:szCs w:val="21"/>
        </w:rPr>
        <w:t>2</w:t>
      </w:r>
      <w:r w:rsidRPr="009C6DB2">
        <w:rPr>
          <w:rFonts w:hint="eastAsia"/>
          <w:bCs/>
          <w:szCs w:val="21"/>
        </w:rPr>
        <w:t xml:space="preserve">. </w:t>
      </w:r>
      <w:r>
        <w:rPr>
          <w:rFonts w:hint="eastAsia"/>
          <w:bCs/>
          <w:szCs w:val="21"/>
        </w:rPr>
        <w:t xml:space="preserve"> </w:t>
      </w:r>
      <w:r w:rsidRPr="009C6DB2">
        <w:rPr>
          <w:bCs/>
          <w:szCs w:val="21"/>
        </w:rPr>
        <w:t>在开展上述研究之后，特别报告员接着审视了由此得出的就外国刑事管辖豁免而言</w:t>
      </w:r>
      <w:r w:rsidRPr="00587809">
        <w:rPr>
          <w:rFonts w:ascii="宋体" w:hAnsi="宋体"/>
          <w:bCs/>
          <w:szCs w:val="21"/>
        </w:rPr>
        <w:t>“</w:t>
      </w:r>
      <w:r w:rsidRPr="00587809">
        <w:rPr>
          <w:rFonts w:ascii="宋体" w:hAnsi="宋体" w:hint="eastAsia"/>
          <w:bCs/>
          <w:szCs w:val="21"/>
        </w:rPr>
        <w:t>以官方身份实施的行为</w:t>
      </w:r>
      <w:r w:rsidRPr="00587809">
        <w:rPr>
          <w:rFonts w:ascii="宋体" w:hAnsi="宋体"/>
          <w:bCs/>
          <w:szCs w:val="21"/>
        </w:rPr>
        <w:t>”</w:t>
      </w:r>
      <w:r w:rsidRPr="00587809">
        <w:rPr>
          <w:rFonts w:ascii="宋体" w:hAnsi="宋体" w:hint="eastAsia"/>
          <w:bCs/>
          <w:szCs w:val="21"/>
        </w:rPr>
        <w:t>具</w:t>
      </w:r>
      <w:r w:rsidRPr="009C6DB2">
        <w:rPr>
          <w:rFonts w:hint="eastAsia"/>
          <w:bCs/>
          <w:szCs w:val="21"/>
        </w:rPr>
        <w:t>有的特征，即行为的犯罪性质、行为归于国家以及行使主权和实施行为过程中的政府权力要素。提到行为的犯罪性质有助于突出与可能援引属事豁免的情况所受刑事管辖之间的联系。由此提到了特别报告员称之</w:t>
      </w:r>
      <w:r w:rsidRPr="009C6DB2">
        <w:rPr>
          <w:rFonts w:hint="eastAsia"/>
          <w:bCs/>
          <w:szCs w:val="21"/>
        </w:rPr>
        <w:lastRenderedPageBreak/>
        <w:t>为</w:t>
      </w:r>
      <w:r w:rsidRPr="00D713CB">
        <w:rPr>
          <w:rFonts w:ascii="宋体" w:hAnsi="宋体"/>
          <w:bCs/>
          <w:szCs w:val="21"/>
        </w:rPr>
        <w:t>“</w:t>
      </w:r>
      <w:r w:rsidRPr="00D713CB">
        <w:rPr>
          <w:rFonts w:ascii="宋体" w:hAnsi="宋体" w:hint="eastAsia"/>
          <w:bCs/>
          <w:szCs w:val="21"/>
        </w:rPr>
        <w:t>单一行为，双重责任</w:t>
      </w:r>
      <w:r w:rsidRPr="00D713CB">
        <w:rPr>
          <w:rFonts w:ascii="宋体" w:hAnsi="宋体"/>
          <w:bCs/>
          <w:szCs w:val="21"/>
        </w:rPr>
        <w:t>”</w:t>
      </w:r>
      <w:r w:rsidRPr="00D713CB">
        <w:rPr>
          <w:rFonts w:ascii="宋体" w:hAnsi="宋体" w:hint="eastAsia"/>
          <w:bCs/>
          <w:szCs w:val="21"/>
        </w:rPr>
        <w:t>的个人与国家责任之间的一种关系模式，报告中详细说明了这一模式的各种情形。鉴于只有在国家官员实施的行为与国家之间存在联系时才有理由予以属事豁免，就需要考虑行为归于国家的问题。在这方面值得特别注意的结论是，国家对国际不法行为的责任条款中载有的某些归属标准对于豁免目的没有用处。最后，所认明的</w:t>
      </w:r>
      <w:r w:rsidRPr="00D713CB">
        <w:rPr>
          <w:rFonts w:ascii="宋体" w:hAnsi="宋体"/>
          <w:bCs/>
          <w:szCs w:val="21"/>
        </w:rPr>
        <w:t>“</w:t>
      </w:r>
      <w:r w:rsidRPr="00D713CB">
        <w:rPr>
          <w:rFonts w:ascii="宋体" w:hAnsi="宋体" w:hint="eastAsia"/>
          <w:bCs/>
          <w:szCs w:val="21"/>
        </w:rPr>
        <w:t>以官方身份实施的行为</w:t>
      </w:r>
      <w:r w:rsidRPr="00D713CB">
        <w:rPr>
          <w:rFonts w:ascii="宋体" w:hAnsi="宋体"/>
          <w:bCs/>
          <w:szCs w:val="21"/>
        </w:rPr>
        <w:t>”</w:t>
      </w:r>
      <w:r w:rsidRPr="00D713CB">
        <w:rPr>
          <w:rFonts w:ascii="宋体" w:hAnsi="宋体" w:hint="eastAsia"/>
          <w:bCs/>
          <w:szCs w:val="21"/>
        </w:rPr>
        <w:t>的</w:t>
      </w:r>
      <w:r w:rsidRPr="009C6DB2">
        <w:rPr>
          <w:rFonts w:hint="eastAsia"/>
          <w:bCs/>
          <w:szCs w:val="21"/>
        </w:rPr>
        <w:t>第三个目的论特点是，此类行为是主权的表现，是行使政府权力要素的一种形式。报告提供了一些要素例证。这一节最后审议了国际罪行与以官方身份实施的行为之间的关系。最后，定义了</w:t>
      </w:r>
      <w:r w:rsidRPr="00262A30">
        <w:rPr>
          <w:rFonts w:ascii="宋体" w:hAnsi="宋体"/>
          <w:bCs/>
          <w:szCs w:val="21"/>
        </w:rPr>
        <w:t>“</w:t>
      </w:r>
      <w:r w:rsidRPr="00262A30">
        <w:rPr>
          <w:rFonts w:ascii="宋体" w:hAnsi="宋体" w:hint="eastAsia"/>
          <w:bCs/>
          <w:szCs w:val="21"/>
        </w:rPr>
        <w:t>以官方身份实施的行为</w:t>
      </w:r>
      <w:r w:rsidRPr="00262A30">
        <w:rPr>
          <w:rFonts w:ascii="宋体" w:hAnsi="宋体"/>
          <w:bCs/>
          <w:szCs w:val="21"/>
        </w:rPr>
        <w:t>”</w:t>
      </w:r>
      <w:r w:rsidRPr="009C6DB2">
        <w:rPr>
          <w:rFonts w:hint="eastAsia"/>
          <w:bCs/>
          <w:szCs w:val="21"/>
        </w:rPr>
        <w:t>概念，作为报告</w:t>
      </w:r>
      <w:r>
        <w:rPr>
          <w:bCs/>
          <w:szCs w:val="21"/>
        </w:rPr>
        <w:t>B</w:t>
      </w:r>
      <w:r w:rsidRPr="009C6DB2">
        <w:rPr>
          <w:rFonts w:hint="eastAsia"/>
          <w:bCs/>
          <w:szCs w:val="21"/>
        </w:rPr>
        <w:t>部分的结论。</w:t>
      </w:r>
    </w:p>
    <w:p w:rsidR="00DB3DD4" w:rsidRPr="009C6DB2" w:rsidRDefault="00DB3DD4" w:rsidP="00DB3DD4">
      <w:pPr>
        <w:pStyle w:val="SingleTxt"/>
        <w:rPr>
          <w:szCs w:val="21"/>
        </w:rPr>
      </w:pPr>
      <w:r>
        <w:rPr>
          <w:rFonts w:hint="eastAsia"/>
          <w:bCs/>
          <w:szCs w:val="21"/>
        </w:rPr>
        <w:t>1</w:t>
      </w:r>
      <w:r w:rsidRPr="009C6DB2">
        <w:rPr>
          <w:rFonts w:hint="eastAsia"/>
          <w:bCs/>
          <w:szCs w:val="21"/>
        </w:rPr>
        <w:t>8</w:t>
      </w:r>
      <w:r>
        <w:rPr>
          <w:rFonts w:hint="eastAsia"/>
          <w:bCs/>
          <w:szCs w:val="21"/>
        </w:rPr>
        <w:t>3</w:t>
      </w:r>
      <w:r w:rsidRPr="009C6DB2">
        <w:rPr>
          <w:rFonts w:hint="eastAsia"/>
          <w:bCs/>
          <w:szCs w:val="21"/>
        </w:rPr>
        <w:t xml:space="preserve">. </w:t>
      </w:r>
      <w:r>
        <w:rPr>
          <w:rFonts w:hint="eastAsia"/>
          <w:bCs/>
          <w:szCs w:val="21"/>
        </w:rPr>
        <w:t xml:space="preserve"> </w:t>
      </w:r>
      <w:r w:rsidRPr="009C6DB2">
        <w:rPr>
          <w:rFonts w:hint="eastAsia"/>
          <w:bCs/>
          <w:szCs w:val="21"/>
        </w:rPr>
        <w:t>报告</w:t>
      </w:r>
      <w:r>
        <w:rPr>
          <w:bCs/>
          <w:szCs w:val="21"/>
        </w:rPr>
        <w:t>C</w:t>
      </w:r>
      <w:r w:rsidRPr="009C6DB2">
        <w:rPr>
          <w:rFonts w:hint="eastAsia"/>
          <w:bCs/>
          <w:szCs w:val="21"/>
        </w:rPr>
        <w:t>部分简要分析了时间要素，阐述了属事豁免的无限期性质和考虑区分行为实施时刻与援引豁免时刻的意义。报告</w:t>
      </w:r>
      <w:r>
        <w:rPr>
          <w:bCs/>
          <w:szCs w:val="21"/>
        </w:rPr>
        <w:t>D</w:t>
      </w:r>
      <w:r w:rsidRPr="009C6DB2">
        <w:rPr>
          <w:rFonts w:hint="eastAsia"/>
          <w:bCs/>
          <w:szCs w:val="21"/>
        </w:rPr>
        <w:t>部分侧重属事豁免的范围，由此提出了关于这个问题的第</w:t>
      </w:r>
      <w:r w:rsidRPr="009C6DB2">
        <w:rPr>
          <w:bCs/>
          <w:szCs w:val="21"/>
        </w:rPr>
        <w:t>6</w:t>
      </w:r>
      <w:r w:rsidRPr="009C6DB2">
        <w:rPr>
          <w:rFonts w:hint="eastAsia"/>
          <w:bCs/>
          <w:szCs w:val="21"/>
        </w:rPr>
        <w:t>条草案。第四次报告在最后提到了有关这个专题的今后工作计划，特别报告员宣布，第五次报告将处理豁免的限制和例外问题。</w:t>
      </w:r>
    </w:p>
    <w:p w:rsidR="00DB3DD4" w:rsidRPr="009C6DB2" w:rsidRDefault="00DB3DD4" w:rsidP="00DB3DD4">
      <w:pPr>
        <w:pStyle w:val="SingleTxt"/>
        <w:rPr>
          <w:i/>
          <w:iCs/>
          <w:szCs w:val="21"/>
        </w:rPr>
      </w:pPr>
      <w:r>
        <w:rPr>
          <w:szCs w:val="21"/>
        </w:rPr>
        <w:t>1</w:t>
      </w:r>
      <w:r w:rsidRPr="009C6DB2">
        <w:rPr>
          <w:rFonts w:hint="eastAsia"/>
          <w:szCs w:val="21"/>
        </w:rPr>
        <w:t>8</w:t>
      </w:r>
      <w:r>
        <w:rPr>
          <w:rFonts w:hint="eastAsia"/>
          <w:szCs w:val="21"/>
        </w:rPr>
        <w:t>4</w:t>
      </w:r>
      <w:r w:rsidRPr="009C6DB2">
        <w:rPr>
          <w:szCs w:val="21"/>
        </w:rPr>
        <w:t>.</w:t>
      </w:r>
      <w:r w:rsidRPr="009C6DB2">
        <w:rPr>
          <w:rFonts w:hint="eastAsia"/>
          <w:szCs w:val="21"/>
        </w:rPr>
        <w:t xml:space="preserve">  </w:t>
      </w:r>
      <w:r w:rsidRPr="009C6DB2">
        <w:rPr>
          <w:rFonts w:hint="eastAsia"/>
          <w:szCs w:val="21"/>
        </w:rPr>
        <w:t>特别报告员指出，报告套用了第三次报告采用的方法，基本上以</w:t>
      </w:r>
      <w:r>
        <w:rPr>
          <w:rFonts w:hint="eastAsia"/>
          <w:szCs w:val="21"/>
        </w:rPr>
        <w:t>(</w:t>
      </w:r>
      <w:r w:rsidRPr="009C6DB2">
        <w:rPr>
          <w:rFonts w:hint="eastAsia"/>
          <w:szCs w:val="21"/>
        </w:rPr>
        <w:t>国际和国家</w:t>
      </w:r>
      <w:r>
        <w:rPr>
          <w:rFonts w:hint="eastAsia"/>
          <w:szCs w:val="21"/>
        </w:rPr>
        <w:t>)</w:t>
      </w:r>
      <w:r w:rsidRPr="009C6DB2">
        <w:rPr>
          <w:rFonts w:hint="eastAsia"/>
          <w:szCs w:val="21"/>
        </w:rPr>
        <w:t>司法实践和条约实践以及委员会以往的工作为分析问题的基础。另外还参照了</w:t>
      </w:r>
      <w:r>
        <w:rPr>
          <w:rFonts w:hint="eastAsia"/>
          <w:szCs w:val="21"/>
        </w:rPr>
        <w:t>2</w:t>
      </w:r>
      <w:r w:rsidRPr="009C6DB2">
        <w:rPr>
          <w:rFonts w:hint="eastAsia"/>
          <w:szCs w:val="21"/>
        </w:rPr>
        <w:t>0</w:t>
      </w:r>
      <w:r>
        <w:rPr>
          <w:rFonts w:hint="eastAsia"/>
          <w:szCs w:val="21"/>
        </w:rPr>
        <w:t>14</w:t>
      </w:r>
      <w:r w:rsidRPr="009C6DB2">
        <w:rPr>
          <w:rFonts w:hint="eastAsia"/>
          <w:szCs w:val="21"/>
        </w:rPr>
        <w:t>年和</w:t>
      </w:r>
      <w:r>
        <w:rPr>
          <w:rFonts w:hint="eastAsia"/>
          <w:szCs w:val="21"/>
        </w:rPr>
        <w:t>2</w:t>
      </w:r>
      <w:r w:rsidRPr="009C6DB2">
        <w:rPr>
          <w:rFonts w:hint="eastAsia"/>
          <w:szCs w:val="21"/>
        </w:rPr>
        <w:t>0</w:t>
      </w:r>
      <w:r>
        <w:rPr>
          <w:rFonts w:hint="eastAsia"/>
          <w:szCs w:val="21"/>
        </w:rPr>
        <w:t>15</w:t>
      </w:r>
      <w:r w:rsidRPr="009C6DB2">
        <w:rPr>
          <w:rFonts w:hint="eastAsia"/>
          <w:szCs w:val="21"/>
        </w:rPr>
        <w:t>年收到的政府评论意见，这些评论在提交时都得到了酌情考虑，以及代表们在大会第六委员会的口头发言中表示的意见。特别报告员还请委员会注意第四次报告完成以后收到的荷兰和波兰的意见。</w:t>
      </w:r>
    </w:p>
    <w:p w:rsidR="00DB3DD4" w:rsidRPr="009C6DB2" w:rsidRDefault="00DB3DD4" w:rsidP="00DB3DD4">
      <w:pPr>
        <w:pStyle w:val="SingleTxt"/>
        <w:rPr>
          <w:szCs w:val="21"/>
        </w:rPr>
      </w:pPr>
      <w:r>
        <w:rPr>
          <w:szCs w:val="21"/>
        </w:rPr>
        <w:t>1</w:t>
      </w:r>
      <w:r w:rsidRPr="009C6DB2">
        <w:rPr>
          <w:rFonts w:hint="eastAsia"/>
          <w:szCs w:val="21"/>
        </w:rPr>
        <w:t>8</w:t>
      </w:r>
      <w:r>
        <w:rPr>
          <w:rFonts w:hint="eastAsia"/>
          <w:szCs w:val="21"/>
        </w:rPr>
        <w:t>5</w:t>
      </w:r>
      <w:r w:rsidRPr="009C6DB2">
        <w:rPr>
          <w:szCs w:val="21"/>
        </w:rPr>
        <w:t>.</w:t>
      </w:r>
      <w:r w:rsidRPr="009C6DB2">
        <w:rPr>
          <w:rFonts w:hint="eastAsia"/>
          <w:szCs w:val="21"/>
        </w:rPr>
        <w:t xml:space="preserve">  </w:t>
      </w:r>
      <w:r w:rsidRPr="009C6DB2">
        <w:rPr>
          <w:rFonts w:hint="eastAsia"/>
          <w:szCs w:val="21"/>
        </w:rPr>
        <w:t>报告的重点是分析</w:t>
      </w:r>
      <w:r w:rsidRPr="00F63BCC">
        <w:rPr>
          <w:rFonts w:ascii="宋体" w:hAnsi="宋体"/>
          <w:szCs w:val="21"/>
        </w:rPr>
        <w:t>“</w:t>
      </w:r>
      <w:r w:rsidRPr="00F63BCC">
        <w:rPr>
          <w:rFonts w:ascii="宋体" w:hAnsi="宋体" w:hint="eastAsia"/>
          <w:szCs w:val="21"/>
        </w:rPr>
        <w:t>以官方身份实施的行为</w:t>
      </w:r>
      <w:r w:rsidRPr="00F63BCC">
        <w:rPr>
          <w:rFonts w:ascii="宋体" w:hAnsi="宋体"/>
          <w:szCs w:val="21"/>
        </w:rPr>
        <w:t>”</w:t>
      </w:r>
      <w:r w:rsidRPr="009C6DB2">
        <w:rPr>
          <w:rFonts w:hint="eastAsia"/>
          <w:szCs w:val="21"/>
        </w:rPr>
        <w:t>概念。特别报告员指出，对时间要素的分析很简短，因为这个问题本质上没有什么争议；在实践中和在理论上对于属事豁免的</w:t>
      </w:r>
      <w:r w:rsidRPr="00F63BCC">
        <w:rPr>
          <w:rFonts w:ascii="宋体" w:hAnsi="宋体"/>
          <w:szCs w:val="21"/>
        </w:rPr>
        <w:t>“</w:t>
      </w:r>
      <w:r w:rsidRPr="00F63BCC">
        <w:rPr>
          <w:rFonts w:ascii="宋体" w:hAnsi="宋体" w:hint="eastAsia"/>
          <w:szCs w:val="21"/>
        </w:rPr>
        <w:t>无限期</w:t>
      </w:r>
      <w:r w:rsidRPr="00F63BCC">
        <w:rPr>
          <w:rFonts w:ascii="宋体" w:hAnsi="宋体"/>
          <w:szCs w:val="21"/>
        </w:rPr>
        <w:t>”</w:t>
      </w:r>
      <w:r w:rsidRPr="00F63BCC">
        <w:rPr>
          <w:rFonts w:ascii="宋体" w:hAnsi="宋体" w:hint="eastAsia"/>
          <w:szCs w:val="21"/>
        </w:rPr>
        <w:t>或</w:t>
      </w:r>
      <w:r w:rsidRPr="00F63BCC">
        <w:rPr>
          <w:rFonts w:ascii="宋体" w:hAnsi="宋体"/>
          <w:szCs w:val="21"/>
        </w:rPr>
        <w:t>“</w:t>
      </w:r>
      <w:r w:rsidRPr="00F63BCC">
        <w:rPr>
          <w:rFonts w:ascii="宋体" w:hAnsi="宋体" w:hint="eastAsia"/>
          <w:szCs w:val="21"/>
        </w:rPr>
        <w:t>永久性</w:t>
      </w:r>
      <w:r w:rsidRPr="00F63BCC">
        <w:rPr>
          <w:rFonts w:ascii="宋体" w:hAnsi="宋体"/>
          <w:szCs w:val="21"/>
        </w:rPr>
        <w:t>”</w:t>
      </w:r>
      <w:r w:rsidRPr="009C6DB2">
        <w:rPr>
          <w:rFonts w:hint="eastAsia"/>
          <w:szCs w:val="21"/>
        </w:rPr>
        <w:t>性质有着广泛的共识。不过，她指出，还是需要分析该要素</w:t>
      </w:r>
      <w:r>
        <w:rPr>
          <w:rFonts w:hint="eastAsia"/>
          <w:szCs w:val="21"/>
        </w:rPr>
        <w:t>(</w:t>
      </w:r>
      <w:r w:rsidRPr="009C6DB2">
        <w:rPr>
          <w:rFonts w:hint="eastAsia"/>
          <w:szCs w:val="21"/>
        </w:rPr>
        <w:t>限制或条件</w:t>
      </w:r>
      <w:r>
        <w:rPr>
          <w:rFonts w:hint="eastAsia"/>
          <w:szCs w:val="21"/>
        </w:rPr>
        <w:t>)</w:t>
      </w:r>
      <w:r w:rsidRPr="009C6DB2">
        <w:rPr>
          <w:rFonts w:hint="eastAsia"/>
          <w:szCs w:val="21"/>
        </w:rPr>
        <w:t>属于什么性质，以及为了确定是否满足时间要素而需要考虑的关键日期，是行为实施的时刻还是提出豁免主张的时刻。她还提请注意拟议的条款草案。</w:t>
      </w:r>
    </w:p>
    <w:p w:rsidR="00DB3DD4" w:rsidRPr="009C6DB2" w:rsidRDefault="00DB3DD4" w:rsidP="00DB3DD4">
      <w:pPr>
        <w:pStyle w:val="SingleTxt"/>
        <w:rPr>
          <w:szCs w:val="21"/>
        </w:rPr>
      </w:pPr>
      <w:r>
        <w:rPr>
          <w:szCs w:val="21"/>
        </w:rPr>
        <w:t>1</w:t>
      </w:r>
      <w:r w:rsidRPr="009C6DB2">
        <w:rPr>
          <w:rFonts w:hint="eastAsia"/>
          <w:szCs w:val="21"/>
        </w:rPr>
        <w:t>86</w:t>
      </w:r>
      <w:r w:rsidRPr="009C6DB2">
        <w:rPr>
          <w:szCs w:val="21"/>
        </w:rPr>
        <w:t>.</w:t>
      </w:r>
      <w:r w:rsidRPr="009C6DB2">
        <w:rPr>
          <w:rFonts w:hint="eastAsia"/>
          <w:szCs w:val="21"/>
        </w:rPr>
        <w:t xml:space="preserve">  </w:t>
      </w:r>
      <w:r w:rsidRPr="009C6DB2">
        <w:rPr>
          <w:rFonts w:hint="eastAsia"/>
          <w:szCs w:val="21"/>
        </w:rPr>
        <w:t>特别报告员强调，报告的核心是分析属事豁免的实质范围。因此，是对</w:t>
      </w:r>
      <w:r w:rsidRPr="00587809">
        <w:rPr>
          <w:rFonts w:ascii="宋体" w:hAnsi="宋体"/>
          <w:szCs w:val="21"/>
        </w:rPr>
        <w:t>“</w:t>
      </w:r>
      <w:r w:rsidRPr="00587809">
        <w:rPr>
          <w:rFonts w:ascii="宋体" w:hAnsi="宋体" w:hint="eastAsia"/>
          <w:szCs w:val="21"/>
        </w:rPr>
        <w:t>以官方身份实施的行为</w:t>
      </w:r>
      <w:r w:rsidRPr="00587809">
        <w:rPr>
          <w:rFonts w:ascii="宋体" w:hAnsi="宋体"/>
          <w:szCs w:val="21"/>
        </w:rPr>
        <w:t>”</w:t>
      </w:r>
      <w:r w:rsidRPr="00F63BCC">
        <w:rPr>
          <w:rFonts w:ascii="宋体" w:hAnsi="宋体" w:hint="eastAsia"/>
          <w:szCs w:val="21"/>
        </w:rPr>
        <w:t>的一次研究，通过这一研究又处理了</w:t>
      </w:r>
      <w:r w:rsidRPr="00F63BCC">
        <w:rPr>
          <w:rFonts w:ascii="宋体" w:hAnsi="宋体"/>
          <w:szCs w:val="21"/>
        </w:rPr>
        <w:t>“</w:t>
      </w:r>
      <w:r w:rsidRPr="00F63BCC">
        <w:rPr>
          <w:rFonts w:ascii="宋体" w:hAnsi="宋体" w:hint="eastAsia"/>
          <w:szCs w:val="21"/>
        </w:rPr>
        <w:t>以官方身份实施的行为</w:t>
      </w:r>
      <w:r w:rsidRPr="00F63BCC">
        <w:rPr>
          <w:rFonts w:ascii="宋体" w:hAnsi="宋体"/>
          <w:szCs w:val="21"/>
        </w:rPr>
        <w:t>”</w:t>
      </w:r>
      <w:r w:rsidRPr="009C6DB2">
        <w:rPr>
          <w:rFonts w:hint="eastAsia"/>
          <w:szCs w:val="21"/>
        </w:rPr>
        <w:t>与</w:t>
      </w:r>
      <w:r w:rsidRPr="00587809">
        <w:rPr>
          <w:rFonts w:ascii="宋体" w:hAnsi="宋体"/>
          <w:szCs w:val="21"/>
        </w:rPr>
        <w:t>“</w:t>
      </w:r>
      <w:r w:rsidRPr="00587809">
        <w:rPr>
          <w:rFonts w:ascii="宋体" w:hAnsi="宋体" w:hint="eastAsia"/>
          <w:szCs w:val="21"/>
        </w:rPr>
        <w:t>以私人身份实施的行为</w:t>
      </w:r>
      <w:r w:rsidRPr="00587809">
        <w:rPr>
          <w:rFonts w:ascii="宋体" w:hAnsi="宋体"/>
          <w:szCs w:val="21"/>
        </w:rPr>
        <w:t>”</w:t>
      </w:r>
      <w:r w:rsidRPr="009C6DB2">
        <w:rPr>
          <w:rFonts w:hint="eastAsia"/>
          <w:szCs w:val="21"/>
        </w:rPr>
        <w:t>之间的区别，提出了识别</w:t>
      </w:r>
      <w:r w:rsidRPr="00587809">
        <w:rPr>
          <w:rFonts w:ascii="宋体" w:hAnsi="宋体"/>
          <w:szCs w:val="21"/>
        </w:rPr>
        <w:t>“</w:t>
      </w:r>
      <w:r w:rsidRPr="00587809">
        <w:rPr>
          <w:rFonts w:ascii="宋体" w:hAnsi="宋体" w:hint="eastAsia"/>
          <w:szCs w:val="21"/>
        </w:rPr>
        <w:t>以官方身份实施的行为</w:t>
      </w:r>
      <w:r w:rsidRPr="00587809">
        <w:rPr>
          <w:rFonts w:ascii="宋体" w:hAnsi="宋体"/>
          <w:szCs w:val="21"/>
        </w:rPr>
        <w:t>”</w:t>
      </w:r>
      <w:r w:rsidRPr="00587809">
        <w:rPr>
          <w:rFonts w:ascii="宋体" w:hAnsi="宋体" w:hint="eastAsia"/>
          <w:szCs w:val="21"/>
        </w:rPr>
        <w:t>的</w:t>
      </w:r>
      <w:r w:rsidRPr="009C6DB2">
        <w:rPr>
          <w:rFonts w:hint="eastAsia"/>
          <w:szCs w:val="21"/>
        </w:rPr>
        <w:t>标准及此种行为的特征，最后提出了一条关于这类行为定义的条款草案。第</w:t>
      </w:r>
      <w:r w:rsidRPr="009C6DB2">
        <w:rPr>
          <w:szCs w:val="21"/>
        </w:rPr>
        <w:t>6</w:t>
      </w:r>
      <w:r w:rsidRPr="009C6DB2">
        <w:rPr>
          <w:rFonts w:hint="eastAsia"/>
          <w:szCs w:val="21"/>
        </w:rPr>
        <w:t>条第</w:t>
      </w:r>
      <w:r>
        <w:rPr>
          <w:szCs w:val="21"/>
        </w:rPr>
        <w:t>2</w:t>
      </w:r>
      <w:r w:rsidRPr="009C6DB2">
        <w:rPr>
          <w:rFonts w:hint="eastAsia"/>
          <w:szCs w:val="21"/>
        </w:rPr>
        <w:t>款草案</w:t>
      </w:r>
      <w:r w:rsidRPr="009C6DB2">
        <w:rPr>
          <w:szCs w:val="21"/>
        </w:rPr>
        <w:t>关于以官方身份实施的行为的提法是，属事豁免仅适用</w:t>
      </w:r>
      <w:r w:rsidRPr="009C6DB2">
        <w:rPr>
          <w:rFonts w:hint="eastAsia"/>
          <w:szCs w:val="21"/>
        </w:rPr>
        <w:t>于</w:t>
      </w:r>
      <w:r w:rsidRPr="009C6DB2">
        <w:rPr>
          <w:szCs w:val="21"/>
        </w:rPr>
        <w:t>国家官员实施的行为。</w:t>
      </w:r>
    </w:p>
    <w:p w:rsidR="00DB3DD4" w:rsidRPr="009C6DB2" w:rsidRDefault="00DB3DD4" w:rsidP="00DB3DD4">
      <w:pPr>
        <w:pStyle w:val="SingleTxt"/>
        <w:rPr>
          <w:szCs w:val="21"/>
        </w:rPr>
      </w:pPr>
      <w:r>
        <w:rPr>
          <w:szCs w:val="21"/>
        </w:rPr>
        <w:t>1</w:t>
      </w:r>
      <w:r w:rsidRPr="009C6DB2">
        <w:rPr>
          <w:rFonts w:hint="eastAsia"/>
          <w:szCs w:val="21"/>
        </w:rPr>
        <w:t>87</w:t>
      </w:r>
      <w:r w:rsidRPr="009C6DB2">
        <w:rPr>
          <w:szCs w:val="21"/>
        </w:rPr>
        <w:t>.</w:t>
      </w:r>
      <w:r w:rsidRPr="009C6DB2">
        <w:rPr>
          <w:rFonts w:hint="eastAsia"/>
          <w:szCs w:val="21"/>
        </w:rPr>
        <w:t xml:space="preserve">  </w:t>
      </w:r>
      <w:r w:rsidRPr="009C6DB2">
        <w:rPr>
          <w:rFonts w:hint="eastAsia"/>
          <w:szCs w:val="21"/>
        </w:rPr>
        <w:t>注意到，</w:t>
      </w:r>
      <w:r w:rsidRPr="00F63BCC">
        <w:rPr>
          <w:rFonts w:ascii="宋体" w:hAnsi="宋体"/>
          <w:szCs w:val="21"/>
        </w:rPr>
        <w:t>“</w:t>
      </w:r>
      <w:r w:rsidRPr="00F63BCC">
        <w:rPr>
          <w:rFonts w:ascii="宋体" w:hAnsi="宋体" w:hint="eastAsia"/>
          <w:szCs w:val="21"/>
        </w:rPr>
        <w:t>以官方身份实施的行为</w:t>
      </w:r>
      <w:r w:rsidRPr="00F63BCC">
        <w:rPr>
          <w:rFonts w:ascii="宋体" w:hAnsi="宋体"/>
          <w:szCs w:val="21"/>
        </w:rPr>
        <w:t>”</w:t>
      </w:r>
      <w:r w:rsidRPr="009C6DB2">
        <w:rPr>
          <w:rFonts w:hint="eastAsia"/>
          <w:szCs w:val="21"/>
        </w:rPr>
        <w:t>概念是整个专题的核心问题，对于属事豁免具有特殊意义；只有国家官员以官方身份实施的行为才属于外国刑事管辖豁免的范围之内。特别报告员承认，提到这个概念使用过不同的措辞，但就本专题而言，沿用国际法院在</w:t>
      </w:r>
      <w:r w:rsidRPr="00262A30">
        <w:rPr>
          <w:rFonts w:ascii="宋体" w:hAnsi="宋体"/>
          <w:szCs w:val="21"/>
        </w:rPr>
        <w:t>“</w:t>
      </w:r>
      <w:r w:rsidRPr="00262A30">
        <w:rPr>
          <w:rFonts w:ascii="宋体" w:hAnsi="宋体" w:hint="eastAsia"/>
          <w:szCs w:val="21"/>
        </w:rPr>
        <w:t>逮捕证案</w:t>
      </w:r>
      <w:r w:rsidRPr="00262A30">
        <w:rPr>
          <w:rFonts w:ascii="宋体" w:hAnsi="宋体"/>
          <w:szCs w:val="21"/>
        </w:rPr>
        <w:t>”</w:t>
      </w:r>
      <w:r w:rsidRPr="00262A30">
        <w:rPr>
          <w:rFonts w:ascii="宋体" w:hAnsi="宋体" w:hint="eastAsia"/>
          <w:szCs w:val="21"/>
        </w:rPr>
        <w:t>中</w:t>
      </w:r>
      <w:r w:rsidRPr="009C6DB2">
        <w:rPr>
          <w:rFonts w:hint="eastAsia"/>
          <w:szCs w:val="21"/>
        </w:rPr>
        <w:t>使用的术语，使用</w:t>
      </w:r>
      <w:r w:rsidRPr="00262A30">
        <w:rPr>
          <w:rFonts w:ascii="宋体" w:hAnsi="宋体"/>
          <w:szCs w:val="21"/>
        </w:rPr>
        <w:t>“</w:t>
      </w:r>
      <w:r w:rsidRPr="00262A30">
        <w:rPr>
          <w:rFonts w:ascii="宋体" w:hAnsi="宋体" w:hint="eastAsia"/>
          <w:szCs w:val="21"/>
        </w:rPr>
        <w:t>以官方身份实施的行为</w:t>
      </w:r>
      <w:r w:rsidRPr="00262A30">
        <w:rPr>
          <w:rFonts w:ascii="宋体" w:hAnsi="宋体"/>
          <w:szCs w:val="21"/>
        </w:rPr>
        <w:t>”</w:t>
      </w:r>
      <w:r w:rsidRPr="009C6DB2">
        <w:rPr>
          <w:rFonts w:hint="eastAsia"/>
          <w:szCs w:val="21"/>
        </w:rPr>
        <w:t>这一用语，目的是确保委员会内部术语用法的一致性。</w:t>
      </w:r>
    </w:p>
    <w:p w:rsidR="00DB3DD4" w:rsidRPr="009C6DB2" w:rsidRDefault="00DB3DD4" w:rsidP="00DB3DD4">
      <w:pPr>
        <w:pStyle w:val="SingleTxt"/>
        <w:rPr>
          <w:szCs w:val="21"/>
        </w:rPr>
      </w:pPr>
      <w:r>
        <w:rPr>
          <w:szCs w:val="21"/>
        </w:rPr>
        <w:t>1</w:t>
      </w:r>
      <w:r w:rsidRPr="009C6DB2">
        <w:rPr>
          <w:rFonts w:hint="eastAsia"/>
          <w:szCs w:val="21"/>
        </w:rPr>
        <w:t>88</w:t>
      </w:r>
      <w:r w:rsidRPr="009C6DB2">
        <w:rPr>
          <w:szCs w:val="21"/>
        </w:rPr>
        <w:t>.</w:t>
      </w:r>
      <w:r w:rsidRPr="009C6DB2">
        <w:rPr>
          <w:rFonts w:hint="eastAsia"/>
          <w:szCs w:val="21"/>
        </w:rPr>
        <w:t xml:space="preserve">  </w:t>
      </w:r>
      <w:r w:rsidRPr="009C6DB2">
        <w:rPr>
          <w:rFonts w:hint="eastAsia"/>
          <w:szCs w:val="21"/>
        </w:rPr>
        <w:t>特别报告员说，当代国际法中尚未确定其表述。它经常被解释为</w:t>
      </w:r>
      <w:r w:rsidRPr="00F63BCC">
        <w:rPr>
          <w:rFonts w:ascii="宋体" w:hAnsi="宋体"/>
          <w:szCs w:val="21"/>
        </w:rPr>
        <w:t>“</w:t>
      </w:r>
      <w:r w:rsidRPr="00F63BCC">
        <w:rPr>
          <w:rFonts w:ascii="宋体" w:hAnsi="宋体" w:hint="eastAsia"/>
          <w:szCs w:val="21"/>
        </w:rPr>
        <w:t>以私人身份实施的行为</w:t>
      </w:r>
      <w:r w:rsidRPr="00F63BCC">
        <w:rPr>
          <w:rFonts w:ascii="宋体" w:hAnsi="宋体"/>
          <w:szCs w:val="21"/>
        </w:rPr>
        <w:t>”</w:t>
      </w:r>
      <w:r w:rsidRPr="00F63BCC">
        <w:rPr>
          <w:rFonts w:ascii="宋体" w:hAnsi="宋体" w:hint="eastAsia"/>
          <w:szCs w:val="21"/>
        </w:rPr>
        <w:t>的反义用语，而</w:t>
      </w:r>
      <w:r w:rsidRPr="00F63BCC">
        <w:rPr>
          <w:rFonts w:ascii="宋体" w:hAnsi="宋体"/>
          <w:szCs w:val="21"/>
        </w:rPr>
        <w:t>“</w:t>
      </w:r>
      <w:r w:rsidRPr="00F63BCC">
        <w:rPr>
          <w:rFonts w:ascii="宋体" w:hAnsi="宋体" w:hint="eastAsia"/>
          <w:szCs w:val="21"/>
        </w:rPr>
        <w:t>以私人身份实施的行为</w:t>
      </w:r>
      <w:r w:rsidRPr="00F63BCC">
        <w:rPr>
          <w:rFonts w:ascii="宋体" w:hAnsi="宋体"/>
          <w:szCs w:val="21"/>
        </w:rPr>
        <w:t>”</w:t>
      </w:r>
      <w:r w:rsidRPr="009C6DB2">
        <w:rPr>
          <w:rFonts w:hint="eastAsia"/>
          <w:szCs w:val="21"/>
        </w:rPr>
        <w:t>本身也是一个没有界定的类别。但是，在分析有关实践的基础上，特别报告员提出了某些识别以官方身份实施的行为的明确标准。具体而言，提到了：</w:t>
      </w:r>
      <w:r w:rsidRPr="009C6DB2">
        <w:rPr>
          <w:szCs w:val="21"/>
        </w:rPr>
        <w:t>(</w:t>
      </w:r>
      <w:r>
        <w:rPr>
          <w:szCs w:val="21"/>
        </w:rPr>
        <w:t>a</w:t>
      </w:r>
      <w:r w:rsidRPr="009C6DB2">
        <w:rPr>
          <w:szCs w:val="21"/>
        </w:rPr>
        <w:t>)</w:t>
      </w:r>
      <w:r w:rsidRPr="009C6DB2">
        <w:rPr>
          <w:rFonts w:hint="eastAsia"/>
          <w:szCs w:val="21"/>
        </w:rPr>
        <w:t xml:space="preserve"> </w:t>
      </w:r>
      <w:r w:rsidRPr="009C6DB2">
        <w:rPr>
          <w:rFonts w:hint="eastAsia"/>
          <w:szCs w:val="21"/>
        </w:rPr>
        <w:t>除其他外，与一定数目的罪行相</w:t>
      </w:r>
      <w:r w:rsidRPr="009C6DB2">
        <w:rPr>
          <w:rFonts w:hint="eastAsia"/>
          <w:szCs w:val="21"/>
        </w:rPr>
        <w:lastRenderedPageBreak/>
        <w:t>连，包括在国际法下的罪行、一贯和严重侵犯人权、武装部队和执法人员实施的某些行为以及与腐败有关的行为</w:t>
      </w:r>
      <w:r>
        <w:rPr>
          <w:bCs/>
          <w:szCs w:val="21"/>
        </w:rPr>
        <w:t>；</w:t>
      </w:r>
      <w:r w:rsidRPr="009C6DB2">
        <w:rPr>
          <w:bCs/>
          <w:szCs w:val="21"/>
        </w:rPr>
        <w:t>(</w:t>
      </w:r>
      <w:r>
        <w:rPr>
          <w:bCs/>
          <w:szCs w:val="21"/>
        </w:rPr>
        <w:t>b</w:t>
      </w:r>
      <w:r w:rsidRPr="009C6DB2">
        <w:rPr>
          <w:bCs/>
          <w:szCs w:val="21"/>
        </w:rPr>
        <w:t>)</w:t>
      </w:r>
      <w:r w:rsidRPr="009C6DB2">
        <w:rPr>
          <w:rFonts w:hint="eastAsia"/>
          <w:bCs/>
          <w:szCs w:val="21"/>
        </w:rPr>
        <w:t xml:space="preserve"> </w:t>
      </w:r>
      <w:r w:rsidRPr="009C6DB2">
        <w:rPr>
          <w:rFonts w:hint="eastAsia"/>
          <w:bCs/>
          <w:szCs w:val="21"/>
        </w:rPr>
        <w:t>有些多边条约将某些行为的实施与此类行为实施者的官方身份相联系</w:t>
      </w:r>
      <w:r>
        <w:rPr>
          <w:bCs/>
          <w:szCs w:val="21"/>
        </w:rPr>
        <w:t>；</w:t>
      </w:r>
      <w:r w:rsidRPr="009C6DB2">
        <w:rPr>
          <w:bCs/>
          <w:szCs w:val="21"/>
        </w:rPr>
        <w:t>(</w:t>
      </w:r>
      <w:r>
        <w:rPr>
          <w:bCs/>
          <w:szCs w:val="21"/>
        </w:rPr>
        <w:t>c</w:t>
      </w:r>
      <w:r w:rsidRPr="009C6DB2">
        <w:rPr>
          <w:bCs/>
          <w:szCs w:val="21"/>
        </w:rPr>
        <w:t xml:space="preserve">) </w:t>
      </w:r>
      <w:r w:rsidRPr="009C6DB2">
        <w:rPr>
          <w:rFonts w:hint="eastAsia"/>
          <w:bCs/>
          <w:szCs w:val="21"/>
        </w:rPr>
        <w:t>国家官员代表国家行使公共权力的特权或实施主权行为的行为，被视为以官方身份实施的行为</w:t>
      </w:r>
      <w:r>
        <w:rPr>
          <w:szCs w:val="21"/>
        </w:rPr>
        <w:t>；</w:t>
      </w:r>
      <w:r w:rsidRPr="009C6DB2">
        <w:rPr>
          <w:szCs w:val="21"/>
        </w:rPr>
        <w:t>(</w:t>
      </w:r>
      <w:r>
        <w:rPr>
          <w:szCs w:val="21"/>
        </w:rPr>
        <w:t>d</w:t>
      </w:r>
      <w:r w:rsidRPr="009C6DB2">
        <w:rPr>
          <w:szCs w:val="21"/>
        </w:rPr>
        <w:t xml:space="preserve">) </w:t>
      </w:r>
      <w:r w:rsidRPr="009C6DB2">
        <w:rPr>
          <w:rFonts w:hint="eastAsia"/>
          <w:szCs w:val="21"/>
        </w:rPr>
        <w:t>对涉及腐败的案件，国家法院一般拒绝给予豁免，理由是，官员从事的与私利密切相连、以官员个人致富而不是主权利益为目的的行为不能享受豁免</w:t>
      </w:r>
      <w:r>
        <w:rPr>
          <w:szCs w:val="21"/>
        </w:rPr>
        <w:t>；</w:t>
      </w:r>
      <w:r w:rsidRPr="009C6DB2">
        <w:rPr>
          <w:szCs w:val="21"/>
        </w:rPr>
        <w:t>(</w:t>
      </w:r>
      <w:r>
        <w:rPr>
          <w:szCs w:val="21"/>
        </w:rPr>
        <w:t>e</w:t>
      </w:r>
      <w:r w:rsidRPr="009C6DB2">
        <w:rPr>
          <w:szCs w:val="21"/>
        </w:rPr>
        <w:t xml:space="preserve">) </w:t>
      </w:r>
      <w:r w:rsidRPr="00F63BCC">
        <w:rPr>
          <w:rFonts w:ascii="宋体" w:hAnsi="宋体"/>
          <w:szCs w:val="21"/>
        </w:rPr>
        <w:t>“</w:t>
      </w:r>
      <w:r w:rsidRPr="00F63BCC">
        <w:rPr>
          <w:rFonts w:ascii="宋体" w:hAnsi="宋体" w:hint="eastAsia"/>
          <w:szCs w:val="21"/>
        </w:rPr>
        <w:t>行使公共权力的特权</w:t>
      </w:r>
      <w:r w:rsidRPr="00F63BCC">
        <w:rPr>
          <w:rFonts w:ascii="宋体" w:hAnsi="宋体"/>
          <w:szCs w:val="21"/>
        </w:rPr>
        <w:t>”</w:t>
      </w:r>
      <w:r w:rsidRPr="00F63BCC">
        <w:rPr>
          <w:rFonts w:ascii="宋体" w:hAnsi="宋体" w:hint="eastAsia"/>
          <w:szCs w:val="21"/>
        </w:rPr>
        <w:t>或者</w:t>
      </w:r>
      <w:r w:rsidRPr="00F63BCC">
        <w:rPr>
          <w:rFonts w:ascii="宋体" w:hAnsi="宋体"/>
          <w:szCs w:val="21"/>
        </w:rPr>
        <w:t>“</w:t>
      </w:r>
      <w:r w:rsidRPr="00F63BCC">
        <w:rPr>
          <w:rFonts w:ascii="宋体" w:hAnsi="宋体" w:hint="eastAsia"/>
          <w:szCs w:val="21"/>
        </w:rPr>
        <w:t>主权行为</w:t>
      </w:r>
      <w:r w:rsidRPr="00F63BCC">
        <w:rPr>
          <w:rFonts w:ascii="宋体" w:hAnsi="宋体"/>
          <w:szCs w:val="21"/>
        </w:rPr>
        <w:t>”</w:t>
      </w:r>
      <w:r w:rsidRPr="009C6DB2">
        <w:rPr>
          <w:rFonts w:hint="eastAsia"/>
          <w:szCs w:val="21"/>
        </w:rPr>
        <w:t>的含义不容易界定。但是，法院认为这一类活动包括警方执法行为、安全部队和武装部队的活动、外交事务、立法行为、司法和内容各异的行政行为；</w:t>
      </w:r>
      <w:r w:rsidRPr="009C6DB2">
        <w:rPr>
          <w:szCs w:val="21"/>
        </w:rPr>
        <w:t>(</w:t>
      </w:r>
      <w:r>
        <w:rPr>
          <w:rFonts w:hint="eastAsia"/>
          <w:szCs w:val="21"/>
        </w:rPr>
        <w:t>f</w:t>
      </w:r>
      <w:r w:rsidRPr="009C6DB2">
        <w:rPr>
          <w:szCs w:val="21"/>
        </w:rPr>
        <w:t xml:space="preserve">) </w:t>
      </w:r>
      <w:r w:rsidRPr="009C6DB2">
        <w:rPr>
          <w:rFonts w:hint="eastAsia"/>
          <w:szCs w:val="21"/>
        </w:rPr>
        <w:t>以官方身份实施的行为这一概念并不自动等同于</w:t>
      </w:r>
      <w:r w:rsidRPr="00F63BCC">
        <w:rPr>
          <w:rFonts w:ascii="宋体" w:hAnsi="宋体"/>
          <w:szCs w:val="21"/>
        </w:rPr>
        <w:t>“</w:t>
      </w:r>
      <w:r w:rsidRPr="00F63BCC">
        <w:rPr>
          <w:rFonts w:ascii="宋体" w:hAnsi="宋体" w:hint="eastAsia"/>
          <w:szCs w:val="21"/>
        </w:rPr>
        <w:t>统治权行为</w:t>
      </w:r>
      <w:r w:rsidRPr="00F63BCC">
        <w:rPr>
          <w:rFonts w:ascii="宋体" w:hAnsi="宋体"/>
          <w:szCs w:val="21"/>
        </w:rPr>
        <w:t>”</w:t>
      </w:r>
      <w:r w:rsidRPr="009C6DB2">
        <w:rPr>
          <w:rFonts w:hint="eastAsia"/>
          <w:szCs w:val="21"/>
        </w:rPr>
        <w:t>概念。不仅不等同，</w:t>
      </w:r>
      <w:r w:rsidRPr="00F63BCC">
        <w:rPr>
          <w:rFonts w:ascii="宋体" w:hAnsi="宋体"/>
          <w:szCs w:val="21"/>
        </w:rPr>
        <w:t>“</w:t>
      </w:r>
      <w:r w:rsidRPr="00F63BCC">
        <w:rPr>
          <w:rFonts w:ascii="宋体" w:hAnsi="宋体" w:hint="eastAsia"/>
          <w:szCs w:val="21"/>
        </w:rPr>
        <w:t>以官方身份实施的行为</w:t>
      </w:r>
      <w:r w:rsidRPr="00F63BCC">
        <w:rPr>
          <w:rFonts w:ascii="宋体" w:hAnsi="宋体"/>
          <w:szCs w:val="21"/>
        </w:rPr>
        <w:t>”</w:t>
      </w:r>
      <w:r w:rsidRPr="00F63BCC">
        <w:rPr>
          <w:rFonts w:ascii="宋体" w:hAnsi="宋体" w:hint="eastAsia"/>
          <w:szCs w:val="21"/>
        </w:rPr>
        <w:t>还可能超出</w:t>
      </w:r>
      <w:r w:rsidRPr="00F63BCC">
        <w:rPr>
          <w:rFonts w:ascii="宋体" w:hAnsi="宋体"/>
          <w:szCs w:val="21"/>
        </w:rPr>
        <w:t>“</w:t>
      </w:r>
      <w:r w:rsidRPr="00F63BCC">
        <w:rPr>
          <w:rFonts w:ascii="宋体" w:hAnsi="宋体" w:hint="eastAsia"/>
          <w:szCs w:val="21"/>
        </w:rPr>
        <w:t>统治权</w:t>
      </w:r>
      <w:r w:rsidRPr="00F63BCC">
        <w:rPr>
          <w:rFonts w:ascii="宋体" w:hAnsi="宋体"/>
          <w:szCs w:val="21"/>
        </w:rPr>
        <w:t>”</w:t>
      </w:r>
      <w:r w:rsidRPr="009C6DB2">
        <w:rPr>
          <w:rFonts w:hint="eastAsia"/>
          <w:szCs w:val="21"/>
        </w:rPr>
        <w:t>行为的范围，并也可能涉及国家官员在履行公务和行使国家职能过程中实施的某些</w:t>
      </w:r>
      <w:r w:rsidRPr="00587809">
        <w:rPr>
          <w:rFonts w:ascii="宋体" w:hAnsi="宋体"/>
          <w:szCs w:val="21"/>
        </w:rPr>
        <w:t>“</w:t>
      </w:r>
      <w:r w:rsidRPr="00587809">
        <w:rPr>
          <w:rFonts w:ascii="宋体" w:hAnsi="宋体" w:hint="eastAsia"/>
          <w:szCs w:val="21"/>
        </w:rPr>
        <w:t>管理权行为</w:t>
      </w:r>
      <w:r w:rsidRPr="00587809">
        <w:rPr>
          <w:rFonts w:ascii="宋体" w:hAnsi="宋体"/>
          <w:szCs w:val="21"/>
        </w:rPr>
        <w:t>”</w:t>
      </w:r>
      <w:r w:rsidRPr="009C6DB2">
        <w:rPr>
          <w:rFonts w:hint="eastAsia"/>
          <w:szCs w:val="21"/>
        </w:rPr>
        <w:t>；</w:t>
      </w:r>
      <w:r w:rsidRPr="009C6DB2">
        <w:rPr>
          <w:szCs w:val="21"/>
        </w:rPr>
        <w:t>(</w:t>
      </w:r>
      <w:r>
        <w:rPr>
          <w:rFonts w:hint="eastAsia"/>
          <w:szCs w:val="21"/>
        </w:rPr>
        <w:t>g</w:t>
      </w:r>
      <w:r w:rsidRPr="009C6DB2">
        <w:rPr>
          <w:szCs w:val="21"/>
        </w:rPr>
        <w:t xml:space="preserve">) </w:t>
      </w:r>
      <w:r w:rsidRPr="009C6DB2">
        <w:rPr>
          <w:rFonts w:hint="eastAsia"/>
          <w:szCs w:val="21"/>
        </w:rPr>
        <w:t>这一概念与所涉行为的合法性或非法性无关</w:t>
      </w:r>
      <w:r>
        <w:rPr>
          <w:szCs w:val="21"/>
        </w:rPr>
        <w:t>；</w:t>
      </w:r>
      <w:r w:rsidRPr="009C6DB2">
        <w:rPr>
          <w:szCs w:val="21"/>
        </w:rPr>
        <w:t>(</w:t>
      </w:r>
      <w:r>
        <w:rPr>
          <w:rFonts w:hint="eastAsia"/>
          <w:szCs w:val="21"/>
        </w:rPr>
        <w:t>h</w:t>
      </w:r>
      <w:r w:rsidRPr="009C6DB2">
        <w:rPr>
          <w:szCs w:val="21"/>
        </w:rPr>
        <w:t xml:space="preserve">) </w:t>
      </w:r>
      <w:r w:rsidRPr="009C6DB2">
        <w:rPr>
          <w:rFonts w:hint="eastAsia"/>
          <w:szCs w:val="21"/>
        </w:rPr>
        <w:t>就豁免而言，此类行为的识别一向是逐案确定的。</w:t>
      </w:r>
    </w:p>
    <w:p w:rsidR="00DB3DD4" w:rsidRPr="009C6DB2" w:rsidRDefault="00DB3DD4" w:rsidP="00DB3DD4">
      <w:pPr>
        <w:pStyle w:val="SingleTxt"/>
        <w:rPr>
          <w:szCs w:val="21"/>
        </w:rPr>
      </w:pPr>
      <w:r>
        <w:rPr>
          <w:szCs w:val="21"/>
        </w:rPr>
        <w:t>1</w:t>
      </w:r>
      <w:r w:rsidRPr="009C6DB2">
        <w:rPr>
          <w:rFonts w:hint="eastAsia"/>
          <w:szCs w:val="21"/>
        </w:rPr>
        <w:t>89</w:t>
      </w:r>
      <w:r w:rsidRPr="009C6DB2">
        <w:rPr>
          <w:szCs w:val="21"/>
        </w:rPr>
        <w:t>.</w:t>
      </w:r>
      <w:r w:rsidRPr="009C6DB2">
        <w:rPr>
          <w:rFonts w:hint="eastAsia"/>
          <w:szCs w:val="21"/>
        </w:rPr>
        <w:t xml:space="preserve">  </w:t>
      </w:r>
      <w:r w:rsidRPr="009C6DB2">
        <w:rPr>
          <w:rFonts w:hint="eastAsia"/>
          <w:szCs w:val="21"/>
        </w:rPr>
        <w:t>考虑到上述标准，特别报告员着重提到以官方身份实施的行为具有下列特征：</w:t>
      </w:r>
      <w:r w:rsidRPr="009C6DB2">
        <w:rPr>
          <w:szCs w:val="21"/>
        </w:rPr>
        <w:t>(</w:t>
      </w:r>
      <w:r>
        <w:rPr>
          <w:szCs w:val="21"/>
        </w:rPr>
        <w:t>a</w:t>
      </w:r>
      <w:r w:rsidRPr="009C6DB2">
        <w:rPr>
          <w:szCs w:val="21"/>
        </w:rPr>
        <w:t xml:space="preserve">) </w:t>
      </w:r>
      <w:r w:rsidRPr="009C6DB2">
        <w:rPr>
          <w:rFonts w:hint="eastAsia"/>
          <w:szCs w:val="21"/>
        </w:rPr>
        <w:t>是具有犯罪性质的行为</w:t>
      </w:r>
      <w:r>
        <w:rPr>
          <w:szCs w:val="21"/>
        </w:rPr>
        <w:t>；</w:t>
      </w:r>
      <w:r w:rsidRPr="009C6DB2">
        <w:rPr>
          <w:szCs w:val="21"/>
        </w:rPr>
        <w:t>(</w:t>
      </w:r>
      <w:r>
        <w:rPr>
          <w:szCs w:val="21"/>
        </w:rPr>
        <w:t>b</w:t>
      </w:r>
      <w:r w:rsidRPr="009C6DB2">
        <w:rPr>
          <w:szCs w:val="21"/>
        </w:rPr>
        <w:t xml:space="preserve">) </w:t>
      </w:r>
      <w:r w:rsidRPr="009C6DB2">
        <w:rPr>
          <w:rFonts w:hint="eastAsia"/>
          <w:szCs w:val="21"/>
        </w:rPr>
        <w:t>是代表国家实施的行为</w:t>
      </w:r>
      <w:r>
        <w:rPr>
          <w:szCs w:val="21"/>
        </w:rPr>
        <w:t>；</w:t>
      </w:r>
      <w:r w:rsidRPr="009C6DB2">
        <w:rPr>
          <w:szCs w:val="21"/>
        </w:rPr>
        <w:t>(</w:t>
      </w:r>
      <w:r>
        <w:rPr>
          <w:szCs w:val="21"/>
        </w:rPr>
        <w:t>c</w:t>
      </w:r>
      <w:r w:rsidRPr="009C6DB2">
        <w:rPr>
          <w:szCs w:val="21"/>
        </w:rPr>
        <w:t>)</w:t>
      </w:r>
      <w:r w:rsidRPr="009C6DB2">
        <w:rPr>
          <w:rFonts w:hint="eastAsia"/>
          <w:szCs w:val="21"/>
        </w:rPr>
        <w:t xml:space="preserve"> </w:t>
      </w:r>
      <w:r w:rsidRPr="009C6DB2">
        <w:rPr>
          <w:rFonts w:hint="eastAsia"/>
          <w:szCs w:val="21"/>
        </w:rPr>
        <w:t>涉及行使国家主权和政府权力要素。</w:t>
      </w:r>
    </w:p>
    <w:p w:rsidR="00DB3DD4" w:rsidRPr="009C6DB2" w:rsidRDefault="00DB3DD4" w:rsidP="00DB3DD4">
      <w:pPr>
        <w:pStyle w:val="SingleTxt"/>
        <w:rPr>
          <w:szCs w:val="21"/>
        </w:rPr>
      </w:pPr>
      <w:r>
        <w:rPr>
          <w:szCs w:val="21"/>
        </w:rPr>
        <w:t>1</w:t>
      </w:r>
      <w:r w:rsidRPr="009C6DB2">
        <w:rPr>
          <w:rFonts w:hint="eastAsia"/>
          <w:szCs w:val="21"/>
        </w:rPr>
        <w:t>90</w:t>
      </w:r>
      <w:r w:rsidRPr="009C6DB2">
        <w:rPr>
          <w:szCs w:val="21"/>
        </w:rPr>
        <w:t>.</w:t>
      </w:r>
      <w:r w:rsidRPr="009C6DB2">
        <w:rPr>
          <w:rFonts w:hint="eastAsia"/>
          <w:szCs w:val="21"/>
        </w:rPr>
        <w:t xml:space="preserve">  </w:t>
      </w:r>
      <w:r w:rsidRPr="009C6DB2">
        <w:rPr>
          <w:rFonts w:hint="eastAsia"/>
          <w:szCs w:val="21"/>
        </w:rPr>
        <w:t>以官方身份实施的行为的犯罪性质对豁免具有影响，因为可以想象，行为的犯罪性质会引起两种不同类型的责任，一种是归于肇事者的刑事责任，另一种是归于肇事者或国家的民事责任。特别报告员尤其强调的事实是，</w:t>
      </w:r>
      <w:r w:rsidRPr="00262A30">
        <w:rPr>
          <w:rFonts w:ascii="宋体" w:hAnsi="宋体"/>
          <w:szCs w:val="21"/>
        </w:rPr>
        <w:t>“</w:t>
      </w:r>
      <w:r w:rsidRPr="00262A30">
        <w:rPr>
          <w:rFonts w:ascii="宋体" w:hAnsi="宋体" w:hint="eastAsia"/>
          <w:szCs w:val="21"/>
        </w:rPr>
        <w:t>单一行为，双重责任</w:t>
      </w:r>
      <w:r w:rsidRPr="00262A30">
        <w:rPr>
          <w:rFonts w:ascii="宋体" w:hAnsi="宋体"/>
          <w:szCs w:val="21"/>
        </w:rPr>
        <w:t>”</w:t>
      </w:r>
      <w:r w:rsidRPr="00262A30">
        <w:rPr>
          <w:rFonts w:ascii="宋体" w:hAnsi="宋体" w:hint="eastAsia"/>
          <w:szCs w:val="21"/>
        </w:rPr>
        <w:t>模</w:t>
      </w:r>
      <w:r w:rsidRPr="009C6DB2">
        <w:rPr>
          <w:rFonts w:hint="eastAsia"/>
          <w:szCs w:val="21"/>
        </w:rPr>
        <w:t>式有与豁免相关的若干不同的假设情形，包括</w:t>
      </w:r>
      <w:r w:rsidRPr="009C6DB2">
        <w:rPr>
          <w:szCs w:val="21"/>
        </w:rPr>
        <w:t>(</w:t>
      </w:r>
      <w:r>
        <w:rPr>
          <w:szCs w:val="21"/>
        </w:rPr>
        <w:t>a</w:t>
      </w:r>
      <w:r w:rsidRPr="009C6DB2">
        <w:rPr>
          <w:szCs w:val="21"/>
        </w:rPr>
        <w:t>)</w:t>
      </w:r>
      <w:r w:rsidRPr="009C6DB2">
        <w:rPr>
          <w:rFonts w:hint="eastAsia"/>
          <w:szCs w:val="21"/>
        </w:rPr>
        <w:t xml:space="preserve"> </w:t>
      </w:r>
      <w:r w:rsidRPr="009C6DB2">
        <w:rPr>
          <w:rFonts w:hint="eastAsia"/>
          <w:szCs w:val="21"/>
        </w:rPr>
        <w:t>国家在行为不能归于实施者个人的案件中的专属责任</w:t>
      </w:r>
      <w:r>
        <w:rPr>
          <w:szCs w:val="21"/>
        </w:rPr>
        <w:t>；</w:t>
      </w:r>
      <w:r w:rsidRPr="009C6DB2">
        <w:rPr>
          <w:szCs w:val="21"/>
        </w:rPr>
        <w:t>(</w:t>
      </w:r>
      <w:r>
        <w:rPr>
          <w:szCs w:val="21"/>
        </w:rPr>
        <w:t>b</w:t>
      </w:r>
      <w:r w:rsidRPr="009C6DB2">
        <w:rPr>
          <w:szCs w:val="21"/>
        </w:rPr>
        <w:t xml:space="preserve">) </w:t>
      </w:r>
      <w:r w:rsidRPr="009C6DB2">
        <w:rPr>
          <w:rFonts w:hint="eastAsia"/>
          <w:szCs w:val="21"/>
        </w:rPr>
        <w:t>在行为既归于国家也归于个人的情况下，国家的责任和个人的个别刑事责任</w:t>
      </w:r>
      <w:r>
        <w:rPr>
          <w:szCs w:val="21"/>
        </w:rPr>
        <w:t>；</w:t>
      </w:r>
      <w:r w:rsidRPr="009C6DB2">
        <w:rPr>
          <w:szCs w:val="21"/>
        </w:rPr>
        <w:t>(</w:t>
      </w:r>
      <w:r>
        <w:rPr>
          <w:szCs w:val="21"/>
        </w:rPr>
        <w:t>c</w:t>
      </w:r>
      <w:r w:rsidRPr="009C6DB2">
        <w:rPr>
          <w:szCs w:val="21"/>
        </w:rPr>
        <w:t xml:space="preserve">) </w:t>
      </w:r>
      <w:r w:rsidRPr="009C6DB2">
        <w:rPr>
          <w:rFonts w:hint="eastAsia"/>
          <w:szCs w:val="21"/>
        </w:rPr>
        <w:t>行为完全归于个人的情况下，即使他或她作为国家官员行事，个人仍应承担的专属责任。特别报告员还指出，在这三种可能的假设情形下援引豁免的主张可基于</w:t>
      </w:r>
      <w:r>
        <w:rPr>
          <w:szCs w:val="21"/>
        </w:rPr>
        <w:t>：</w:t>
      </w:r>
      <w:r w:rsidRPr="009C6DB2">
        <w:rPr>
          <w:szCs w:val="21"/>
        </w:rPr>
        <w:t>(</w:t>
      </w:r>
      <w:r>
        <w:rPr>
          <w:szCs w:val="21"/>
        </w:rPr>
        <w:t>a</w:t>
      </w:r>
      <w:r w:rsidRPr="009C6DB2">
        <w:rPr>
          <w:szCs w:val="21"/>
        </w:rPr>
        <w:t xml:space="preserve">) </w:t>
      </w:r>
      <w:r w:rsidRPr="009C6DB2">
        <w:rPr>
          <w:rFonts w:hint="eastAsia"/>
          <w:szCs w:val="21"/>
        </w:rPr>
        <w:t>如果行为只能归于国家，也只能追究国家的责任，则要求国家豁免</w:t>
      </w:r>
      <w:r>
        <w:rPr>
          <w:szCs w:val="21"/>
        </w:rPr>
        <w:t>；</w:t>
      </w:r>
      <w:r w:rsidRPr="009C6DB2">
        <w:rPr>
          <w:szCs w:val="21"/>
        </w:rPr>
        <w:t>(</w:t>
      </w:r>
      <w:r>
        <w:rPr>
          <w:szCs w:val="21"/>
        </w:rPr>
        <w:t>b</w:t>
      </w:r>
      <w:r w:rsidRPr="009C6DB2">
        <w:rPr>
          <w:szCs w:val="21"/>
        </w:rPr>
        <w:t xml:space="preserve">) </w:t>
      </w:r>
      <w:r w:rsidRPr="009C6DB2">
        <w:rPr>
          <w:rFonts w:hint="eastAsia"/>
          <w:szCs w:val="21"/>
        </w:rPr>
        <w:t>如果行为既归于国家也归于个人，则可要求国家豁免和国家官员的属事豁免。</w:t>
      </w:r>
    </w:p>
    <w:p w:rsidR="00DB3DD4" w:rsidRPr="009C6DB2" w:rsidRDefault="00DB3DD4" w:rsidP="00DB3DD4">
      <w:pPr>
        <w:pStyle w:val="SingleTxt"/>
        <w:rPr>
          <w:szCs w:val="21"/>
        </w:rPr>
      </w:pPr>
      <w:r>
        <w:rPr>
          <w:szCs w:val="21"/>
        </w:rPr>
        <w:t>1</w:t>
      </w:r>
      <w:r w:rsidRPr="009C6DB2">
        <w:rPr>
          <w:rFonts w:hint="eastAsia"/>
          <w:szCs w:val="21"/>
        </w:rPr>
        <w:t>9</w:t>
      </w:r>
      <w:r>
        <w:rPr>
          <w:rFonts w:hint="eastAsia"/>
          <w:szCs w:val="21"/>
        </w:rPr>
        <w:t>1</w:t>
      </w:r>
      <w:r w:rsidRPr="009C6DB2">
        <w:rPr>
          <w:szCs w:val="21"/>
        </w:rPr>
        <w:t>.</w:t>
      </w:r>
      <w:r w:rsidRPr="009C6DB2">
        <w:rPr>
          <w:rFonts w:hint="eastAsia"/>
          <w:szCs w:val="21"/>
        </w:rPr>
        <w:t xml:space="preserve">  </w:t>
      </w:r>
      <w:r w:rsidRPr="009C6DB2">
        <w:rPr>
          <w:rFonts w:hint="eastAsia"/>
          <w:szCs w:val="21"/>
        </w:rPr>
        <w:t>特别报告员认为，国家官员的外国刑事管辖属事豁免属个人性质，不同于严格意义上的国家豁免。这一区别在国家官员外国刑事管辖豁免案件中的影响最大，因为责任的基础不同，于国家是民事责任，于国家官员是刑事责任。另外，被要求给予豁免的管辖权性质是不同的。特别报告员指出，在论著和实践中，这一区别并非总是足够清楚，主要原因在于传统上一向强调国家</w:t>
      </w:r>
      <w:r>
        <w:rPr>
          <w:rFonts w:hint="eastAsia"/>
          <w:szCs w:val="21"/>
        </w:rPr>
        <w:t>(</w:t>
      </w:r>
      <w:r w:rsidRPr="009C6DB2">
        <w:rPr>
          <w:rFonts w:hint="eastAsia"/>
          <w:szCs w:val="21"/>
        </w:rPr>
        <w:t>及其权利和利益</w:t>
      </w:r>
      <w:r w:rsidRPr="009C6DB2">
        <w:rPr>
          <w:szCs w:val="21"/>
        </w:rPr>
        <w:t>)</w:t>
      </w:r>
      <w:r w:rsidRPr="009C6DB2">
        <w:rPr>
          <w:rFonts w:hint="eastAsia"/>
          <w:szCs w:val="21"/>
        </w:rPr>
        <w:t>是豁免所提供保护的受益方。特别报告员解释说，承认属事豁免是出于国家利益，国家的主权要得到保护，但在国家官员以这种主权的表现形式行事时，直接受益的是国家官员。特别报告员认为，如果要使属事豁免的行使有理，在国家与国家官员实施的行为之间就必须存在某种联系。这种联系意味着有可能将行为归于国家。然而，她认为，国家对国际不法行为的责任条款所包含的所有归属标准是否都对豁免目的有用值得怀疑，她特别提到，其中第七、第八、第九、第十和第十一条规定的标准尤其不适用。</w:t>
      </w:r>
    </w:p>
    <w:p w:rsidR="00DB3DD4" w:rsidRDefault="00DB3DD4" w:rsidP="00DB3DD4">
      <w:pPr>
        <w:pStyle w:val="SingleTxt"/>
        <w:rPr>
          <w:szCs w:val="21"/>
        </w:rPr>
      </w:pPr>
      <w:r>
        <w:rPr>
          <w:szCs w:val="21"/>
        </w:rPr>
        <w:t>1</w:t>
      </w:r>
      <w:r w:rsidRPr="009C6DB2">
        <w:rPr>
          <w:rFonts w:hint="eastAsia"/>
          <w:szCs w:val="21"/>
        </w:rPr>
        <w:t>9</w:t>
      </w:r>
      <w:r>
        <w:rPr>
          <w:rFonts w:hint="eastAsia"/>
          <w:szCs w:val="21"/>
        </w:rPr>
        <w:t>2</w:t>
      </w:r>
      <w:r w:rsidRPr="009C6DB2">
        <w:rPr>
          <w:szCs w:val="21"/>
        </w:rPr>
        <w:t>.</w:t>
      </w:r>
      <w:r w:rsidRPr="009C6DB2">
        <w:rPr>
          <w:rFonts w:hint="eastAsia"/>
          <w:szCs w:val="21"/>
        </w:rPr>
        <w:t xml:space="preserve">  </w:t>
      </w:r>
      <w:r w:rsidRPr="009C6DB2">
        <w:rPr>
          <w:rFonts w:hint="eastAsia"/>
          <w:szCs w:val="21"/>
        </w:rPr>
        <w:t>她指出，虽然不容易判断行为与主权之间是否存在联系，但司法实践表明，某些活动由其性质决定，被视为国家主权的表现或者是国家主权所固有的内容</w:t>
      </w:r>
      <w:r>
        <w:rPr>
          <w:rFonts w:hint="eastAsia"/>
          <w:szCs w:val="21"/>
        </w:rPr>
        <w:t>(</w:t>
      </w:r>
      <w:r w:rsidRPr="009C6DB2">
        <w:rPr>
          <w:rFonts w:hint="eastAsia"/>
          <w:szCs w:val="21"/>
        </w:rPr>
        <w:t>警</w:t>
      </w:r>
      <w:r w:rsidRPr="009C6DB2">
        <w:rPr>
          <w:rFonts w:hint="eastAsia"/>
          <w:szCs w:val="21"/>
        </w:rPr>
        <w:lastRenderedPageBreak/>
        <w:t>察、司法、武装部队的活动或外交事务</w:t>
      </w:r>
      <w:r>
        <w:rPr>
          <w:rFonts w:hint="eastAsia"/>
          <w:szCs w:val="21"/>
        </w:rPr>
        <w:t>)</w:t>
      </w:r>
      <w:r w:rsidRPr="009C6DB2">
        <w:rPr>
          <w:rFonts w:hint="eastAsia"/>
          <w:szCs w:val="21"/>
        </w:rPr>
        <w:t>的某些活动，以及因涉及行使主权的国家政策和决定而应运而生的某些活动，符合此类联系标准。她主张对</w:t>
      </w:r>
      <w:r w:rsidRPr="00262A30">
        <w:rPr>
          <w:rFonts w:ascii="宋体" w:hAnsi="宋体"/>
          <w:szCs w:val="21"/>
        </w:rPr>
        <w:t>“</w:t>
      </w:r>
      <w:r w:rsidRPr="00262A30">
        <w:rPr>
          <w:rFonts w:ascii="宋体" w:hAnsi="宋体" w:hint="eastAsia"/>
          <w:szCs w:val="21"/>
        </w:rPr>
        <w:t>以官方身份实施的行为</w:t>
      </w:r>
      <w:r w:rsidRPr="00262A30">
        <w:rPr>
          <w:rFonts w:ascii="宋体" w:hAnsi="宋体"/>
          <w:szCs w:val="21"/>
        </w:rPr>
        <w:t>”</w:t>
      </w:r>
      <w:r w:rsidRPr="00262A30">
        <w:rPr>
          <w:rFonts w:ascii="宋体" w:hAnsi="宋体" w:hint="eastAsia"/>
          <w:szCs w:val="21"/>
        </w:rPr>
        <w:t>作</w:t>
      </w:r>
      <w:r w:rsidRPr="009C6DB2">
        <w:rPr>
          <w:rFonts w:hint="eastAsia"/>
          <w:szCs w:val="21"/>
        </w:rPr>
        <w:t>出严格的解释，将豁免放在理应所处的位置上，即保护国家主权。她指出，将国家官员以官方身份实施的此类行为定性为国际罪行决不能造成自动或机械地确认此类行为享有外国刑事管辖豁免。第五次报告将更加详细地分析这一问题。</w:t>
      </w:r>
    </w:p>
    <w:p w:rsidR="00DB3DD4" w:rsidRPr="00F63BCC" w:rsidRDefault="00DB3DD4" w:rsidP="00DB3DD4">
      <w:pPr>
        <w:pStyle w:val="SingleTxt"/>
        <w:spacing w:after="0" w:line="120" w:lineRule="exact"/>
        <w:rPr>
          <w:sz w:val="10"/>
          <w:szCs w:val="21"/>
        </w:rPr>
      </w:pPr>
    </w:p>
    <w:p w:rsidR="00DB3DD4" w:rsidRPr="00F63BCC" w:rsidRDefault="00DB3DD4" w:rsidP="00DB3DD4">
      <w:pPr>
        <w:pStyle w:val="SingleTxt"/>
        <w:spacing w:after="0" w:line="120" w:lineRule="exact"/>
        <w:rPr>
          <w:bCs/>
          <w:sz w:val="10"/>
          <w:szCs w:val="21"/>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rsidRPr="009C6DB2">
        <w:rPr>
          <w:rFonts w:hint="eastAsia"/>
        </w:rPr>
        <w:tab/>
      </w:r>
      <w:r>
        <w:t>2</w:t>
      </w:r>
      <w:r w:rsidRPr="009C6DB2">
        <w:t>.</w:t>
      </w:r>
      <w:r w:rsidRPr="009C6DB2">
        <w:tab/>
        <w:t>辩论摘要</w:t>
      </w:r>
    </w:p>
    <w:p w:rsidR="00DB3DD4" w:rsidRPr="00F63BCC" w:rsidRDefault="00DB3DD4" w:rsidP="00DB3DD4">
      <w:pPr>
        <w:pStyle w:val="SingleTxt"/>
        <w:spacing w:after="0" w:line="120" w:lineRule="exact"/>
        <w:rPr>
          <w:sz w:val="10"/>
        </w:rPr>
      </w:pPr>
    </w:p>
    <w:p w:rsidR="00DB3DD4" w:rsidRPr="00F63BCC"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rsidRPr="009C6DB2">
        <w:t>(</w:t>
      </w:r>
      <w:r>
        <w:t>a</w:t>
      </w:r>
      <w:r w:rsidRPr="009C6DB2">
        <w:t>)</w:t>
      </w:r>
      <w:r w:rsidRPr="009C6DB2">
        <w:tab/>
      </w:r>
      <w:r w:rsidRPr="009C6DB2">
        <w:rPr>
          <w:rFonts w:hint="eastAsia"/>
        </w:rPr>
        <w:t>一般评论</w:t>
      </w:r>
    </w:p>
    <w:p w:rsidR="00DB3DD4" w:rsidRPr="00F63BCC" w:rsidRDefault="00DB3DD4" w:rsidP="00DB3DD4">
      <w:pPr>
        <w:pStyle w:val="SingleTxt"/>
        <w:spacing w:after="0" w:line="120" w:lineRule="exact"/>
        <w:rPr>
          <w:sz w:val="10"/>
        </w:rPr>
      </w:pPr>
    </w:p>
    <w:p w:rsidR="00DB3DD4" w:rsidRPr="00F63BCC" w:rsidRDefault="00DB3DD4" w:rsidP="00DB3DD4">
      <w:pPr>
        <w:pStyle w:val="SingleTxt"/>
        <w:spacing w:after="0" w:line="120" w:lineRule="exact"/>
        <w:rPr>
          <w:sz w:val="10"/>
        </w:rPr>
      </w:pPr>
    </w:p>
    <w:p w:rsidR="00DB3DD4" w:rsidRPr="009C6DB2" w:rsidRDefault="00DB3DD4" w:rsidP="00DB3DD4">
      <w:pPr>
        <w:pStyle w:val="SingleTxt"/>
      </w:pPr>
      <w:r>
        <w:t>1</w:t>
      </w:r>
      <w:r w:rsidRPr="009C6DB2">
        <w:t>9</w:t>
      </w:r>
      <w:r>
        <w:rPr>
          <w:rFonts w:hint="eastAsia"/>
        </w:rPr>
        <w:t>3</w:t>
      </w:r>
      <w:r w:rsidRPr="009C6DB2">
        <w:t>.</w:t>
      </w:r>
      <w:r w:rsidRPr="009C6DB2">
        <w:rPr>
          <w:rFonts w:hint="eastAsia"/>
        </w:rPr>
        <w:t xml:space="preserve">  </w:t>
      </w:r>
      <w:r w:rsidRPr="009C6DB2">
        <w:rPr>
          <w:rFonts w:hint="eastAsia"/>
        </w:rPr>
        <w:t>委员们对特别报告员的第四次报告普遍表示欢迎，报告丰富、有条理和良好地记述了条约实践的例证，分析了国际和国家判例法，同时在所开展的分析和拟议的条款草案之间建立起了清楚的联系。在这方面，报告全面概括了与确定属事豁免的实质范围和时间范围有关的各种考虑，这是有助于更清楚地阐明本专题一项基本要素的一个步骤。显然，这个主题事项在法律上是庞杂的，提出了对各国来说具有政治敏感性和重要性的问题。</w:t>
      </w:r>
    </w:p>
    <w:p w:rsidR="00DB3DD4" w:rsidRPr="009C6DB2" w:rsidRDefault="00DB3DD4" w:rsidP="00DB3DD4">
      <w:pPr>
        <w:pStyle w:val="SingleTxt"/>
      </w:pPr>
      <w:r>
        <w:rPr>
          <w:rFonts w:hint="eastAsia"/>
        </w:rPr>
        <w:t>1</w:t>
      </w:r>
      <w:r w:rsidRPr="009C6DB2">
        <w:rPr>
          <w:rFonts w:hint="eastAsia"/>
        </w:rPr>
        <w:t>9</w:t>
      </w:r>
      <w:r>
        <w:rPr>
          <w:rFonts w:hint="eastAsia"/>
        </w:rPr>
        <w:t>4</w:t>
      </w:r>
      <w:r w:rsidRPr="009C6DB2">
        <w:rPr>
          <w:rFonts w:hint="eastAsia"/>
        </w:rPr>
        <w:t xml:space="preserve">. </w:t>
      </w:r>
      <w:r>
        <w:rPr>
          <w:rFonts w:hint="eastAsia"/>
        </w:rPr>
        <w:t xml:space="preserve"> </w:t>
      </w:r>
      <w:r w:rsidRPr="009C6DB2">
        <w:rPr>
          <w:rFonts w:hint="eastAsia"/>
        </w:rPr>
        <w:t>有人认为，国家实践不统一，更关键的是，国家实践的走向处于</w:t>
      </w:r>
      <w:r w:rsidRPr="00F63BCC">
        <w:rPr>
          <w:rFonts w:ascii="宋体" w:hAnsi="宋体"/>
        </w:rPr>
        <w:t>“</w:t>
      </w:r>
      <w:r w:rsidRPr="00F63BCC">
        <w:rPr>
          <w:rFonts w:ascii="宋体" w:hAnsi="宋体" w:hint="eastAsia"/>
        </w:rPr>
        <w:t>流动状态</w:t>
      </w:r>
      <w:r w:rsidRPr="00F63BCC">
        <w:rPr>
          <w:rFonts w:ascii="宋体" w:hAnsi="宋体"/>
        </w:rPr>
        <w:t>”</w:t>
      </w:r>
      <w:r w:rsidRPr="009C6DB2">
        <w:rPr>
          <w:rFonts w:hint="eastAsia"/>
        </w:rPr>
        <w:t>，因此也就不容易找到明确无误的适用规则。与整个国际法律体系中其他法律领域相比，委员会在这一专题上不但面临着理论和学术上的问题，而且在帮助推进国际法的编纂和逐步发展方面也面临着作出选择的困难。还有人认为，需要在打击有罪不罚与维护国家间关系的稳定之间达到平衡。在这种情况下，就作出何种选择和采取什么方向保持透明和开展知情的辩论被认为是不可或缺的。</w:t>
      </w:r>
    </w:p>
    <w:p w:rsidR="00DB3DD4" w:rsidRPr="009C6DB2" w:rsidRDefault="00DB3DD4" w:rsidP="00DB3DD4">
      <w:pPr>
        <w:pStyle w:val="SingleTxt"/>
      </w:pPr>
      <w:r>
        <w:rPr>
          <w:rFonts w:hint="eastAsia"/>
        </w:rPr>
        <w:t>1</w:t>
      </w:r>
      <w:r w:rsidRPr="009C6DB2">
        <w:rPr>
          <w:rFonts w:hint="eastAsia"/>
        </w:rPr>
        <w:t>9</w:t>
      </w:r>
      <w:r>
        <w:rPr>
          <w:rFonts w:hint="eastAsia"/>
        </w:rPr>
        <w:t>5</w:t>
      </w:r>
      <w:r w:rsidRPr="009C6DB2">
        <w:t>.</w:t>
      </w:r>
      <w:r w:rsidRPr="009C6DB2">
        <w:rPr>
          <w:rFonts w:hint="eastAsia"/>
        </w:rPr>
        <w:t xml:space="preserve">  </w:t>
      </w:r>
      <w:r w:rsidRPr="009C6DB2">
        <w:rPr>
          <w:rFonts w:hint="eastAsia"/>
        </w:rPr>
        <w:t>有些委员注意到，报告开辟了从概念上处理整个议题的可能性，这样做的出发点是，属事豁免的范围存在着限制或例外，不能</w:t>
      </w:r>
      <w:r w:rsidRPr="009C6DB2">
        <w:t>把以官方身份实施的行为范围之内的所有行为</w:t>
      </w:r>
      <w:r w:rsidRPr="009C6DB2">
        <w:rPr>
          <w:rFonts w:hint="eastAsia"/>
        </w:rPr>
        <w:t>，包括构成国际罪行的行为都包括在内。另外一些委员建议，这种情况为委员会带来了逐步发展国际法的一个机会，因为国家实践在涉及国家管辖豁免方面目前诉诸的是限制性豁免。</w:t>
      </w:r>
    </w:p>
    <w:p w:rsidR="00DB3DD4" w:rsidRPr="009C6DB2" w:rsidRDefault="00DB3DD4" w:rsidP="00DB3DD4">
      <w:pPr>
        <w:pStyle w:val="SingleTxt"/>
      </w:pPr>
      <w:r>
        <w:rPr>
          <w:rFonts w:hint="eastAsia"/>
        </w:rPr>
        <w:t>1</w:t>
      </w:r>
      <w:r w:rsidRPr="009C6DB2">
        <w:rPr>
          <w:rFonts w:hint="eastAsia"/>
        </w:rPr>
        <w:t>96</w:t>
      </w:r>
      <w:r w:rsidRPr="009C6DB2">
        <w:t>.</w:t>
      </w:r>
      <w:r w:rsidRPr="009C6DB2">
        <w:rPr>
          <w:rFonts w:hint="eastAsia"/>
        </w:rPr>
        <w:t xml:space="preserve">  </w:t>
      </w:r>
      <w:r w:rsidRPr="009C6DB2">
        <w:rPr>
          <w:rFonts w:hint="eastAsia"/>
        </w:rPr>
        <w:t>对于将特别报告员提出的条款草案提交起草委员会，普遍表示了支持。有些委员发表了评论和意见，其中有些涉及报告中的一些推理和结论。</w:t>
      </w:r>
    </w:p>
    <w:p w:rsidR="00DB3DD4" w:rsidRPr="009C6DB2" w:rsidRDefault="00DB3DD4" w:rsidP="00DB3DD4">
      <w:pPr>
        <w:pStyle w:val="SingleTxt"/>
        <w:rPr>
          <w:szCs w:val="21"/>
        </w:rPr>
      </w:pPr>
      <w:r>
        <w:rPr>
          <w:rFonts w:hint="eastAsia"/>
          <w:szCs w:val="21"/>
        </w:rPr>
        <w:t>1</w:t>
      </w:r>
      <w:r w:rsidRPr="009C6DB2">
        <w:rPr>
          <w:rFonts w:hint="eastAsia"/>
          <w:szCs w:val="21"/>
        </w:rPr>
        <w:t>97</w:t>
      </w:r>
      <w:r w:rsidRPr="009C6DB2">
        <w:rPr>
          <w:szCs w:val="21"/>
        </w:rPr>
        <w:t>.</w:t>
      </w:r>
      <w:r w:rsidRPr="009C6DB2">
        <w:rPr>
          <w:rFonts w:hint="eastAsia"/>
          <w:szCs w:val="21"/>
        </w:rPr>
        <w:t xml:space="preserve">  </w:t>
      </w:r>
      <w:r w:rsidRPr="009C6DB2">
        <w:rPr>
          <w:rFonts w:hint="eastAsia"/>
          <w:szCs w:val="21"/>
        </w:rPr>
        <w:t>有些委员提请注意，区分基于身份的属人豁免与基于行为的属事豁免继续具有相关性。在某些方面，两者具有某些共同的基本要素，更重要的是，两者法律依据的基础是相同的，即国家主权平等原则。同时有人提出要小心谨慎，不能过于依赖国家主权平等原则来解释本专题牵涉的复杂问题，例如，该原则就无法解释限制性的国家管辖豁免，即允许一国对另一国的商业及其他非官方活动行使管辖权。根据这种观点，是否对</w:t>
      </w:r>
      <w:r w:rsidRPr="009C6DB2">
        <w:rPr>
          <w:rFonts w:hint="eastAsia"/>
        </w:rPr>
        <w:t>以官方身份实施的行为予以官方豁免应当取决于该行为是否有利于其国家以及有利于确保有效行使职权。</w:t>
      </w:r>
      <w:r w:rsidRPr="009C6DB2">
        <w:rPr>
          <w:rFonts w:hint="eastAsia"/>
          <w:szCs w:val="21"/>
        </w:rPr>
        <w:t>虽然一些委员承认国际法体系的各项规则和制度之间的差异，但是告诫说，要谨防委员会冒险建立一个与《国际刑事法院罗马规约》下的制度不相符的制度，前者正是委员会自己帮助建立的。另一方面，有人回顾说，本专题是建立在各国之间</w:t>
      </w:r>
      <w:r w:rsidRPr="00AA7D58">
        <w:rPr>
          <w:rFonts w:ascii="宋体" w:hAnsi="宋体"/>
          <w:szCs w:val="21"/>
        </w:rPr>
        <w:t>“</w:t>
      </w:r>
      <w:r w:rsidRPr="00AA7D58">
        <w:rPr>
          <w:rFonts w:ascii="宋体" w:hAnsi="宋体" w:hint="eastAsia"/>
          <w:szCs w:val="21"/>
        </w:rPr>
        <w:t>横向关系</w:t>
      </w:r>
      <w:r w:rsidRPr="00AA7D58">
        <w:rPr>
          <w:rFonts w:ascii="宋体" w:hAnsi="宋体"/>
          <w:szCs w:val="21"/>
        </w:rPr>
        <w:t>”</w:t>
      </w:r>
      <w:r w:rsidRPr="009C6DB2">
        <w:rPr>
          <w:rFonts w:hint="eastAsia"/>
          <w:szCs w:val="21"/>
        </w:rPr>
        <w:t>基础之上的，而国际刑事管辖</w:t>
      </w:r>
      <w:r w:rsidRPr="009C6DB2">
        <w:rPr>
          <w:rFonts w:hint="eastAsia"/>
          <w:szCs w:val="21"/>
        </w:rPr>
        <w:lastRenderedPageBreak/>
        <w:t>与此不同，建立的是各国之间的</w:t>
      </w:r>
      <w:r w:rsidRPr="00587809">
        <w:rPr>
          <w:rFonts w:ascii="宋体" w:hAnsi="宋体"/>
          <w:szCs w:val="21"/>
        </w:rPr>
        <w:t>“</w:t>
      </w:r>
      <w:r w:rsidRPr="00587809">
        <w:rPr>
          <w:rFonts w:ascii="宋体" w:hAnsi="宋体" w:hint="eastAsia"/>
          <w:szCs w:val="21"/>
        </w:rPr>
        <w:t>纵向关系</w:t>
      </w:r>
      <w:r w:rsidRPr="00587809">
        <w:rPr>
          <w:rFonts w:ascii="宋体" w:hAnsi="宋体"/>
          <w:szCs w:val="21"/>
        </w:rPr>
        <w:t>”</w:t>
      </w:r>
      <w:r w:rsidRPr="009C6DB2">
        <w:rPr>
          <w:rFonts w:hint="eastAsia"/>
          <w:szCs w:val="21"/>
        </w:rPr>
        <w:t>。这个重要考虑提出了需要严格审视的一组不同因素。</w:t>
      </w:r>
    </w:p>
    <w:p w:rsidR="00DB3DD4" w:rsidRPr="009C6DB2" w:rsidRDefault="00DB3DD4" w:rsidP="00DB3DD4">
      <w:pPr>
        <w:pStyle w:val="SingleTxt"/>
        <w:rPr>
          <w:szCs w:val="21"/>
        </w:rPr>
      </w:pPr>
      <w:r>
        <w:rPr>
          <w:rFonts w:hint="eastAsia"/>
          <w:szCs w:val="21"/>
        </w:rPr>
        <w:t>1</w:t>
      </w:r>
      <w:r w:rsidRPr="009C6DB2">
        <w:rPr>
          <w:rFonts w:hint="eastAsia"/>
          <w:szCs w:val="21"/>
        </w:rPr>
        <w:t>98</w:t>
      </w:r>
      <w:r w:rsidRPr="009C6DB2">
        <w:rPr>
          <w:szCs w:val="21"/>
        </w:rPr>
        <w:t>.</w:t>
      </w:r>
      <w:r w:rsidRPr="009C6DB2">
        <w:rPr>
          <w:rFonts w:hint="eastAsia"/>
          <w:szCs w:val="21"/>
        </w:rPr>
        <w:t xml:space="preserve">  </w:t>
      </w:r>
      <w:r w:rsidRPr="009C6DB2">
        <w:rPr>
          <w:rFonts w:hint="eastAsia"/>
          <w:szCs w:val="21"/>
        </w:rPr>
        <w:t>例如，有人提到，在确定属事豁免的范围时，显然有些行为可能无法享受属事豁免。涉及严重国际犯罪指控的行为、越权行为、管理权行为、以官方身份实施但纯属为个人谋利的行为以及未经法院地国同意在其领土内实施的行为就属于这种情况。</w:t>
      </w:r>
    </w:p>
    <w:p w:rsidR="00DB3DD4" w:rsidRDefault="00DB3DD4" w:rsidP="00DB3DD4">
      <w:pPr>
        <w:pStyle w:val="SingleTxt"/>
        <w:rPr>
          <w:szCs w:val="21"/>
        </w:rPr>
      </w:pPr>
      <w:r>
        <w:rPr>
          <w:rFonts w:hint="eastAsia"/>
          <w:szCs w:val="21"/>
        </w:rPr>
        <w:t>1</w:t>
      </w:r>
      <w:r w:rsidRPr="009C6DB2">
        <w:rPr>
          <w:rFonts w:hint="eastAsia"/>
          <w:szCs w:val="21"/>
        </w:rPr>
        <w:t>99</w:t>
      </w:r>
      <w:r w:rsidRPr="009C6DB2">
        <w:rPr>
          <w:szCs w:val="21"/>
        </w:rPr>
        <w:t>.</w:t>
      </w:r>
      <w:r w:rsidRPr="009C6DB2">
        <w:rPr>
          <w:rFonts w:hint="eastAsia"/>
          <w:szCs w:val="21"/>
        </w:rPr>
        <w:t xml:space="preserve">  </w:t>
      </w:r>
      <w:r w:rsidRPr="009C6DB2">
        <w:rPr>
          <w:rFonts w:hint="eastAsia"/>
          <w:szCs w:val="21"/>
        </w:rPr>
        <w:t>委员会一些委员认为，处理这类行为有两种可能，一种是囊括性的，申明构成罪行的行为是以官方身份实施的行为，这样面临的问题是，这种行为是官方的还是私人的，或是两者兼有；另一种是将这类问题作为限制或例外加以处理。一些委员表示，既然难以将严重国际罪行、越权行为、管理权行为划定为个人行为，建议不如将这些问题作为限制或例外处理，而不要作为官方行为或非官方行为定义的一部分处理。这种办法似乎有这一好处，即在国家管辖豁免问题上，实践一向遵循过去的类似办法。一些委员表示，通过这种办法，有可能找到将接受限制和例外与适当程序保障和正当程序保证结合起来的解决方案。</w:t>
      </w:r>
    </w:p>
    <w:p w:rsidR="00DB3DD4" w:rsidRPr="00F63BCC" w:rsidRDefault="00DB3DD4" w:rsidP="00DB3DD4">
      <w:pPr>
        <w:pStyle w:val="SingleTxt"/>
        <w:spacing w:after="0" w:line="120" w:lineRule="exact"/>
        <w:rPr>
          <w:sz w:val="10"/>
          <w:szCs w:val="21"/>
        </w:rPr>
      </w:pPr>
    </w:p>
    <w:p w:rsidR="00DB3DD4" w:rsidRPr="00F63BCC" w:rsidRDefault="00DB3DD4" w:rsidP="00DB3DD4">
      <w:pPr>
        <w:pStyle w:val="SingleTxt"/>
        <w:spacing w:after="0" w:line="120" w:lineRule="exact"/>
        <w:rPr>
          <w:sz w:val="10"/>
          <w:szCs w:val="21"/>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rPr>
          <w:rFonts w:hint="eastAsia"/>
        </w:rPr>
        <w:t>(b)</w:t>
      </w:r>
      <w:r w:rsidRPr="009C6DB2">
        <w:rPr>
          <w:rFonts w:hint="eastAsia"/>
        </w:rPr>
        <w:tab/>
        <w:t>方法</w:t>
      </w:r>
    </w:p>
    <w:p w:rsidR="00DB3DD4" w:rsidRPr="00F63BCC" w:rsidRDefault="00DB3DD4" w:rsidP="00DB3DD4">
      <w:pPr>
        <w:pStyle w:val="SingleTxt"/>
        <w:spacing w:after="0" w:line="120" w:lineRule="exact"/>
        <w:rPr>
          <w:sz w:val="10"/>
        </w:rPr>
      </w:pPr>
    </w:p>
    <w:p w:rsidR="00DB3DD4" w:rsidRPr="00F63BCC" w:rsidRDefault="00DB3DD4" w:rsidP="00DB3DD4">
      <w:pPr>
        <w:pStyle w:val="SingleTxt"/>
        <w:spacing w:after="0" w:line="120" w:lineRule="exact"/>
        <w:rPr>
          <w:sz w:val="10"/>
        </w:rPr>
      </w:pPr>
    </w:p>
    <w:p w:rsidR="00DB3DD4" w:rsidRPr="009C6DB2" w:rsidRDefault="00DB3DD4" w:rsidP="00DB3DD4">
      <w:pPr>
        <w:pStyle w:val="SingleTxt"/>
      </w:pPr>
      <w:r>
        <w:rPr>
          <w:rFonts w:hint="eastAsia"/>
          <w:szCs w:val="21"/>
        </w:rPr>
        <w:t>2</w:t>
      </w:r>
      <w:r w:rsidRPr="009C6DB2">
        <w:rPr>
          <w:rFonts w:hint="eastAsia"/>
          <w:szCs w:val="21"/>
        </w:rPr>
        <w:t xml:space="preserve">00.  </w:t>
      </w:r>
      <w:r w:rsidRPr="009C6DB2">
        <w:rPr>
          <w:rFonts w:hint="eastAsia"/>
          <w:szCs w:val="21"/>
          <w:lang w:val="fr-CH"/>
        </w:rPr>
        <w:t>为</w:t>
      </w:r>
      <w:r w:rsidRPr="009C6DB2">
        <w:rPr>
          <w:rFonts w:hint="eastAsia"/>
          <w:szCs w:val="21"/>
        </w:rPr>
        <w:t>确定属事豁免的范围，特别报告员系统地分析了已有实践，查阅了大量资料，作出了中肯分析，总体而言所使用的方法值得赞</w:t>
      </w:r>
      <w:r w:rsidRPr="009C6DB2">
        <w:rPr>
          <w:rFonts w:hint="eastAsia"/>
          <w:szCs w:val="21"/>
          <w:lang w:val="fr-CH"/>
        </w:rPr>
        <w:t>许</w:t>
      </w:r>
      <w:r w:rsidRPr="009C6DB2">
        <w:rPr>
          <w:rFonts w:hint="eastAsia"/>
          <w:szCs w:val="21"/>
        </w:rPr>
        <w:t>。然而，一些委员指出，在某些情况下，报告只提及案例，没有根据上下文进行全面分析。此外，有些地方</w:t>
      </w:r>
      <w:r w:rsidRPr="009C6DB2">
        <w:rPr>
          <w:szCs w:val="21"/>
        </w:rPr>
        <w:t>直言陈述</w:t>
      </w:r>
      <w:r w:rsidRPr="009C6DB2">
        <w:rPr>
          <w:rFonts w:hint="eastAsia"/>
          <w:szCs w:val="21"/>
        </w:rPr>
        <w:t>，超出了必要，也不尽合理；</w:t>
      </w:r>
      <w:r w:rsidRPr="009C6DB2">
        <w:rPr>
          <w:rFonts w:hint="eastAsia"/>
          <w:szCs w:val="21"/>
          <w:lang w:val="fr-CH"/>
        </w:rPr>
        <w:t>还有</w:t>
      </w:r>
      <w:r w:rsidRPr="009C6DB2">
        <w:rPr>
          <w:rFonts w:hint="eastAsia"/>
          <w:szCs w:val="21"/>
        </w:rPr>
        <w:t>些地方对报告所述资料与具体条款措辞的关系没有交代清楚。</w:t>
      </w:r>
    </w:p>
    <w:p w:rsidR="00DB3DD4" w:rsidRPr="009C6DB2" w:rsidRDefault="00DB3DD4" w:rsidP="00DB3DD4">
      <w:pPr>
        <w:pStyle w:val="SingleTxt"/>
      </w:pPr>
      <w:r>
        <w:rPr>
          <w:rFonts w:hint="eastAsia"/>
        </w:rPr>
        <w:t>2</w:t>
      </w:r>
      <w:r w:rsidRPr="009C6DB2">
        <w:rPr>
          <w:rFonts w:hint="eastAsia"/>
        </w:rPr>
        <w:t>0</w:t>
      </w:r>
      <w:r>
        <w:rPr>
          <w:rFonts w:hint="eastAsia"/>
        </w:rPr>
        <w:t>1</w:t>
      </w:r>
      <w:r w:rsidRPr="009C6DB2">
        <w:rPr>
          <w:rFonts w:hint="eastAsia"/>
        </w:rPr>
        <w:t xml:space="preserve">.  </w:t>
      </w:r>
      <w:r w:rsidRPr="009C6DB2">
        <w:rPr>
          <w:rFonts w:hint="eastAsia"/>
        </w:rPr>
        <w:t>有些委员指出，报告过多依赖某些管辖制度或地区的案例或行使民事管辖权的案例，而本专题涉及的是刑事管辖豁免。他们建议特别报告员扩大考察范围，囊括所有法律传统和各个地区的判例法。有些委员还指出，引述这类判例法需要慎重，可以想象，在确定何为以官方身份实施的行为而行使管辖权时，民事管辖或刑事管辖并无太大差别，而有时又必须分析给予或拒绝给予豁免的背景；是民事还是刑事案件，是针对外国主权还是针对个人，都可能造成豁免的不同。</w:t>
      </w:r>
    </w:p>
    <w:p w:rsidR="00DB3DD4" w:rsidRPr="009C6DB2" w:rsidRDefault="00DB3DD4" w:rsidP="00DB3DD4">
      <w:pPr>
        <w:pStyle w:val="SingleTxt"/>
        <w:rPr>
          <w:lang w:val="fr-CH"/>
        </w:rPr>
      </w:pPr>
      <w:r>
        <w:rPr>
          <w:rFonts w:hint="eastAsia"/>
        </w:rPr>
        <w:t>2</w:t>
      </w:r>
      <w:r w:rsidRPr="009C6DB2">
        <w:rPr>
          <w:rFonts w:hint="eastAsia"/>
        </w:rPr>
        <w:t>0</w:t>
      </w:r>
      <w:r>
        <w:rPr>
          <w:rFonts w:hint="eastAsia"/>
        </w:rPr>
        <w:t>2</w:t>
      </w:r>
      <w:r w:rsidRPr="009C6DB2">
        <w:rPr>
          <w:rFonts w:hint="eastAsia"/>
        </w:rPr>
        <w:t xml:space="preserve">.  </w:t>
      </w:r>
      <w:r w:rsidRPr="009C6DB2">
        <w:rPr>
          <w:rFonts w:hint="eastAsia"/>
        </w:rPr>
        <w:t>有些委员还质疑报告中关于国内法与确定以官方身份实施的行为无关的主张，认为国内法</w:t>
      </w:r>
      <w:r w:rsidRPr="009C6DB2">
        <w:rPr>
          <w:rFonts w:hint="eastAsia"/>
          <w:lang w:val="fr-CH"/>
        </w:rPr>
        <w:t>也是</w:t>
      </w:r>
      <w:r w:rsidRPr="009C6DB2">
        <w:rPr>
          <w:rFonts w:hint="eastAsia"/>
        </w:rPr>
        <w:t>确定习惯国际法的实践，事实上，特别报告员在分析中引用了判例法来解释和适用此种国内法。也有些委员指出，需要更加侧重对国家立法和行政实践的分析，更注重分析国际司法实践，包括国际法院和法庭对</w:t>
      </w:r>
      <w:r w:rsidRPr="00F63BCC">
        <w:rPr>
          <w:rFonts w:ascii="宋体" w:hAnsi="宋体"/>
        </w:rPr>
        <w:t>“</w:t>
      </w:r>
      <w:r w:rsidRPr="00F63BCC">
        <w:rPr>
          <w:rFonts w:ascii="宋体" w:hAnsi="宋体" w:hint="eastAsia"/>
        </w:rPr>
        <w:t>逮捕证案</w:t>
      </w:r>
      <w:r w:rsidRPr="00F63BCC">
        <w:rPr>
          <w:rFonts w:ascii="宋体" w:hAnsi="宋体"/>
        </w:rPr>
        <w:t>”</w:t>
      </w:r>
      <w:r w:rsidRPr="003F1277">
        <w:rPr>
          <w:iCs/>
          <w:color w:val="0000FF"/>
          <w:w w:val="150"/>
          <w:szCs w:val="24"/>
          <w:vertAlign w:val="superscript"/>
        </w:rPr>
        <w:footnoteReference w:id="391"/>
      </w:r>
      <w:r w:rsidRPr="009C6DB2">
        <w:rPr>
          <w:rFonts w:hint="eastAsia"/>
        </w:rPr>
        <w:t xml:space="preserve"> </w:t>
      </w:r>
      <w:r w:rsidRPr="009C6DB2">
        <w:rPr>
          <w:rFonts w:hint="eastAsia"/>
        </w:rPr>
        <w:t>和</w:t>
      </w:r>
      <w:r w:rsidRPr="00F63BCC">
        <w:rPr>
          <w:rFonts w:ascii="宋体" w:hAnsi="宋体"/>
        </w:rPr>
        <w:t>“刑事事项互助的若干问题案”</w:t>
      </w:r>
      <w:r w:rsidRPr="003F1277">
        <w:rPr>
          <w:iCs/>
          <w:color w:val="0000FF"/>
          <w:w w:val="150"/>
          <w:szCs w:val="24"/>
          <w:vertAlign w:val="superscript"/>
        </w:rPr>
        <w:footnoteReference w:id="392"/>
      </w:r>
      <w:r w:rsidRPr="009C6DB2">
        <w:rPr>
          <w:rFonts w:hint="eastAsia"/>
        </w:rPr>
        <w:t xml:space="preserve"> </w:t>
      </w:r>
      <w:r w:rsidRPr="009C6DB2">
        <w:rPr>
          <w:rFonts w:hint="eastAsia"/>
        </w:rPr>
        <w:t>判决的全面影响。他们认为这两起案件的判决较为一致地处理了本专题的一些问题。</w:t>
      </w:r>
    </w:p>
    <w:p w:rsidR="00DB3DD4" w:rsidRPr="009C6DB2" w:rsidRDefault="00DB3DD4" w:rsidP="00DB3DD4">
      <w:pPr>
        <w:pStyle w:val="SingleTxt"/>
        <w:rPr>
          <w:rFonts w:ascii="黑体"/>
          <w:spacing w:val="2"/>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lastRenderedPageBreak/>
        <w:tab/>
      </w:r>
      <w:r>
        <w:rPr>
          <w:rFonts w:hint="eastAsia"/>
        </w:rPr>
        <w:t>(c)</w:t>
      </w:r>
      <w:r w:rsidRPr="009C6DB2">
        <w:rPr>
          <w:rFonts w:hint="eastAsia"/>
        </w:rPr>
        <w:tab/>
        <w:t>第</w:t>
      </w:r>
      <w:r>
        <w:rPr>
          <w:rFonts w:hint="eastAsia"/>
        </w:rPr>
        <w:t>2</w:t>
      </w:r>
      <w:r w:rsidRPr="009C6DB2">
        <w:rPr>
          <w:rFonts w:hint="eastAsia"/>
        </w:rPr>
        <w:t>条草案</w:t>
      </w:r>
      <w:r>
        <w:rPr>
          <w:rFonts w:hint="eastAsia"/>
        </w:rPr>
        <w:t>(f</w:t>
      </w:r>
      <w:r w:rsidRPr="009C6DB2">
        <w:rPr>
          <w:rFonts w:hint="eastAsia"/>
        </w:rPr>
        <w:t>)款：</w:t>
      </w:r>
      <w:r w:rsidRPr="00F63BCC">
        <w:rPr>
          <w:rFonts w:ascii="宋体" w:eastAsia="宋体" w:hAnsi="宋体"/>
        </w:rPr>
        <w:t>“</w:t>
      </w:r>
      <w:r w:rsidRPr="009C6DB2">
        <w:rPr>
          <w:rFonts w:hint="eastAsia"/>
        </w:rPr>
        <w:t>以官方身份实施的行为</w:t>
      </w:r>
      <w:r w:rsidRPr="00F63BCC">
        <w:rPr>
          <w:rFonts w:ascii="宋体" w:eastAsia="宋体" w:hAnsi="宋体"/>
        </w:rPr>
        <w:t>”</w:t>
      </w:r>
      <w:r w:rsidRPr="009C6DB2">
        <w:rPr>
          <w:rFonts w:hint="eastAsia"/>
        </w:rPr>
        <w:t>的定义</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SingleTxt"/>
      </w:pPr>
      <w:r>
        <w:rPr>
          <w:rFonts w:hint="eastAsia"/>
        </w:rPr>
        <w:t>2</w:t>
      </w:r>
      <w:r w:rsidRPr="009C6DB2">
        <w:rPr>
          <w:rFonts w:hint="eastAsia"/>
        </w:rPr>
        <w:t>0</w:t>
      </w:r>
      <w:r>
        <w:rPr>
          <w:rFonts w:hint="eastAsia"/>
        </w:rPr>
        <w:t>3</w:t>
      </w:r>
      <w:r w:rsidRPr="009C6DB2">
        <w:rPr>
          <w:rFonts w:hint="eastAsia"/>
        </w:rPr>
        <w:t xml:space="preserve">.  </w:t>
      </w:r>
      <w:r w:rsidRPr="009C6DB2">
        <w:rPr>
          <w:rFonts w:hint="eastAsia"/>
        </w:rPr>
        <w:t>第</w:t>
      </w:r>
      <w:r>
        <w:rPr>
          <w:rFonts w:hint="eastAsia"/>
        </w:rPr>
        <w:t>2</w:t>
      </w:r>
      <w:r w:rsidRPr="009C6DB2">
        <w:rPr>
          <w:rFonts w:hint="eastAsia"/>
        </w:rPr>
        <w:t>条草案</w:t>
      </w:r>
      <w:r>
        <w:rPr>
          <w:rFonts w:hint="eastAsia"/>
        </w:rPr>
        <w:t>(f)</w:t>
      </w:r>
      <w:r w:rsidRPr="009C6DB2">
        <w:rPr>
          <w:rFonts w:hint="eastAsia"/>
          <w:lang w:val="fr-CH"/>
        </w:rPr>
        <w:t>款属于定义性质</w:t>
      </w:r>
      <w:r w:rsidRPr="009C6DB2">
        <w:rPr>
          <w:rFonts w:hint="eastAsia"/>
        </w:rPr>
        <w:t>，措辞简短，不过，参照特别报告员报告中为支持该款措辞所作的大量分析，作出了若干评论。</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宋体" w:eastAsia="宋体" w:hAnsi="宋体"/>
        </w:rPr>
      </w:pPr>
      <w:r>
        <w:rPr>
          <w:rFonts w:hint="eastAsia"/>
        </w:rPr>
        <w:tab/>
        <w:t>(</w:t>
      </w:r>
      <w:r w:rsidRPr="009C6DB2">
        <w:rPr>
          <w:rFonts w:hint="eastAsia"/>
        </w:rPr>
        <w:t>一</w:t>
      </w:r>
      <w:r>
        <w:rPr>
          <w:rFonts w:hint="eastAsia"/>
        </w:rPr>
        <w:t>)</w:t>
      </w:r>
      <w:r w:rsidRPr="009C6DB2">
        <w:rPr>
          <w:rFonts w:hint="eastAsia"/>
        </w:rPr>
        <w:tab/>
      </w:r>
      <w:r w:rsidRPr="00587809">
        <w:rPr>
          <w:rFonts w:ascii="宋体" w:eastAsia="宋体" w:hAnsi="宋体"/>
        </w:rPr>
        <w:t>“</w:t>
      </w:r>
      <w:r w:rsidRPr="00587809">
        <w:rPr>
          <w:rFonts w:hAnsi="黑体" w:hint="eastAsia"/>
        </w:rPr>
        <w:t>以官方身份实施的行为</w:t>
      </w:r>
      <w:r w:rsidRPr="00587809">
        <w:rPr>
          <w:rFonts w:ascii="宋体" w:eastAsia="宋体" w:hAnsi="宋体"/>
        </w:rPr>
        <w:t>”</w:t>
      </w:r>
      <w:r w:rsidRPr="009C6DB2">
        <w:rPr>
          <w:rFonts w:hint="eastAsia"/>
        </w:rPr>
        <w:t>相对于</w:t>
      </w:r>
      <w:r w:rsidRPr="00587809">
        <w:rPr>
          <w:rFonts w:ascii="宋体" w:eastAsia="宋体" w:hAnsi="宋体"/>
        </w:rPr>
        <w:t>“</w:t>
      </w:r>
      <w:r w:rsidRPr="009C6DB2">
        <w:rPr>
          <w:rFonts w:hint="eastAsia"/>
        </w:rPr>
        <w:t>以私人身份实施的行为</w:t>
      </w:r>
      <w:r w:rsidRPr="00587809">
        <w:rPr>
          <w:rFonts w:ascii="宋体" w:eastAsia="宋体" w:hAnsi="宋体"/>
        </w:rPr>
        <w:t>”</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587809" w:rsidRDefault="00DB3DD4" w:rsidP="00DB3DD4">
      <w:pPr>
        <w:pStyle w:val="SingleTxt"/>
        <w:rPr>
          <w:rFonts w:ascii="宋体" w:hAnsi="宋体"/>
        </w:rPr>
      </w:pPr>
      <w:r>
        <w:rPr>
          <w:rFonts w:hint="eastAsia"/>
        </w:rPr>
        <w:t>2</w:t>
      </w:r>
      <w:r w:rsidRPr="009C6DB2">
        <w:rPr>
          <w:rFonts w:hint="eastAsia"/>
        </w:rPr>
        <w:t>0</w:t>
      </w:r>
      <w:r>
        <w:rPr>
          <w:rFonts w:hint="eastAsia"/>
        </w:rPr>
        <w:t>4</w:t>
      </w:r>
      <w:r w:rsidRPr="009C6DB2">
        <w:rPr>
          <w:rFonts w:hint="eastAsia"/>
        </w:rPr>
        <w:t xml:space="preserve">.  </w:t>
      </w:r>
      <w:r w:rsidRPr="009C6DB2">
        <w:rPr>
          <w:rFonts w:hint="eastAsia"/>
        </w:rPr>
        <w:t>委员们认为，</w:t>
      </w:r>
      <w:r w:rsidRPr="00587809">
        <w:rPr>
          <w:rFonts w:ascii="宋体" w:hAnsi="宋体"/>
        </w:rPr>
        <w:t>“</w:t>
      </w:r>
      <w:r w:rsidRPr="00587809">
        <w:rPr>
          <w:rFonts w:ascii="宋体" w:hAnsi="宋体" w:hint="eastAsia"/>
        </w:rPr>
        <w:t>国家行为论</w:t>
      </w:r>
      <w:r w:rsidRPr="00587809">
        <w:rPr>
          <w:rFonts w:ascii="宋体" w:hAnsi="宋体"/>
        </w:rPr>
        <w:t>”</w:t>
      </w:r>
      <w:r w:rsidRPr="00587809">
        <w:rPr>
          <w:rFonts w:ascii="宋体" w:hAnsi="宋体" w:hint="eastAsia"/>
        </w:rPr>
        <w:t>是与属事豁免完全不同的法律概念。对</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的定义和理解是相对于</w:t>
      </w:r>
      <w:r w:rsidRPr="00587809">
        <w:rPr>
          <w:rFonts w:ascii="宋体" w:hAnsi="宋体"/>
        </w:rPr>
        <w:t>“</w:t>
      </w:r>
      <w:r w:rsidRPr="00587809">
        <w:rPr>
          <w:rFonts w:ascii="宋体" w:hAnsi="宋体" w:hint="eastAsia"/>
        </w:rPr>
        <w:t>以私人身份实施的行为</w:t>
      </w:r>
      <w:r w:rsidRPr="00587809">
        <w:rPr>
          <w:rFonts w:ascii="宋体" w:hAnsi="宋体"/>
        </w:rPr>
        <w:t>”</w:t>
      </w:r>
      <w:r w:rsidRPr="00587809">
        <w:rPr>
          <w:rFonts w:ascii="宋体" w:hAnsi="宋体" w:hint="eastAsia"/>
        </w:rPr>
        <w:t>的，这一提法得到了普遍赞同。还认为，</w:t>
      </w:r>
      <w:r w:rsidRPr="00587809">
        <w:rPr>
          <w:rFonts w:ascii="宋体" w:hAnsi="宋体"/>
        </w:rPr>
        <w:t>“</w:t>
      </w:r>
      <w:r w:rsidRPr="00587809">
        <w:rPr>
          <w:rFonts w:ascii="宋体" w:hAnsi="宋体" w:hint="eastAsia"/>
        </w:rPr>
        <w:t>以私人身份实施的行为</w:t>
      </w:r>
      <w:r w:rsidRPr="00587809">
        <w:rPr>
          <w:rFonts w:ascii="宋体" w:hAnsi="宋体"/>
        </w:rPr>
        <w:t>”</w:t>
      </w:r>
      <w:r w:rsidRPr="00587809">
        <w:rPr>
          <w:rFonts w:ascii="宋体" w:hAnsi="宋体" w:hint="eastAsia"/>
        </w:rPr>
        <w:t>不一定等同于管理权行为，而</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也与统治权行为不一样。此外，</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与</w:t>
      </w:r>
      <w:r w:rsidRPr="00587809">
        <w:rPr>
          <w:rFonts w:ascii="宋体" w:hAnsi="宋体"/>
        </w:rPr>
        <w:t>“</w:t>
      </w:r>
      <w:r w:rsidRPr="00587809">
        <w:rPr>
          <w:rFonts w:ascii="宋体" w:hAnsi="宋体" w:hint="eastAsia"/>
        </w:rPr>
        <w:t>以私人身份实施的行为</w:t>
      </w:r>
      <w:r w:rsidRPr="00587809">
        <w:rPr>
          <w:rFonts w:ascii="宋体" w:hAnsi="宋体"/>
        </w:rPr>
        <w:t>”</w:t>
      </w:r>
      <w:r w:rsidRPr="00587809">
        <w:rPr>
          <w:rFonts w:ascii="宋体" w:hAnsi="宋体" w:hint="eastAsia"/>
        </w:rPr>
        <w:t>之间的区别，同合法行为与非法行为之间的区别没有任何关系。然而，需要指出，这些对比概念仍提供了一些有用的要素，有助于理解一种行为是以官方身份还是以私人身份实施的，或者说一种行为是合法的还是非法的。</w:t>
      </w:r>
      <w:r w:rsidRPr="00587809">
        <w:rPr>
          <w:rFonts w:ascii="宋体" w:hAnsi="宋体"/>
        </w:rPr>
        <w:t>精心</w:t>
      </w:r>
      <w:r w:rsidRPr="00587809">
        <w:rPr>
          <w:rFonts w:ascii="宋体" w:hAnsi="宋体" w:hint="eastAsia"/>
        </w:rPr>
        <w:t>编拟一段评注分析各种细微差别，可能有利于更好地理解以官方身份实施的行为。</w:t>
      </w:r>
    </w:p>
    <w:p w:rsidR="00DB3DD4" w:rsidRDefault="00DB3DD4" w:rsidP="00DB3DD4">
      <w:pPr>
        <w:pStyle w:val="SingleTxt"/>
        <w:rPr>
          <w:rFonts w:ascii="宋体" w:hAnsi="宋体"/>
        </w:rPr>
      </w:pPr>
      <w:r>
        <w:rPr>
          <w:rFonts w:hint="eastAsia"/>
        </w:rPr>
        <w:t>2</w:t>
      </w:r>
      <w:r w:rsidRPr="009C6DB2">
        <w:rPr>
          <w:rFonts w:hint="eastAsia"/>
        </w:rPr>
        <w:t>0</w:t>
      </w:r>
      <w:r>
        <w:rPr>
          <w:rFonts w:hint="eastAsia"/>
        </w:rPr>
        <w:t>5</w:t>
      </w:r>
      <w:r w:rsidRPr="009C6DB2">
        <w:rPr>
          <w:rFonts w:hint="eastAsia"/>
        </w:rPr>
        <w:t xml:space="preserve">.  </w:t>
      </w:r>
      <w:r w:rsidRPr="009C6DB2">
        <w:rPr>
          <w:rFonts w:hint="eastAsia"/>
        </w:rPr>
        <w:t>有些委员不认为出于本专题的目的，有必要对官方行为或以官方身份实施的行为作出界定。他们指出，法律概念往往是不确定的，并不总是能够形成法律定义。在</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与</w:t>
      </w:r>
      <w:r w:rsidRPr="00587809">
        <w:rPr>
          <w:rFonts w:ascii="宋体" w:hAnsi="宋体"/>
        </w:rPr>
        <w:t>“</w:t>
      </w:r>
      <w:r w:rsidRPr="00587809">
        <w:rPr>
          <w:rFonts w:ascii="宋体" w:hAnsi="宋体" w:hint="eastAsia"/>
        </w:rPr>
        <w:t>以私人身份实施的行为</w:t>
      </w:r>
      <w:r w:rsidRPr="00587809">
        <w:rPr>
          <w:rFonts w:ascii="宋体" w:hAnsi="宋体"/>
        </w:rPr>
        <w:t>”</w:t>
      </w:r>
      <w:r w:rsidRPr="00587809">
        <w:rPr>
          <w:rFonts w:ascii="宋体" w:hAnsi="宋体" w:hint="eastAsia"/>
        </w:rPr>
        <w:t>的二分法区别之外，提出一项定义是否有帮助还不完全清楚。任何超乎寻常的尝试都无法成功。他们认为，</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与</w:t>
      </w:r>
      <w:r w:rsidRPr="00587809">
        <w:rPr>
          <w:rFonts w:ascii="宋体" w:hAnsi="宋体"/>
        </w:rPr>
        <w:t>“</w:t>
      </w:r>
      <w:r w:rsidRPr="00587809">
        <w:rPr>
          <w:rFonts w:ascii="宋体" w:hAnsi="宋体" w:hint="eastAsia"/>
        </w:rPr>
        <w:t>以私人身份实施的行为</w:t>
      </w:r>
      <w:r w:rsidRPr="00587809">
        <w:rPr>
          <w:rFonts w:ascii="宋体" w:hAnsi="宋体"/>
        </w:rPr>
        <w:t>”</w:t>
      </w:r>
      <w:r w:rsidRPr="00587809">
        <w:rPr>
          <w:rFonts w:ascii="宋体" w:hAnsi="宋体" w:hint="eastAsia"/>
        </w:rPr>
        <w:t>之间的区别，对于根据每起案件的情节逐案作出判断是全面和足够的。这种二分法得到了国际和国内判例法的验证。有些委员怀疑，大量援引使用</w:t>
      </w:r>
      <w:r w:rsidRPr="00587809">
        <w:rPr>
          <w:rFonts w:ascii="宋体" w:hAnsi="宋体"/>
        </w:rPr>
        <w:t>“</w:t>
      </w:r>
      <w:r w:rsidRPr="00587809">
        <w:rPr>
          <w:rFonts w:ascii="宋体" w:hAnsi="宋体" w:hint="eastAsia"/>
        </w:rPr>
        <w:t>官方行为</w:t>
      </w:r>
      <w:r w:rsidRPr="00587809">
        <w:rPr>
          <w:rFonts w:ascii="宋体" w:hAnsi="宋体"/>
        </w:rPr>
        <w:t>”</w:t>
      </w:r>
      <w:r w:rsidRPr="00587809">
        <w:rPr>
          <w:rFonts w:ascii="宋体" w:hAnsi="宋体" w:hint="eastAsia"/>
        </w:rPr>
        <w:t>或</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这类术语的实例是否有用，因为这样的援引无论多少都不能包罗全部，还是需要深入分析才能理解上下文。有的委员指出，特别报告员应该更深入探讨国家可以在多大程度上确定哪些活动属于它所认为的</w:t>
      </w:r>
      <w:r w:rsidRPr="00587809">
        <w:rPr>
          <w:rFonts w:ascii="宋体" w:hAnsi="宋体"/>
        </w:rPr>
        <w:t>“</w:t>
      </w:r>
      <w:r w:rsidRPr="00587809">
        <w:rPr>
          <w:rFonts w:ascii="宋体" w:hAnsi="宋体" w:hint="eastAsia"/>
        </w:rPr>
        <w:t>以官方身份实施的行为</w:t>
      </w:r>
      <w:r w:rsidRPr="00587809">
        <w:rPr>
          <w:rFonts w:ascii="宋体" w:hAnsi="宋体"/>
        </w:rPr>
        <w:t>”</w:t>
      </w:r>
      <w:r w:rsidRPr="00587809">
        <w:rPr>
          <w:rFonts w:ascii="宋体" w:hAnsi="宋体" w:hint="eastAsia"/>
        </w:rPr>
        <w:t>。但另有委员认为，如果定义拟订适当，可能是必要或有用的。还有委员建议在评注中列举以官方身份实施的行为的例子。</w:t>
      </w:r>
    </w:p>
    <w:p w:rsidR="00DB3DD4" w:rsidRPr="00587809" w:rsidRDefault="00DB3DD4" w:rsidP="00DB3DD4">
      <w:pPr>
        <w:pStyle w:val="SingleTxt"/>
        <w:spacing w:after="0" w:line="120" w:lineRule="exact"/>
        <w:rPr>
          <w:rFonts w:ascii="宋体" w:hAnsi="宋体"/>
          <w:sz w:val="10"/>
        </w:rPr>
      </w:pPr>
    </w:p>
    <w:p w:rsidR="00DB3DD4" w:rsidRPr="00587809" w:rsidRDefault="00DB3DD4" w:rsidP="00DB3DD4">
      <w:pPr>
        <w:pStyle w:val="SingleTxt"/>
        <w:spacing w:after="0" w:line="120" w:lineRule="exact"/>
        <w:rPr>
          <w:rFonts w:ascii="宋体" w:hAnsi="宋体"/>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w:t>
      </w:r>
      <w:r w:rsidRPr="009C6DB2">
        <w:rPr>
          <w:rFonts w:hint="eastAsia"/>
        </w:rPr>
        <w:t>二</w:t>
      </w:r>
      <w:r>
        <w:rPr>
          <w:rFonts w:hint="eastAsia"/>
        </w:rPr>
        <w:t>)</w:t>
      </w:r>
      <w:r w:rsidRPr="009C6DB2">
        <w:rPr>
          <w:rFonts w:hint="eastAsia"/>
        </w:rPr>
        <w:tab/>
        <w:t>行为的犯罪性质</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9C6DB2" w:rsidRDefault="00DB3DD4" w:rsidP="00DB3DD4">
      <w:pPr>
        <w:pStyle w:val="SingleTxt"/>
      </w:pPr>
      <w:r>
        <w:rPr>
          <w:rFonts w:hint="eastAsia"/>
        </w:rPr>
        <w:t>2</w:t>
      </w:r>
      <w:r w:rsidRPr="009C6DB2">
        <w:rPr>
          <w:rFonts w:hint="eastAsia"/>
        </w:rPr>
        <w:t xml:space="preserve">06.  </w:t>
      </w:r>
      <w:r w:rsidRPr="009C6DB2">
        <w:rPr>
          <w:rFonts w:hint="eastAsia"/>
        </w:rPr>
        <w:t>一些委员注意到，某些条约将国家官员参与行为的实施作为罪行定义的一部分，而另一些条约没有将参与作为所涉罪行的明确要素，但这不一定排除官员以该身份参与有关犯罪的可能性。不过，根据这种观点，对犯罪作出的某种定性属于规定性还是描述性，未必对该人是否以官方身份行事的问题有影响。</w:t>
      </w:r>
    </w:p>
    <w:p w:rsidR="00DB3DD4" w:rsidRPr="009C6DB2" w:rsidRDefault="00DB3DD4" w:rsidP="00DB3DD4">
      <w:pPr>
        <w:pStyle w:val="SingleTxt"/>
      </w:pPr>
      <w:r>
        <w:rPr>
          <w:rFonts w:hint="eastAsia"/>
        </w:rPr>
        <w:t>2</w:t>
      </w:r>
      <w:r w:rsidRPr="009C6DB2">
        <w:rPr>
          <w:rFonts w:hint="eastAsia"/>
        </w:rPr>
        <w:t xml:space="preserve">07.  </w:t>
      </w:r>
      <w:r w:rsidRPr="009C6DB2">
        <w:rPr>
          <w:rFonts w:hint="eastAsia"/>
        </w:rPr>
        <w:t>一些委员认为，为了豁免的目的确定一种行为是否以官方身份实施的行为的核心不在于该行为的性质，而在于行为者的身份。</w:t>
      </w:r>
    </w:p>
    <w:p w:rsidR="00DB3DD4" w:rsidRPr="009C6DB2" w:rsidRDefault="00DB3DD4" w:rsidP="00DB3DD4">
      <w:pPr>
        <w:pStyle w:val="SingleTxt"/>
      </w:pPr>
      <w:r>
        <w:rPr>
          <w:rFonts w:hint="eastAsia"/>
        </w:rPr>
        <w:t>2</w:t>
      </w:r>
      <w:r w:rsidRPr="009C6DB2">
        <w:rPr>
          <w:rFonts w:hint="eastAsia"/>
        </w:rPr>
        <w:t xml:space="preserve">08.  </w:t>
      </w:r>
      <w:r w:rsidRPr="009C6DB2">
        <w:rPr>
          <w:rFonts w:hint="eastAsia"/>
        </w:rPr>
        <w:t>一些委员指出，虽然行为的犯罪性质不改变其官方性质，这并不意味着行为的犯罪性质可以被视为以官方身份实施的行为的定义的要素。还有委员指出，将以官方身份实施的行为定性为犯罪，似乎是拟议定义中所要表达的，这可能导致令人</w:t>
      </w:r>
      <w:r w:rsidRPr="009C6DB2">
        <w:rPr>
          <w:rFonts w:hint="eastAsia"/>
        </w:rPr>
        <w:lastRenderedPageBreak/>
        <w:t>惊讶的结果，因为它将以官方身份实施的任何行为都视为犯罪。这等于在暗示按照定义，每一</w:t>
      </w:r>
      <w:r w:rsidRPr="00587809">
        <w:rPr>
          <w:rFonts w:ascii="宋体" w:hAnsi="宋体"/>
        </w:rPr>
        <w:t>“</w:t>
      </w:r>
      <w:r w:rsidRPr="00587809">
        <w:rPr>
          <w:rFonts w:ascii="宋体" w:hAnsi="宋体" w:hint="eastAsia"/>
        </w:rPr>
        <w:t>以官方身份实施的行为</w:t>
      </w:r>
      <w:r w:rsidRPr="00587809">
        <w:rPr>
          <w:rFonts w:ascii="宋体" w:hAnsi="宋体"/>
        </w:rPr>
        <w:t>”</w:t>
      </w:r>
      <w:r w:rsidRPr="009C6DB2">
        <w:rPr>
          <w:rFonts w:hint="eastAsia"/>
        </w:rPr>
        <w:t>都构成犯罪，国家官员以官方身份行事时必然要犯罪。一种行为是否属于犯罪，不是该行为的性质决定的，而因为国内或国际刑法将其定为犯罪。</w:t>
      </w:r>
    </w:p>
    <w:p w:rsidR="00DB3DD4" w:rsidRPr="009C6DB2" w:rsidRDefault="00DB3DD4" w:rsidP="00DB3DD4">
      <w:pPr>
        <w:pStyle w:val="SingleTxt"/>
      </w:pPr>
      <w:r>
        <w:rPr>
          <w:rFonts w:hint="eastAsia"/>
        </w:rPr>
        <w:t>2</w:t>
      </w:r>
      <w:r w:rsidRPr="009C6DB2">
        <w:rPr>
          <w:rFonts w:hint="eastAsia"/>
        </w:rPr>
        <w:t xml:space="preserve">09.  </w:t>
      </w:r>
      <w:r w:rsidRPr="009C6DB2">
        <w:rPr>
          <w:rFonts w:hint="eastAsia"/>
        </w:rPr>
        <w:t>有人认为，国际豁免法的核心是由法院地国的法庭作为程序事项，确定某一官员的某一行为是否受其管辖。这些问题在</w:t>
      </w:r>
      <w:r w:rsidRPr="009C6DB2">
        <w:t>诉讼程序的初期</w:t>
      </w:r>
      <w:r w:rsidRPr="009C6DB2">
        <w:rPr>
          <w:rFonts w:hint="eastAsia"/>
        </w:rPr>
        <w:t>考虑。如果行为的合法性是确定管辖权是否存在的相关标准，那么属事豁免法将因此变得多余。这种做法也对无罪推定原则具有影响。</w:t>
      </w:r>
    </w:p>
    <w:p w:rsidR="00DB3DD4" w:rsidRPr="009C6DB2" w:rsidRDefault="00DB3DD4" w:rsidP="00DB3DD4">
      <w:pPr>
        <w:pStyle w:val="SingleTxt"/>
      </w:pPr>
      <w:r>
        <w:rPr>
          <w:rFonts w:hint="eastAsia"/>
        </w:rPr>
        <w:t>21</w:t>
      </w:r>
      <w:r w:rsidRPr="009C6DB2">
        <w:rPr>
          <w:rFonts w:hint="eastAsia"/>
        </w:rPr>
        <w:t xml:space="preserve">0.  </w:t>
      </w:r>
      <w:r w:rsidRPr="009C6DB2">
        <w:rPr>
          <w:rFonts w:hint="eastAsia"/>
        </w:rPr>
        <w:t>有些委员认为，提及行为的</w:t>
      </w:r>
      <w:r w:rsidRPr="00587809">
        <w:rPr>
          <w:rFonts w:ascii="宋体" w:hAnsi="宋体"/>
        </w:rPr>
        <w:t>“</w:t>
      </w:r>
      <w:r w:rsidRPr="00587809">
        <w:rPr>
          <w:rFonts w:ascii="宋体" w:hAnsi="宋体" w:hint="eastAsia"/>
        </w:rPr>
        <w:t>犯罪性质</w:t>
      </w:r>
      <w:r w:rsidRPr="00587809">
        <w:rPr>
          <w:rFonts w:ascii="宋体" w:hAnsi="宋体"/>
        </w:rPr>
        <w:t>”</w:t>
      </w:r>
      <w:r w:rsidRPr="009C6DB2">
        <w:rPr>
          <w:rFonts w:hint="eastAsia"/>
        </w:rPr>
        <w:t>，只是为了本条款草案的目的力求反映一个描述性的概念。它的本意不是说所有官员的行为都是</w:t>
      </w:r>
      <w:r w:rsidRPr="00587809">
        <w:rPr>
          <w:rFonts w:ascii="宋体" w:hAnsi="宋体"/>
        </w:rPr>
        <w:t>“</w:t>
      </w:r>
      <w:r w:rsidRPr="00587809">
        <w:rPr>
          <w:rFonts w:ascii="宋体" w:hAnsi="宋体" w:hint="eastAsia"/>
        </w:rPr>
        <w:t>犯罪</w:t>
      </w:r>
      <w:r w:rsidRPr="00587809">
        <w:rPr>
          <w:rFonts w:ascii="宋体" w:hAnsi="宋体"/>
        </w:rPr>
        <w:t>”</w:t>
      </w:r>
      <w:r w:rsidRPr="009C6DB2">
        <w:rPr>
          <w:rFonts w:hint="eastAsia"/>
        </w:rPr>
        <w:t>行为。有些成员表示无法理解这其中的逻辑，即豁免之所以适用，是因为行为是以官方身份实施的，而不是因为其中有犯罪成分。为此，有些委员回顾，过去曾有人建议对犯罪行为进行界定。人们不明白，如果不是涉嫌犯罪，那么逮捕一名官员的意义何在，而且的</w:t>
      </w:r>
      <w:r w:rsidRPr="009C6DB2">
        <w:t>确</w:t>
      </w:r>
      <w:r w:rsidRPr="009C6DB2">
        <w:rPr>
          <w:rFonts w:hint="eastAsia"/>
        </w:rPr>
        <w:t>让人怀疑是否适用了无罪推定原则。</w:t>
      </w:r>
    </w:p>
    <w:p w:rsidR="00DB3DD4" w:rsidRPr="009C6DB2" w:rsidRDefault="00DB3DD4" w:rsidP="00DB3DD4">
      <w:pPr>
        <w:pStyle w:val="SingleTxt"/>
      </w:pPr>
      <w:r>
        <w:rPr>
          <w:rFonts w:hint="eastAsia"/>
        </w:rPr>
        <w:t>211</w:t>
      </w:r>
      <w:r w:rsidRPr="009C6DB2">
        <w:rPr>
          <w:rFonts w:hint="eastAsia"/>
        </w:rPr>
        <w:t xml:space="preserve">.  </w:t>
      </w:r>
      <w:r w:rsidRPr="009C6DB2">
        <w:rPr>
          <w:rFonts w:hint="eastAsia"/>
        </w:rPr>
        <w:t>有的委员反驳说，委员会</w:t>
      </w:r>
      <w:r>
        <w:rPr>
          <w:rFonts w:hint="eastAsia"/>
        </w:rPr>
        <w:t>2</w:t>
      </w:r>
      <w:r w:rsidRPr="009C6DB2">
        <w:rPr>
          <w:rFonts w:hint="eastAsia"/>
        </w:rPr>
        <w:t>0</w:t>
      </w:r>
      <w:r>
        <w:rPr>
          <w:rFonts w:hint="eastAsia"/>
        </w:rPr>
        <w:t>13</w:t>
      </w:r>
      <w:r w:rsidRPr="009C6DB2">
        <w:rPr>
          <w:rFonts w:hint="eastAsia"/>
        </w:rPr>
        <w:t>年暂时通过的关于适用范围的第</w:t>
      </w:r>
      <w:r>
        <w:rPr>
          <w:rFonts w:hint="eastAsia"/>
        </w:rPr>
        <w:t>1</w:t>
      </w:r>
      <w:r w:rsidRPr="009C6DB2">
        <w:rPr>
          <w:rFonts w:hint="eastAsia"/>
        </w:rPr>
        <w:t>条草案已经规定，条款草案的重点是刑事管辖权。</w:t>
      </w:r>
    </w:p>
    <w:p w:rsidR="00DB3DD4" w:rsidRPr="009C6DB2" w:rsidRDefault="00DB3DD4" w:rsidP="00DB3DD4">
      <w:pPr>
        <w:pStyle w:val="SingleTxt"/>
      </w:pPr>
      <w:r>
        <w:rPr>
          <w:rFonts w:hint="eastAsia"/>
        </w:rPr>
        <w:t>212</w:t>
      </w:r>
      <w:r w:rsidRPr="009C6DB2">
        <w:rPr>
          <w:rFonts w:hint="eastAsia"/>
        </w:rPr>
        <w:t xml:space="preserve">.  </w:t>
      </w:r>
      <w:r w:rsidRPr="009C6DB2">
        <w:rPr>
          <w:rFonts w:hint="eastAsia"/>
        </w:rPr>
        <w:t>委员们提出了各种提案，希望限定或从拟议定义的案文中删除任何暗示以官方身份实施的行为本身是犯罪行为的内容。也有委员提出重新起草第</w:t>
      </w:r>
      <w:r>
        <w:rPr>
          <w:rFonts w:hint="eastAsia"/>
        </w:rPr>
        <w:t>2</w:t>
      </w:r>
      <w:r w:rsidRPr="009C6DB2">
        <w:rPr>
          <w:rFonts w:hint="eastAsia"/>
        </w:rPr>
        <w:t>条草案</w:t>
      </w:r>
      <w:r>
        <w:rPr>
          <w:rFonts w:hint="eastAsia"/>
        </w:rPr>
        <w:t>(f)</w:t>
      </w:r>
      <w:r w:rsidRPr="009C6DB2">
        <w:rPr>
          <w:rFonts w:hint="eastAsia"/>
        </w:rPr>
        <w:t>款，取消犯罪性质的要求。</w:t>
      </w:r>
    </w:p>
    <w:p w:rsidR="00DB3DD4" w:rsidRDefault="00DB3DD4" w:rsidP="00DB3DD4">
      <w:pPr>
        <w:pStyle w:val="SingleTxt"/>
      </w:pPr>
      <w:r>
        <w:rPr>
          <w:rFonts w:hint="eastAsia"/>
        </w:rPr>
        <w:t>213</w:t>
      </w:r>
      <w:r w:rsidRPr="009C6DB2">
        <w:rPr>
          <w:rFonts w:hint="eastAsia"/>
        </w:rPr>
        <w:t xml:space="preserve">.  </w:t>
      </w:r>
      <w:r w:rsidRPr="009C6DB2">
        <w:rPr>
          <w:rFonts w:hint="eastAsia"/>
        </w:rPr>
        <w:t>关于</w:t>
      </w:r>
      <w:r w:rsidRPr="00587809">
        <w:rPr>
          <w:rFonts w:ascii="宋体" w:hAnsi="宋体"/>
        </w:rPr>
        <w:t>“</w:t>
      </w:r>
      <w:r w:rsidRPr="00587809">
        <w:rPr>
          <w:rFonts w:ascii="宋体" w:hAnsi="宋体" w:hint="eastAsia"/>
        </w:rPr>
        <w:t>单一行为，双重责任</w:t>
      </w:r>
      <w:r w:rsidRPr="00587809">
        <w:rPr>
          <w:rFonts w:ascii="宋体" w:hAnsi="宋体"/>
        </w:rPr>
        <w:t>”</w:t>
      </w:r>
      <w:r w:rsidRPr="00587809">
        <w:rPr>
          <w:rFonts w:ascii="宋体" w:hAnsi="宋体" w:hint="eastAsia"/>
        </w:rPr>
        <w:t>的问题</w:t>
      </w:r>
      <w:r w:rsidRPr="009C6DB2">
        <w:rPr>
          <w:rFonts w:hint="eastAsia"/>
        </w:rPr>
        <w:t>，有些委员认为，这是国际法公认的。显而易见，官员以官方身份实施的任何行为不仅归于个人</w:t>
      </w:r>
      <w:r>
        <w:rPr>
          <w:rFonts w:hint="eastAsia"/>
        </w:rPr>
        <w:t>(</w:t>
      </w:r>
      <w:r w:rsidRPr="009C6DB2">
        <w:rPr>
          <w:rFonts w:hint="eastAsia"/>
        </w:rPr>
        <w:t>出于个人刑事责任的目的</w:t>
      </w:r>
      <w:r>
        <w:rPr>
          <w:rFonts w:hint="eastAsia"/>
        </w:rPr>
        <w:t>)</w:t>
      </w:r>
      <w:r w:rsidRPr="009C6DB2">
        <w:rPr>
          <w:rFonts w:hint="eastAsia"/>
        </w:rPr>
        <w:t>，而且也归于国家</w:t>
      </w:r>
      <w:r>
        <w:rPr>
          <w:rFonts w:hint="eastAsia"/>
        </w:rPr>
        <w:t>(</w:t>
      </w:r>
      <w:r w:rsidRPr="009C6DB2">
        <w:rPr>
          <w:rFonts w:hint="eastAsia"/>
        </w:rPr>
        <w:t>出于国家责任的目的</w:t>
      </w:r>
      <w:r>
        <w:rPr>
          <w:rFonts w:hint="eastAsia"/>
        </w:rPr>
        <w:t>)</w:t>
      </w:r>
      <w:r w:rsidRPr="009C6DB2">
        <w:rPr>
          <w:rFonts w:hint="eastAsia"/>
        </w:rPr>
        <w:t>。还有些委员虽然不反对这样的表述，但也不完全清楚</w:t>
      </w:r>
      <w:r w:rsidRPr="00587809">
        <w:rPr>
          <w:rFonts w:ascii="宋体" w:hAnsi="宋体"/>
        </w:rPr>
        <w:t>“</w:t>
      </w:r>
      <w:r w:rsidRPr="00587809">
        <w:rPr>
          <w:rFonts w:ascii="宋体" w:hAnsi="宋体" w:hint="eastAsia"/>
        </w:rPr>
        <w:t>单一行为，双重责任</w:t>
      </w:r>
      <w:r w:rsidRPr="00587809">
        <w:rPr>
          <w:rFonts w:ascii="宋体" w:hAnsi="宋体"/>
        </w:rPr>
        <w:t>”</w:t>
      </w:r>
      <w:r w:rsidRPr="009C6DB2">
        <w:rPr>
          <w:rFonts w:hint="eastAsia"/>
        </w:rPr>
        <w:t>的模式如何与以官方身份实施的行为必须是犯罪行为的结论相关联。有委员指出，这似乎混淆了对管辖和豁免问题</w:t>
      </w:r>
      <w:r w:rsidRPr="009C6DB2">
        <w:rPr>
          <w:rFonts w:hint="eastAsia"/>
        </w:rPr>
        <w:t>(</w:t>
      </w:r>
      <w:r w:rsidRPr="009C6DB2">
        <w:rPr>
          <w:rFonts w:hint="eastAsia"/>
        </w:rPr>
        <w:t>这是两个本身不同，但又相互关联的概念</w:t>
      </w:r>
      <w:r w:rsidRPr="009C6DB2">
        <w:rPr>
          <w:rFonts w:hint="eastAsia"/>
        </w:rPr>
        <w:t>)</w:t>
      </w:r>
      <w:r w:rsidRPr="009C6DB2">
        <w:rPr>
          <w:rFonts w:hint="eastAsia"/>
        </w:rPr>
        <w:t>的理解与对责任</w:t>
      </w:r>
      <w:r w:rsidRPr="009C6DB2">
        <w:rPr>
          <w:rFonts w:hint="eastAsia"/>
        </w:rPr>
        <w:t>(</w:t>
      </w:r>
      <w:r w:rsidRPr="009C6DB2">
        <w:rPr>
          <w:rFonts w:hint="eastAsia"/>
        </w:rPr>
        <w:t>无论是个人刑事责任，还是国家责任</w:t>
      </w:r>
      <w:r w:rsidRPr="009C6DB2">
        <w:rPr>
          <w:rFonts w:hint="eastAsia"/>
        </w:rPr>
        <w:t>)</w:t>
      </w:r>
      <w:r w:rsidRPr="009C6DB2">
        <w:rPr>
          <w:rFonts w:hint="eastAsia"/>
        </w:rPr>
        <w:t>的理解。</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w:t>
      </w:r>
      <w:r w:rsidRPr="009C6DB2">
        <w:rPr>
          <w:rFonts w:hint="eastAsia"/>
        </w:rPr>
        <w:t>三</w:t>
      </w:r>
      <w:r>
        <w:rPr>
          <w:rFonts w:hint="eastAsia"/>
        </w:rPr>
        <w:t>)</w:t>
      </w:r>
      <w:r>
        <w:rPr>
          <w:rFonts w:hint="eastAsia"/>
        </w:rPr>
        <w:tab/>
      </w:r>
      <w:r w:rsidRPr="009C6DB2">
        <w:rPr>
          <w:rFonts w:hint="eastAsia"/>
        </w:rPr>
        <w:t>行为归于国家</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9C6DB2" w:rsidRDefault="00DB3DD4" w:rsidP="00DB3DD4">
      <w:pPr>
        <w:pStyle w:val="SingleTxt"/>
      </w:pPr>
      <w:r>
        <w:rPr>
          <w:rFonts w:hint="eastAsia"/>
        </w:rPr>
        <w:t>214</w:t>
      </w:r>
      <w:r w:rsidRPr="009C6DB2">
        <w:rPr>
          <w:rFonts w:hint="eastAsia"/>
        </w:rPr>
        <w:t xml:space="preserve">.  </w:t>
      </w:r>
      <w:r w:rsidRPr="009C6DB2">
        <w:rPr>
          <w:rFonts w:hint="eastAsia"/>
        </w:rPr>
        <w:t>有些委员认为，报告论述了行为归属问题很重要，因为有助于澄清属事豁免范围的某些问题。</w:t>
      </w:r>
    </w:p>
    <w:p w:rsidR="00DB3DD4" w:rsidRPr="00587809" w:rsidRDefault="00DB3DD4" w:rsidP="00DB3DD4">
      <w:pPr>
        <w:pStyle w:val="SingleTxt"/>
        <w:rPr>
          <w:rFonts w:ascii="宋体" w:hAnsi="宋体"/>
        </w:rPr>
      </w:pPr>
      <w:r>
        <w:rPr>
          <w:rFonts w:hint="eastAsia"/>
        </w:rPr>
        <w:t>215</w:t>
      </w:r>
      <w:r w:rsidRPr="009C6DB2">
        <w:rPr>
          <w:rFonts w:hint="eastAsia"/>
        </w:rPr>
        <w:t xml:space="preserve">.  </w:t>
      </w:r>
      <w:r w:rsidRPr="009C6DB2">
        <w:rPr>
          <w:rFonts w:hint="eastAsia"/>
        </w:rPr>
        <w:t>也有些委员指出，在属事豁免中提到国家责任的归属规则是完全合乎逻辑的，因为在他们看来豁免纯粹属于国家。因此，他们质疑特别报告员的说法，即</w:t>
      </w:r>
      <w:r w:rsidRPr="00587809">
        <w:rPr>
          <w:rFonts w:ascii="宋体" w:hAnsi="宋体"/>
        </w:rPr>
        <w:t>“</w:t>
      </w:r>
      <w:r w:rsidRPr="00587809">
        <w:rPr>
          <w:rFonts w:ascii="宋体" w:hAnsi="宋体" w:hint="eastAsia"/>
        </w:rPr>
        <w:t>属事豁免涵盖的任何犯罪行为，严格来说，本身都不属于国家行为，而是实施该行为的个人的行为</w:t>
      </w:r>
      <w:r w:rsidRPr="00587809">
        <w:rPr>
          <w:rFonts w:ascii="宋体" w:hAnsi="宋体"/>
        </w:rPr>
        <w:t>”</w:t>
      </w:r>
      <w:r w:rsidRPr="00587809">
        <w:rPr>
          <w:rFonts w:ascii="宋体" w:hAnsi="宋体" w:hint="eastAsia"/>
        </w:rPr>
        <w:t>，他们认为这一说法令人困惑并使问题复杂化。</w:t>
      </w:r>
    </w:p>
    <w:p w:rsidR="00DB3DD4" w:rsidRPr="009C6DB2" w:rsidRDefault="00DB3DD4" w:rsidP="00DB3DD4">
      <w:pPr>
        <w:pStyle w:val="SingleTxt"/>
      </w:pPr>
      <w:r>
        <w:rPr>
          <w:rFonts w:hint="eastAsia"/>
        </w:rPr>
        <w:t>21</w:t>
      </w:r>
      <w:r w:rsidRPr="009C6DB2">
        <w:rPr>
          <w:rFonts w:hint="eastAsia"/>
        </w:rPr>
        <w:t xml:space="preserve">6.  </w:t>
      </w:r>
      <w:r w:rsidRPr="009C6DB2">
        <w:rPr>
          <w:rFonts w:hint="eastAsia"/>
        </w:rPr>
        <w:t>他们还回顾，国家豁免规则是程序性的，仅限于确定法院地国是否可以对另一国行使管辖权。它们与诉讼所涉行为是合法还是非法无关。</w:t>
      </w:r>
    </w:p>
    <w:p w:rsidR="00DB3DD4" w:rsidRPr="009C6DB2" w:rsidRDefault="00DB3DD4" w:rsidP="00DB3DD4">
      <w:pPr>
        <w:pStyle w:val="SingleTxt"/>
      </w:pPr>
      <w:r>
        <w:rPr>
          <w:rFonts w:hint="eastAsia"/>
        </w:rPr>
        <w:lastRenderedPageBreak/>
        <w:t>21</w:t>
      </w:r>
      <w:r w:rsidRPr="009C6DB2">
        <w:rPr>
          <w:rFonts w:hint="eastAsia"/>
        </w:rPr>
        <w:t xml:space="preserve">7.  </w:t>
      </w:r>
      <w:r w:rsidRPr="009C6DB2">
        <w:rPr>
          <w:rFonts w:hint="eastAsia"/>
        </w:rPr>
        <w:t>有些委员不认可国家官员享受另一国的刑事管辖豁免与国家豁免是一致的。他们认为，区分二者是有用的，需要进一步探讨；国际刑法的发展，特别是第二次世界大战结束以来的发展已经表明，属事豁免未必需要与国家豁免一致。另一些委员指出，国家有权放弃其官员的豁免权，这显示了基于国家的所有形式的豁免之间的联系。</w:t>
      </w:r>
    </w:p>
    <w:p w:rsidR="00DB3DD4" w:rsidRPr="009C6DB2" w:rsidRDefault="00DB3DD4" w:rsidP="00DB3DD4">
      <w:pPr>
        <w:pStyle w:val="SingleTxt"/>
      </w:pPr>
      <w:r>
        <w:rPr>
          <w:rFonts w:hint="eastAsia"/>
        </w:rPr>
        <w:t>21</w:t>
      </w:r>
      <w:r w:rsidRPr="009C6DB2">
        <w:rPr>
          <w:rFonts w:hint="eastAsia"/>
        </w:rPr>
        <w:t xml:space="preserve">8.  </w:t>
      </w:r>
      <w:r w:rsidRPr="009C6DB2">
        <w:rPr>
          <w:rFonts w:hint="eastAsia"/>
        </w:rPr>
        <w:t>有些委员赞同特别报告员关于国家对国际不法行为的责任条款第</w:t>
      </w:r>
      <w:r>
        <w:rPr>
          <w:rFonts w:hint="eastAsia"/>
        </w:rPr>
        <w:t>4</w:t>
      </w:r>
      <w:r w:rsidRPr="009C6DB2">
        <w:rPr>
          <w:rFonts w:hint="eastAsia"/>
        </w:rPr>
        <w:t>至第</w:t>
      </w:r>
      <w:r>
        <w:rPr>
          <w:rFonts w:hint="eastAsia"/>
        </w:rPr>
        <w:t>11</w:t>
      </w:r>
      <w:r w:rsidRPr="009C6DB2">
        <w:rPr>
          <w:rFonts w:hint="eastAsia"/>
        </w:rPr>
        <w:t>条阐述的责任归属标准并非全部对豁免目的有用的看法。他们指出，例如根据条款第</w:t>
      </w:r>
      <w:r w:rsidRPr="009C6DB2">
        <w:rPr>
          <w:rFonts w:hint="eastAsia"/>
        </w:rPr>
        <w:t>7</w:t>
      </w:r>
      <w:r w:rsidRPr="009C6DB2">
        <w:rPr>
          <w:rFonts w:hint="eastAsia"/>
        </w:rPr>
        <w:t>、</w:t>
      </w:r>
      <w:r w:rsidRPr="009C6DB2">
        <w:rPr>
          <w:rFonts w:hint="eastAsia"/>
        </w:rPr>
        <w:t>8</w:t>
      </w:r>
      <w:r w:rsidRPr="009C6DB2">
        <w:rPr>
          <w:rFonts w:hint="eastAsia"/>
        </w:rPr>
        <w:t>、</w:t>
      </w:r>
      <w:r w:rsidRPr="009C6DB2">
        <w:rPr>
          <w:rFonts w:hint="eastAsia"/>
        </w:rPr>
        <w:t>9</w:t>
      </w:r>
      <w:r w:rsidRPr="009C6DB2">
        <w:rPr>
          <w:rFonts w:hint="eastAsia"/>
        </w:rPr>
        <w:t>、</w:t>
      </w:r>
      <w:r>
        <w:rPr>
          <w:rFonts w:hint="eastAsia"/>
        </w:rPr>
        <w:t>1</w:t>
      </w:r>
      <w:r w:rsidRPr="009C6DB2">
        <w:rPr>
          <w:rFonts w:hint="eastAsia"/>
        </w:rPr>
        <w:t>0</w:t>
      </w:r>
      <w:r w:rsidRPr="009C6DB2">
        <w:rPr>
          <w:rFonts w:hint="eastAsia"/>
        </w:rPr>
        <w:t>和</w:t>
      </w:r>
      <w:r>
        <w:rPr>
          <w:rFonts w:hint="eastAsia"/>
        </w:rPr>
        <w:t>11</w:t>
      </w:r>
      <w:r w:rsidRPr="009C6DB2">
        <w:rPr>
          <w:rFonts w:hint="eastAsia"/>
        </w:rPr>
        <w:t>条在某些情况下归于国家的个人行为，就豁免这些人的目的而言不构成以官方身份实施的行为。</w:t>
      </w:r>
    </w:p>
    <w:p w:rsidR="00DB3DD4" w:rsidRPr="00587809" w:rsidRDefault="00DB3DD4" w:rsidP="00DB3DD4">
      <w:pPr>
        <w:pStyle w:val="SingleTxt"/>
        <w:rPr>
          <w:rFonts w:ascii="宋体" w:hAnsi="宋体"/>
        </w:rPr>
      </w:pPr>
      <w:r>
        <w:rPr>
          <w:rFonts w:hint="eastAsia"/>
        </w:rPr>
        <w:t>21</w:t>
      </w:r>
      <w:r w:rsidRPr="009C6DB2">
        <w:rPr>
          <w:rFonts w:hint="eastAsia"/>
        </w:rPr>
        <w:t xml:space="preserve">9.  </w:t>
      </w:r>
      <w:r w:rsidRPr="00587809">
        <w:rPr>
          <w:rFonts w:ascii="宋体" w:hAnsi="宋体" w:hint="eastAsia"/>
        </w:rPr>
        <w:t>考虑到似乎缺少国家惯例或相关判例法，一些委员想知道特别报告员为何主张出于豁免目的将通常视为</w:t>
      </w:r>
      <w:r w:rsidRPr="00587809">
        <w:rPr>
          <w:rFonts w:ascii="宋体" w:hAnsi="宋体"/>
        </w:rPr>
        <w:t>“</w:t>
      </w:r>
      <w:r w:rsidRPr="00587809">
        <w:rPr>
          <w:rFonts w:ascii="宋体" w:hAnsi="宋体" w:hint="eastAsia"/>
        </w:rPr>
        <w:t>事实上的官员</w:t>
      </w:r>
      <w:r w:rsidRPr="00587809">
        <w:rPr>
          <w:rFonts w:ascii="宋体" w:hAnsi="宋体"/>
        </w:rPr>
        <w:t>”</w:t>
      </w:r>
      <w:r w:rsidRPr="00587809">
        <w:rPr>
          <w:rFonts w:ascii="宋体" w:hAnsi="宋体" w:hint="eastAsia"/>
        </w:rPr>
        <w:t>的个人排除在</w:t>
      </w:r>
      <w:r w:rsidRPr="00587809">
        <w:rPr>
          <w:rFonts w:ascii="宋体" w:hAnsi="宋体"/>
        </w:rPr>
        <w:t>“</w:t>
      </w:r>
      <w:r w:rsidRPr="00587809">
        <w:rPr>
          <w:rFonts w:ascii="宋体" w:hAnsi="宋体" w:hint="eastAsia"/>
        </w:rPr>
        <w:t>国家官员</w:t>
      </w:r>
      <w:r w:rsidRPr="00587809">
        <w:rPr>
          <w:rFonts w:ascii="宋体" w:hAnsi="宋体"/>
        </w:rPr>
        <w:t>”</w:t>
      </w:r>
      <w:r w:rsidRPr="00587809">
        <w:rPr>
          <w:rFonts w:ascii="宋体" w:hAnsi="宋体" w:hint="eastAsia"/>
        </w:rPr>
        <w:t>之外。一些委员认为需要采取宽泛的做法，涵盖在政府命令和控制下行事的个人的行为。也有委员指出，近年缔结的关于私人承包商的协定和拟议原则趋向于赞成限制或剥夺这类行为者的豁免权。</w:t>
      </w:r>
    </w:p>
    <w:p w:rsidR="00DB3DD4" w:rsidRPr="009C6DB2" w:rsidRDefault="00DB3DD4" w:rsidP="00DB3DD4">
      <w:pPr>
        <w:pStyle w:val="SingleTxt"/>
      </w:pPr>
      <w:r>
        <w:rPr>
          <w:rFonts w:hint="eastAsia"/>
        </w:rPr>
        <w:t>22</w:t>
      </w:r>
      <w:r w:rsidRPr="009C6DB2">
        <w:rPr>
          <w:rFonts w:hint="eastAsia"/>
        </w:rPr>
        <w:t xml:space="preserve">0.  </w:t>
      </w:r>
      <w:r w:rsidRPr="009C6DB2">
        <w:rPr>
          <w:rFonts w:hint="eastAsia"/>
        </w:rPr>
        <w:t>另一种意见认为，豁免法和国家责任法是两种不同的制度，其存在的理由不同，因此提供的解决方案和补救措施也不同。</w:t>
      </w:r>
    </w:p>
    <w:p w:rsidR="00DB3DD4" w:rsidRDefault="00DB3DD4" w:rsidP="00DB3DD4">
      <w:pPr>
        <w:pStyle w:val="SingleTxt"/>
      </w:pPr>
      <w:r>
        <w:rPr>
          <w:rFonts w:hint="eastAsia"/>
        </w:rPr>
        <w:t>221</w:t>
      </w:r>
      <w:r w:rsidRPr="009C6DB2">
        <w:rPr>
          <w:rFonts w:hint="eastAsia"/>
        </w:rPr>
        <w:t xml:space="preserve">.  </w:t>
      </w:r>
      <w:r w:rsidRPr="009C6DB2">
        <w:rPr>
          <w:rFonts w:hint="eastAsia"/>
        </w:rPr>
        <w:t>在具体涉及拟议的定义草案时，一些委员对特别报告员没有将行为归于国家列入案文表示欢迎，因为这不是一项确定何为以官方身份实施的行为的有用标准。</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eastAsia="华文仿宋" w:hint="eastAsia"/>
        </w:rPr>
        <w:tab/>
        <w:t>(</w:t>
      </w:r>
      <w:r w:rsidRPr="009C6DB2">
        <w:rPr>
          <w:rFonts w:hint="eastAsia"/>
        </w:rPr>
        <w:t>四</w:t>
      </w:r>
      <w:r>
        <w:rPr>
          <w:rFonts w:hint="eastAsia"/>
        </w:rPr>
        <w:t>)</w:t>
      </w:r>
      <w:r w:rsidRPr="009C6DB2">
        <w:rPr>
          <w:rFonts w:hint="eastAsia"/>
        </w:rPr>
        <w:tab/>
        <w:t>主权和行使政府权力要素</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587809" w:rsidRDefault="00DB3DD4" w:rsidP="00DB3DD4">
      <w:pPr>
        <w:pStyle w:val="SingleTxt"/>
        <w:rPr>
          <w:rFonts w:ascii="宋体" w:hAnsi="宋体"/>
        </w:rPr>
      </w:pPr>
      <w:r>
        <w:rPr>
          <w:rFonts w:hint="eastAsia"/>
        </w:rPr>
        <w:t>222</w:t>
      </w:r>
      <w:r w:rsidRPr="009C6DB2">
        <w:rPr>
          <w:rFonts w:hint="eastAsia"/>
        </w:rPr>
        <w:t xml:space="preserve">.  </w:t>
      </w:r>
      <w:r w:rsidRPr="009C6DB2">
        <w:rPr>
          <w:rFonts w:hint="eastAsia"/>
        </w:rPr>
        <w:t>一些委员认为，如报告所述，重要的是在以官方身份实施的行为中区分出哪些是行使公共职能或国家主权特权的行为，哪些是单纯追求个人利益的行为。他们认为，</w:t>
      </w:r>
      <w:r w:rsidRPr="00587809">
        <w:rPr>
          <w:rFonts w:ascii="宋体" w:hAnsi="宋体" w:hint="eastAsia"/>
        </w:rPr>
        <w:t>特别报告员的拟议措辞</w:t>
      </w:r>
      <w:r w:rsidRPr="00587809">
        <w:rPr>
          <w:rFonts w:ascii="宋体" w:hAnsi="宋体" w:cs="Arial" w:hint="eastAsia"/>
          <w:color w:val="000000"/>
        </w:rPr>
        <w:t>中已很好地反映了</w:t>
      </w:r>
      <w:r w:rsidRPr="00587809">
        <w:rPr>
          <w:rFonts w:ascii="宋体" w:hAnsi="宋体" w:cs="Arial" w:hint="eastAsia"/>
          <w:color w:val="000000"/>
          <w:lang w:val="fr-CH"/>
        </w:rPr>
        <w:t>国家运行的</w:t>
      </w:r>
      <w:r w:rsidRPr="00587809">
        <w:rPr>
          <w:rFonts w:ascii="宋体" w:hAnsi="宋体" w:cs="Arial"/>
          <w:color w:val="000000"/>
          <w:lang w:val="fr-CH"/>
        </w:rPr>
        <w:t>“</w:t>
      </w:r>
      <w:r w:rsidRPr="00587809">
        <w:rPr>
          <w:rFonts w:ascii="宋体" w:hAnsi="宋体" w:cs="Arial"/>
          <w:color w:val="000000"/>
        </w:rPr>
        <w:t>代表性”和“职能需要”</w:t>
      </w:r>
      <w:r w:rsidRPr="00587809">
        <w:rPr>
          <w:rFonts w:ascii="宋体" w:hAnsi="宋体" w:cs="Arial" w:hint="eastAsia"/>
          <w:color w:val="000000"/>
        </w:rPr>
        <w:t>推理</w:t>
      </w:r>
      <w:r w:rsidRPr="00587809">
        <w:rPr>
          <w:rFonts w:ascii="宋体" w:hAnsi="宋体" w:hint="eastAsia"/>
        </w:rPr>
        <w:t>。有些委员赞成提请注意国家对国际不法行为的责任条款使用的</w:t>
      </w:r>
      <w:r w:rsidRPr="00587809">
        <w:rPr>
          <w:rFonts w:ascii="宋体" w:hAnsi="宋体"/>
        </w:rPr>
        <w:t>“</w:t>
      </w:r>
      <w:r w:rsidRPr="00587809">
        <w:rPr>
          <w:rFonts w:ascii="宋体" w:hAnsi="宋体" w:hint="eastAsia"/>
        </w:rPr>
        <w:t>政府权力要素</w:t>
      </w:r>
      <w:r w:rsidRPr="00587809">
        <w:rPr>
          <w:rFonts w:ascii="宋体" w:hAnsi="宋体"/>
        </w:rPr>
        <w:t>”</w:t>
      </w:r>
      <w:r w:rsidRPr="00587809">
        <w:rPr>
          <w:rFonts w:ascii="宋体" w:hAnsi="宋体" w:hint="eastAsia"/>
        </w:rPr>
        <w:t>一语。也有些委员认为责任条款使用</w:t>
      </w:r>
      <w:r w:rsidRPr="00587809">
        <w:rPr>
          <w:rFonts w:ascii="宋体" w:hAnsi="宋体"/>
        </w:rPr>
        <w:t>这一词语的背景</w:t>
      </w:r>
      <w:r w:rsidRPr="00587809">
        <w:rPr>
          <w:rFonts w:ascii="宋体" w:hAnsi="宋体" w:hint="eastAsia"/>
        </w:rPr>
        <w:t>不同。还有些委员指出，界定主权和行使政府权力要素并不容易。</w:t>
      </w:r>
    </w:p>
    <w:p w:rsidR="00DB3DD4" w:rsidRPr="009C6DB2" w:rsidRDefault="00DB3DD4" w:rsidP="00DB3DD4">
      <w:pPr>
        <w:pStyle w:val="SingleTxt"/>
      </w:pPr>
      <w:r>
        <w:rPr>
          <w:rFonts w:hint="eastAsia"/>
        </w:rPr>
        <w:t>223</w:t>
      </w:r>
      <w:r w:rsidRPr="009C6DB2">
        <w:rPr>
          <w:rFonts w:hint="eastAsia"/>
        </w:rPr>
        <w:t xml:space="preserve">.  </w:t>
      </w:r>
      <w:r w:rsidRPr="009C6DB2">
        <w:rPr>
          <w:rFonts w:hint="eastAsia"/>
        </w:rPr>
        <w:t>有些委员认为</w:t>
      </w:r>
      <w:r w:rsidRPr="009C6DB2">
        <w:t>，</w:t>
      </w:r>
      <w:r w:rsidRPr="009C6DB2">
        <w:rPr>
          <w:rFonts w:hint="eastAsia"/>
        </w:rPr>
        <w:t>国际罪行违反国际法的论点没有为以官方身份实施</w:t>
      </w:r>
      <w:r w:rsidRPr="009C6DB2">
        <w:t>的</w:t>
      </w:r>
      <w:r w:rsidRPr="009C6DB2">
        <w:rPr>
          <w:rFonts w:hint="eastAsia"/>
        </w:rPr>
        <w:t>行为的定性增加任何相关元素；然而，提出以官方身份实施的行为是犯罪性质的</w:t>
      </w:r>
      <w:r w:rsidRPr="009C6DB2">
        <w:t>观点</w:t>
      </w:r>
      <w:r w:rsidRPr="009C6DB2">
        <w:rPr>
          <w:rFonts w:hint="eastAsia"/>
        </w:rPr>
        <w:t>似乎表明，特别报告员</w:t>
      </w:r>
      <w:r w:rsidRPr="009C6DB2">
        <w:t>对这</w:t>
      </w:r>
      <w:r w:rsidRPr="009C6DB2">
        <w:rPr>
          <w:rFonts w:hint="eastAsia"/>
        </w:rPr>
        <w:t>一</w:t>
      </w:r>
      <w:r w:rsidRPr="009C6DB2">
        <w:t>问题</w:t>
      </w:r>
      <w:r w:rsidRPr="009C6DB2">
        <w:rPr>
          <w:rFonts w:hint="eastAsia"/>
        </w:rPr>
        <w:t>采取了明确立场，即使将在</w:t>
      </w:r>
      <w:r>
        <w:rPr>
          <w:rFonts w:hint="eastAsia"/>
        </w:rPr>
        <w:t>2</w:t>
      </w:r>
      <w:r w:rsidRPr="009C6DB2">
        <w:rPr>
          <w:rFonts w:hint="eastAsia"/>
        </w:rPr>
        <w:t>0</w:t>
      </w:r>
      <w:r>
        <w:rPr>
          <w:rFonts w:hint="eastAsia"/>
        </w:rPr>
        <w:t>1</w:t>
      </w:r>
      <w:r w:rsidRPr="009C6DB2">
        <w:rPr>
          <w:rFonts w:hint="eastAsia"/>
        </w:rPr>
        <w:t>6</w:t>
      </w:r>
      <w:r w:rsidRPr="009C6DB2">
        <w:rPr>
          <w:rFonts w:hint="eastAsia"/>
        </w:rPr>
        <w:t>年的第五次报告中处理限制和例外问题。另</w:t>
      </w:r>
      <w:r w:rsidRPr="009C6DB2">
        <w:t>一</w:t>
      </w:r>
      <w:r w:rsidRPr="009C6DB2">
        <w:rPr>
          <w:rFonts w:hint="eastAsia"/>
        </w:rPr>
        <w:t>些</w:t>
      </w:r>
      <w:r w:rsidRPr="009C6DB2">
        <w:t>委员</w:t>
      </w:r>
      <w:r w:rsidRPr="009C6DB2">
        <w:rPr>
          <w:rFonts w:hint="eastAsia"/>
        </w:rPr>
        <w:t>认</w:t>
      </w:r>
      <w:r w:rsidRPr="009C6DB2">
        <w:t>为</w:t>
      </w:r>
      <w:r w:rsidRPr="009C6DB2">
        <w:rPr>
          <w:rFonts w:hint="eastAsia"/>
        </w:rPr>
        <w:t>，鉴于国际罪行的性质和严重</w:t>
      </w:r>
      <w:r w:rsidRPr="009C6DB2">
        <w:t>性，</w:t>
      </w:r>
      <w:r w:rsidRPr="009C6DB2">
        <w:rPr>
          <w:rFonts w:hint="eastAsia"/>
        </w:rPr>
        <w:t>出于</w:t>
      </w:r>
      <w:r w:rsidRPr="009C6DB2">
        <w:t>确定</w:t>
      </w:r>
      <w:r w:rsidRPr="009C6DB2">
        <w:rPr>
          <w:rFonts w:hint="eastAsia"/>
        </w:rPr>
        <w:t>外国刑事管辖豁免范围的</w:t>
      </w:r>
      <w:r w:rsidRPr="009C6DB2">
        <w:t>目的</w:t>
      </w:r>
      <w:r w:rsidRPr="009C6DB2">
        <w:rPr>
          <w:rFonts w:hint="eastAsia"/>
        </w:rPr>
        <w:t>，</w:t>
      </w:r>
      <w:r w:rsidRPr="009C6DB2">
        <w:t>考虑这</w:t>
      </w:r>
      <w:r w:rsidRPr="009C6DB2">
        <w:rPr>
          <w:rFonts w:hint="eastAsia"/>
        </w:rPr>
        <w:t>一</w:t>
      </w:r>
      <w:r w:rsidRPr="009C6DB2">
        <w:t>问题是义不容辞的。</w:t>
      </w:r>
    </w:p>
    <w:p w:rsidR="00DB3DD4" w:rsidRPr="009C6DB2" w:rsidRDefault="00DB3DD4" w:rsidP="00DB3DD4">
      <w:pPr>
        <w:pStyle w:val="SingleTxt"/>
      </w:pPr>
      <w:r>
        <w:rPr>
          <w:rFonts w:hint="eastAsia"/>
        </w:rPr>
        <w:t>224</w:t>
      </w:r>
      <w:r w:rsidRPr="009C6DB2">
        <w:rPr>
          <w:rFonts w:hint="eastAsia"/>
        </w:rPr>
        <w:t xml:space="preserve">.  </w:t>
      </w:r>
      <w:r w:rsidRPr="009C6DB2">
        <w:rPr>
          <w:rFonts w:hint="eastAsia"/>
        </w:rPr>
        <w:t>一些成员不同意特别</w:t>
      </w:r>
      <w:r w:rsidRPr="009C6DB2">
        <w:t>报告员</w:t>
      </w:r>
      <w:r w:rsidRPr="009C6DB2">
        <w:rPr>
          <w:rFonts w:hint="eastAsia"/>
        </w:rPr>
        <w:t>关于以官方身份实施的行为与国际罪行之间关系的</w:t>
      </w:r>
      <w:r w:rsidRPr="009C6DB2">
        <w:t>问题已经</w:t>
      </w:r>
      <w:r w:rsidRPr="009C6DB2">
        <w:rPr>
          <w:rFonts w:hint="eastAsia"/>
        </w:rPr>
        <w:t>解决的</w:t>
      </w:r>
      <w:r w:rsidRPr="009C6DB2">
        <w:t>看法。</w:t>
      </w:r>
      <w:r w:rsidRPr="009C6DB2">
        <w:rPr>
          <w:rFonts w:hint="eastAsia"/>
        </w:rPr>
        <w:t>他们指出，希金斯法官、科艾曼斯法官和比尔根塔尔法官在</w:t>
      </w:r>
      <w:r w:rsidRPr="00587809">
        <w:rPr>
          <w:rFonts w:ascii="宋体" w:hAnsi="宋体"/>
        </w:rPr>
        <w:t>“</w:t>
      </w:r>
      <w:r w:rsidRPr="00587809">
        <w:rPr>
          <w:rFonts w:ascii="宋体" w:hAnsi="宋体" w:hint="eastAsia"/>
        </w:rPr>
        <w:t>逮捕证案</w:t>
      </w:r>
      <w:r w:rsidRPr="00587809">
        <w:rPr>
          <w:rFonts w:ascii="宋体" w:hAnsi="宋体"/>
        </w:rPr>
        <w:t>”</w:t>
      </w:r>
      <w:r w:rsidRPr="009C6DB2">
        <w:t>中</w:t>
      </w:r>
      <w:r w:rsidRPr="009C6DB2">
        <w:rPr>
          <w:rFonts w:hint="eastAsia"/>
        </w:rPr>
        <w:t>共同</w:t>
      </w:r>
      <w:r w:rsidRPr="009C6DB2">
        <w:t>发</w:t>
      </w:r>
      <w:r w:rsidRPr="009C6DB2">
        <w:rPr>
          <w:rFonts w:hint="eastAsia"/>
        </w:rPr>
        <w:t>表了</w:t>
      </w:r>
      <w:r w:rsidRPr="009C6DB2">
        <w:t>不同意见</w:t>
      </w:r>
      <w:r w:rsidRPr="009C6DB2">
        <w:rPr>
          <w:rFonts w:hint="eastAsia"/>
        </w:rPr>
        <w:t>，认为</w:t>
      </w:r>
      <w:r w:rsidRPr="00587809">
        <w:rPr>
          <w:rFonts w:ascii="宋体" w:hAnsi="宋体"/>
        </w:rPr>
        <w:t>“</w:t>
      </w:r>
      <w:r w:rsidRPr="009C6DB2">
        <w:rPr>
          <w:rFonts w:hint="eastAsia"/>
        </w:rPr>
        <w:t>……严重的国际罪行不能视</w:t>
      </w:r>
      <w:r w:rsidRPr="009C6DB2">
        <w:t>为官</w:t>
      </w:r>
      <w:r w:rsidRPr="009C6DB2">
        <w:rPr>
          <w:rFonts w:hint="eastAsia"/>
        </w:rPr>
        <w:t>方</w:t>
      </w:r>
      <w:r w:rsidRPr="009C6DB2">
        <w:t>行为，</w:t>
      </w:r>
      <w:r w:rsidRPr="009C6DB2">
        <w:rPr>
          <w:rFonts w:hint="eastAsia"/>
        </w:rPr>
        <w:t>因为这</w:t>
      </w:r>
      <w:r w:rsidRPr="009C6DB2">
        <w:t>些行为</w:t>
      </w:r>
      <w:r w:rsidRPr="009C6DB2">
        <w:rPr>
          <w:rFonts w:hint="eastAsia"/>
        </w:rPr>
        <w:t>既不是正常的国家职能，也不</w:t>
      </w:r>
      <w:r w:rsidRPr="009C6DB2">
        <w:t>是</w:t>
      </w:r>
      <w:r w:rsidRPr="009C6DB2">
        <w:rPr>
          <w:rFonts w:hint="eastAsia"/>
        </w:rPr>
        <w:t>国家本身能够单独行使</w:t>
      </w:r>
      <w:r w:rsidRPr="009C6DB2">
        <w:t>的</w:t>
      </w:r>
      <w:r w:rsidRPr="009C6DB2">
        <w:rPr>
          <w:rFonts w:hint="eastAsia"/>
        </w:rPr>
        <w:t>职</w:t>
      </w:r>
      <w:r w:rsidRPr="009C6DB2">
        <w:rPr>
          <w:rFonts w:hint="eastAsia"/>
        </w:rPr>
        <w:lastRenderedPageBreak/>
        <w:t>能……</w:t>
      </w:r>
      <w:r w:rsidRPr="00587809">
        <w:rPr>
          <w:rFonts w:ascii="宋体" w:hAnsi="宋体"/>
        </w:rPr>
        <w:t>”</w:t>
      </w:r>
      <w:r w:rsidRPr="003F1277">
        <w:rPr>
          <w:bCs/>
          <w:color w:val="0000FF"/>
          <w:w w:val="150"/>
          <w:szCs w:val="24"/>
          <w:vertAlign w:val="superscript"/>
        </w:rPr>
        <w:footnoteReference w:id="393"/>
      </w:r>
      <w:r w:rsidRPr="009C6DB2">
        <w:rPr>
          <w:rFonts w:hint="eastAsia"/>
        </w:rPr>
        <w:t xml:space="preserve"> </w:t>
      </w:r>
      <w:r w:rsidRPr="009C6DB2">
        <w:rPr>
          <w:rFonts w:hint="eastAsia"/>
        </w:rPr>
        <w:t>另一些委员指出，特别报告员主要</w:t>
      </w:r>
      <w:r w:rsidRPr="009C6DB2">
        <w:t>论述</w:t>
      </w:r>
      <w:r w:rsidRPr="009C6DB2">
        <w:rPr>
          <w:rFonts w:hint="eastAsia"/>
        </w:rPr>
        <w:t>国际</w:t>
      </w:r>
      <w:r w:rsidRPr="009C6DB2">
        <w:t>罪</w:t>
      </w:r>
      <w:r w:rsidRPr="009C6DB2">
        <w:rPr>
          <w:rFonts w:hint="eastAsia"/>
        </w:rPr>
        <w:t>行</w:t>
      </w:r>
      <w:r w:rsidRPr="009C6DB2">
        <w:t>是</w:t>
      </w:r>
      <w:r w:rsidRPr="009C6DB2">
        <w:rPr>
          <w:rFonts w:hint="eastAsia"/>
        </w:rPr>
        <w:t>否</w:t>
      </w:r>
      <w:r w:rsidRPr="009C6DB2">
        <w:t>可以是</w:t>
      </w:r>
      <w:r w:rsidRPr="009C6DB2">
        <w:rPr>
          <w:rFonts w:hint="eastAsia"/>
        </w:rPr>
        <w:t>以官方身份实施</w:t>
      </w:r>
      <w:r w:rsidRPr="009C6DB2">
        <w:t>的</w:t>
      </w:r>
      <w:r w:rsidRPr="009C6DB2">
        <w:rPr>
          <w:rFonts w:hint="eastAsia"/>
        </w:rPr>
        <w:t>行为，</w:t>
      </w:r>
      <w:r w:rsidRPr="009C6DB2">
        <w:t>并没有涉及</w:t>
      </w:r>
      <w:r w:rsidRPr="009C6DB2">
        <w:rPr>
          <w:rFonts w:hint="eastAsia"/>
        </w:rPr>
        <w:t>限制或例外问题。有人建议，拟通过</w:t>
      </w:r>
      <w:r w:rsidRPr="009C6DB2">
        <w:t>的</w:t>
      </w:r>
      <w:r w:rsidRPr="009C6DB2">
        <w:rPr>
          <w:rFonts w:hint="eastAsia"/>
        </w:rPr>
        <w:t>条款</w:t>
      </w:r>
      <w:r w:rsidRPr="009C6DB2">
        <w:t>草案</w:t>
      </w:r>
      <w:r w:rsidRPr="009C6DB2">
        <w:rPr>
          <w:rFonts w:hint="eastAsia"/>
        </w:rPr>
        <w:t>评注在</w:t>
      </w:r>
      <w:r w:rsidRPr="009C6DB2">
        <w:t>编写时应该</w:t>
      </w:r>
      <w:r w:rsidRPr="009C6DB2">
        <w:rPr>
          <w:rFonts w:hint="eastAsia"/>
        </w:rPr>
        <w:t>避免对有关国际罪行豁免的讨论作出预先判断。</w:t>
      </w:r>
    </w:p>
    <w:p w:rsidR="00DB3DD4" w:rsidRPr="009C6DB2" w:rsidRDefault="00DB3DD4" w:rsidP="00DB3DD4">
      <w:pPr>
        <w:pStyle w:val="SingleTxt"/>
      </w:pPr>
      <w:r>
        <w:rPr>
          <w:rFonts w:hint="eastAsia"/>
        </w:rPr>
        <w:t>225</w:t>
      </w:r>
      <w:r w:rsidRPr="009C6DB2">
        <w:rPr>
          <w:rFonts w:hint="eastAsia"/>
        </w:rPr>
        <w:t xml:space="preserve">.  </w:t>
      </w:r>
      <w:r w:rsidRPr="009C6DB2">
        <w:rPr>
          <w:rFonts w:hint="eastAsia"/>
        </w:rPr>
        <w:t>然而，一些委员援引</w:t>
      </w:r>
      <w:r w:rsidRPr="00262A30">
        <w:rPr>
          <w:rFonts w:ascii="宋体" w:hAnsi="宋体"/>
        </w:rPr>
        <w:t>“</w:t>
      </w:r>
      <w:r w:rsidRPr="00262A30">
        <w:rPr>
          <w:rFonts w:ascii="宋体" w:hAnsi="宋体" w:hint="eastAsia"/>
        </w:rPr>
        <w:t>逮捕证案</w:t>
      </w:r>
      <w:r w:rsidRPr="00262A30">
        <w:rPr>
          <w:rFonts w:ascii="宋体" w:hAnsi="宋体"/>
        </w:rPr>
        <w:t>”</w:t>
      </w:r>
      <w:r w:rsidRPr="009C6DB2">
        <w:rPr>
          <w:rFonts w:hint="eastAsia"/>
        </w:rPr>
        <w:t>指出，</w:t>
      </w:r>
      <w:r w:rsidRPr="00587809">
        <w:rPr>
          <w:rFonts w:ascii="宋体" w:hAnsi="宋体"/>
        </w:rPr>
        <w:t>“</w:t>
      </w:r>
      <w:r w:rsidRPr="00587809">
        <w:rPr>
          <w:rFonts w:ascii="宋体" w:hAnsi="宋体" w:hint="eastAsia"/>
        </w:rPr>
        <w:t>国际罪行的例外</w:t>
      </w:r>
      <w:r w:rsidRPr="00587809">
        <w:rPr>
          <w:rFonts w:ascii="宋体" w:hAnsi="宋体"/>
        </w:rPr>
        <w:t>”</w:t>
      </w:r>
      <w:r w:rsidRPr="009C6DB2">
        <w:rPr>
          <w:rFonts w:hint="eastAsia"/>
        </w:rPr>
        <w:t>不适用于属人豁免。另外，他们指出，该案的判决并</w:t>
      </w:r>
      <w:r w:rsidRPr="009C6DB2">
        <w:t>没有对</w:t>
      </w:r>
      <w:r w:rsidRPr="009C6DB2">
        <w:rPr>
          <w:rFonts w:hint="eastAsia"/>
        </w:rPr>
        <w:t>属事豁免的可能</w:t>
      </w:r>
      <w:r w:rsidRPr="009C6DB2">
        <w:t>例外下结论</w:t>
      </w:r>
      <w:r w:rsidRPr="009C6DB2">
        <w:rPr>
          <w:rFonts w:hint="eastAsia"/>
        </w:rPr>
        <w:t>，因为国际法院宣布无法从实践中推断在习惯国际法下是</w:t>
      </w:r>
      <w:r w:rsidRPr="009C6DB2">
        <w:t>否</w:t>
      </w:r>
      <w:r w:rsidRPr="009C6DB2">
        <w:rPr>
          <w:rFonts w:hint="eastAsia"/>
        </w:rPr>
        <w:t>存在对现任外交部长不</w:t>
      </w:r>
      <w:r w:rsidRPr="009C6DB2">
        <w:t>适用</w:t>
      </w:r>
      <w:r w:rsidRPr="009C6DB2">
        <w:rPr>
          <w:rFonts w:hint="eastAsia"/>
        </w:rPr>
        <w:t>刑事管辖豁免和不可侵犯规则</w:t>
      </w:r>
      <w:r w:rsidRPr="009C6DB2">
        <w:t>的</w:t>
      </w:r>
      <w:r w:rsidRPr="009C6DB2">
        <w:rPr>
          <w:rFonts w:hint="eastAsia"/>
        </w:rPr>
        <w:t>任何形式例外时，</w:t>
      </w:r>
      <w:r w:rsidRPr="009C6DB2">
        <w:t>它的判决</w:t>
      </w:r>
      <w:r w:rsidRPr="009C6DB2">
        <w:rPr>
          <w:rFonts w:hint="eastAsia"/>
        </w:rPr>
        <w:t>仅限</w:t>
      </w:r>
      <w:r w:rsidRPr="009C6DB2">
        <w:t>于</w:t>
      </w:r>
      <w:r w:rsidRPr="009C6DB2">
        <w:rPr>
          <w:rFonts w:hint="eastAsia"/>
        </w:rPr>
        <w:t>属人豁免的情况。</w:t>
      </w:r>
    </w:p>
    <w:p w:rsidR="00DB3DD4" w:rsidRPr="009C6DB2" w:rsidRDefault="00DB3DD4" w:rsidP="00DB3DD4">
      <w:pPr>
        <w:pStyle w:val="SingleTxt"/>
      </w:pPr>
      <w:r>
        <w:rPr>
          <w:rFonts w:hint="eastAsia"/>
        </w:rPr>
        <w:t>22</w:t>
      </w:r>
      <w:r w:rsidRPr="009C6DB2">
        <w:rPr>
          <w:rFonts w:hint="eastAsia"/>
        </w:rPr>
        <w:t xml:space="preserve">6.  </w:t>
      </w:r>
      <w:r w:rsidRPr="009C6DB2">
        <w:rPr>
          <w:rFonts w:hint="eastAsia"/>
        </w:rPr>
        <w:t>有些委员质疑是否有必要进行定义，怀疑</w:t>
      </w:r>
      <w:r w:rsidRPr="003105BA">
        <w:rPr>
          <w:rFonts w:ascii="宋体" w:hAnsi="宋体"/>
        </w:rPr>
        <w:t>“</w:t>
      </w:r>
      <w:r w:rsidRPr="003105BA">
        <w:rPr>
          <w:rFonts w:ascii="宋体" w:hAnsi="宋体" w:hint="eastAsia"/>
        </w:rPr>
        <w:t>行</w:t>
      </w:r>
      <w:r w:rsidRPr="00262A30">
        <w:rPr>
          <w:rFonts w:ascii="宋体" w:hAnsi="宋体" w:hint="eastAsia"/>
        </w:rPr>
        <w:t>使政府权力要素的国家</w:t>
      </w:r>
      <w:r w:rsidRPr="00262A30">
        <w:rPr>
          <w:rFonts w:ascii="宋体" w:hAnsi="宋体"/>
        </w:rPr>
        <w:t>官员实施</w:t>
      </w:r>
      <w:r w:rsidRPr="00262A30">
        <w:rPr>
          <w:rFonts w:ascii="宋体" w:hAnsi="宋体" w:hint="eastAsia"/>
        </w:rPr>
        <w:t>的行为</w:t>
      </w:r>
      <w:r w:rsidRPr="00262A30">
        <w:rPr>
          <w:rFonts w:ascii="宋体" w:hAnsi="宋体"/>
        </w:rPr>
        <w:t>”</w:t>
      </w:r>
      <w:r w:rsidRPr="00262A30">
        <w:rPr>
          <w:rFonts w:ascii="宋体" w:hAnsi="宋体" w:hint="eastAsia"/>
        </w:rPr>
        <w:t>的</w:t>
      </w:r>
      <w:r w:rsidRPr="009C6DB2">
        <w:rPr>
          <w:rFonts w:hint="eastAsia"/>
        </w:rPr>
        <w:t>表述</w:t>
      </w:r>
      <w:r w:rsidRPr="009C6DB2">
        <w:t>是否有用，认为</w:t>
      </w:r>
      <w:r w:rsidRPr="003105BA">
        <w:rPr>
          <w:rFonts w:ascii="宋体" w:hAnsi="宋体"/>
        </w:rPr>
        <w:t>“</w:t>
      </w:r>
      <w:r w:rsidRPr="003105BA">
        <w:rPr>
          <w:rFonts w:ascii="宋体" w:hAnsi="宋体" w:hint="eastAsia"/>
        </w:rPr>
        <w:t>要素</w:t>
      </w:r>
      <w:r w:rsidRPr="003105BA">
        <w:rPr>
          <w:rFonts w:ascii="宋体" w:hAnsi="宋体"/>
        </w:rPr>
        <w:t>”</w:t>
      </w:r>
      <w:r w:rsidRPr="009C6DB2">
        <w:rPr>
          <w:rFonts w:hint="eastAsia"/>
        </w:rPr>
        <w:t>一词不清楚，</w:t>
      </w:r>
      <w:r w:rsidRPr="00587809">
        <w:rPr>
          <w:rFonts w:ascii="宋体" w:hAnsi="宋体"/>
        </w:rPr>
        <w:t>“</w:t>
      </w:r>
      <w:r w:rsidRPr="00587809">
        <w:rPr>
          <w:rFonts w:ascii="宋体" w:hAnsi="宋体" w:hint="eastAsia"/>
        </w:rPr>
        <w:t>政府</w:t>
      </w:r>
      <w:r w:rsidRPr="00587809">
        <w:rPr>
          <w:rFonts w:ascii="宋体" w:hAnsi="宋体"/>
        </w:rPr>
        <w:t>”</w:t>
      </w:r>
      <w:r w:rsidRPr="009C6DB2">
        <w:rPr>
          <w:rFonts w:hint="eastAsia"/>
        </w:rPr>
        <w:t>一词有</w:t>
      </w:r>
      <w:r w:rsidRPr="009C6DB2">
        <w:t>乞题</w:t>
      </w:r>
      <w:r w:rsidRPr="009C6DB2">
        <w:rPr>
          <w:rFonts w:hint="eastAsia"/>
        </w:rPr>
        <w:t>之</w:t>
      </w:r>
      <w:r w:rsidRPr="009C6DB2">
        <w:t>嫌</w:t>
      </w:r>
      <w:r w:rsidRPr="009C6DB2">
        <w:rPr>
          <w:rFonts w:hint="eastAsia"/>
        </w:rPr>
        <w:t>。另一种办法</w:t>
      </w:r>
      <w:r w:rsidRPr="009C6DB2">
        <w:t>是</w:t>
      </w:r>
      <w:r w:rsidRPr="009C6DB2">
        <w:rPr>
          <w:rFonts w:hint="eastAsia"/>
        </w:rPr>
        <w:t>使用</w:t>
      </w:r>
      <w:r>
        <w:rPr>
          <w:rFonts w:hint="eastAsia"/>
        </w:rPr>
        <w:t>2</w:t>
      </w:r>
      <w:r w:rsidRPr="009C6DB2">
        <w:rPr>
          <w:rFonts w:hint="eastAsia"/>
        </w:rPr>
        <w:t>0</w:t>
      </w:r>
      <w:r>
        <w:rPr>
          <w:rFonts w:hint="eastAsia"/>
        </w:rPr>
        <w:t>14</w:t>
      </w:r>
      <w:r w:rsidRPr="009C6DB2">
        <w:rPr>
          <w:rFonts w:hint="eastAsia"/>
        </w:rPr>
        <w:t>年委员会暂时通过的第</w:t>
      </w:r>
      <w:r>
        <w:rPr>
          <w:rFonts w:hint="eastAsia"/>
        </w:rPr>
        <w:t>2</w:t>
      </w:r>
      <w:r w:rsidRPr="009C6DB2">
        <w:rPr>
          <w:rFonts w:hint="eastAsia"/>
        </w:rPr>
        <w:t>条草案</w:t>
      </w:r>
      <w:r>
        <w:rPr>
          <w:rFonts w:hint="eastAsia"/>
        </w:rPr>
        <w:t>(e)</w:t>
      </w:r>
      <w:r w:rsidRPr="009C6DB2">
        <w:rPr>
          <w:rFonts w:hint="eastAsia"/>
        </w:rPr>
        <w:t>款中的行文，提及</w:t>
      </w:r>
      <w:r w:rsidRPr="00262A30">
        <w:rPr>
          <w:rFonts w:ascii="宋体" w:hAnsi="宋体"/>
        </w:rPr>
        <w:t>“</w:t>
      </w:r>
      <w:r w:rsidRPr="00262A30">
        <w:rPr>
          <w:rFonts w:ascii="宋体" w:hAnsi="宋体" w:hint="eastAsia"/>
        </w:rPr>
        <w:t>国家官员代表国家或行使国家职能实施的行为</w:t>
      </w:r>
      <w:r w:rsidRPr="00262A30">
        <w:rPr>
          <w:rFonts w:ascii="宋体" w:hAnsi="宋体"/>
        </w:rPr>
        <w:t>”</w:t>
      </w:r>
      <w:r w:rsidRPr="009C6DB2">
        <w:rPr>
          <w:rFonts w:hint="eastAsia"/>
        </w:rPr>
        <w:t>。有的委员回顾，当委员会通过该款时，讨论过并避免使用</w:t>
      </w:r>
      <w:r w:rsidRPr="00AC23EE">
        <w:rPr>
          <w:rFonts w:ascii="宋体" w:hAnsi="宋体"/>
        </w:rPr>
        <w:t>“</w:t>
      </w:r>
      <w:r w:rsidRPr="00AC23EE">
        <w:rPr>
          <w:rFonts w:ascii="宋体" w:hAnsi="宋体" w:hint="eastAsia"/>
        </w:rPr>
        <w:t>政府权力</w:t>
      </w:r>
      <w:r w:rsidRPr="00AC23EE">
        <w:rPr>
          <w:rFonts w:ascii="宋体" w:hAnsi="宋体"/>
        </w:rPr>
        <w:t>”</w:t>
      </w:r>
      <w:r w:rsidRPr="009C6DB2">
        <w:rPr>
          <w:rFonts w:hint="eastAsia"/>
        </w:rPr>
        <w:t>这一术语。不过，一些委员认为在本专题下可以使用这一术语。</w:t>
      </w:r>
    </w:p>
    <w:p w:rsidR="00DB3DD4" w:rsidRDefault="00DB3DD4" w:rsidP="00DB3DD4">
      <w:pPr>
        <w:pStyle w:val="SingleTxt"/>
      </w:pPr>
      <w:r>
        <w:rPr>
          <w:rFonts w:hint="eastAsia"/>
        </w:rPr>
        <w:t>22</w:t>
      </w:r>
      <w:r w:rsidRPr="009C6DB2">
        <w:rPr>
          <w:rFonts w:hint="eastAsia"/>
        </w:rPr>
        <w:t xml:space="preserve">7.  </w:t>
      </w:r>
      <w:r w:rsidRPr="009C6DB2">
        <w:rPr>
          <w:rFonts w:hint="eastAsia"/>
        </w:rPr>
        <w:t>一些委员指出，如果委员会通过</w:t>
      </w:r>
      <w:r w:rsidRPr="00262A30">
        <w:rPr>
          <w:rFonts w:ascii="宋体" w:hAnsi="宋体"/>
        </w:rPr>
        <w:t>“</w:t>
      </w:r>
      <w:r w:rsidRPr="00262A30">
        <w:rPr>
          <w:rFonts w:ascii="宋体" w:hAnsi="宋体" w:hint="eastAsia"/>
        </w:rPr>
        <w:t>以官方身份实施的行为</w:t>
      </w:r>
      <w:r w:rsidRPr="00262A30">
        <w:rPr>
          <w:rFonts w:ascii="宋体" w:hAnsi="宋体"/>
        </w:rPr>
        <w:t>”</w:t>
      </w:r>
      <w:r w:rsidRPr="009C6DB2">
        <w:rPr>
          <w:rFonts w:hint="eastAsia"/>
        </w:rPr>
        <w:t>的定义，那么可能需要相应地修订起草委员会暂时通过的第</w:t>
      </w:r>
      <w:r>
        <w:rPr>
          <w:rFonts w:hint="eastAsia"/>
        </w:rPr>
        <w:t>5</w:t>
      </w:r>
      <w:r w:rsidRPr="009C6DB2">
        <w:rPr>
          <w:rFonts w:hint="eastAsia"/>
        </w:rPr>
        <w:t>条草案。</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rPr>
          <w:rFonts w:hint="eastAsia"/>
        </w:rPr>
        <w:t>(d)</w:t>
      </w:r>
      <w:r w:rsidRPr="009C6DB2">
        <w:rPr>
          <w:rFonts w:hint="eastAsia"/>
        </w:rPr>
        <w:tab/>
        <w:t>第6条草案：属事豁免</w:t>
      </w:r>
      <w:r w:rsidRPr="009C6DB2">
        <w:rPr>
          <w:rFonts w:hint="eastAsia"/>
          <w:lang w:val="fr-CH"/>
        </w:rPr>
        <w:t>的</w:t>
      </w:r>
      <w:r w:rsidRPr="009C6DB2">
        <w:rPr>
          <w:rFonts w:hint="eastAsia"/>
        </w:rPr>
        <w:t>范围</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9C6DB2" w:rsidRDefault="00DB3DD4" w:rsidP="00DB3DD4">
      <w:pPr>
        <w:pStyle w:val="SingleTxt"/>
      </w:pPr>
      <w:r>
        <w:rPr>
          <w:rFonts w:hint="eastAsia"/>
        </w:rPr>
        <w:t>22</w:t>
      </w:r>
      <w:r w:rsidRPr="009C6DB2">
        <w:rPr>
          <w:rFonts w:hint="eastAsia"/>
        </w:rPr>
        <w:t xml:space="preserve">8.  </w:t>
      </w:r>
      <w:r w:rsidRPr="009C6DB2">
        <w:rPr>
          <w:rFonts w:hint="eastAsia"/>
        </w:rPr>
        <w:t>委员</w:t>
      </w:r>
      <w:r w:rsidRPr="009C6DB2">
        <w:t>们认为</w:t>
      </w:r>
      <w:r w:rsidRPr="009C6DB2">
        <w:rPr>
          <w:rFonts w:hint="eastAsia"/>
        </w:rPr>
        <w:t>第</w:t>
      </w:r>
      <w:r w:rsidRPr="009C6DB2">
        <w:rPr>
          <w:rFonts w:hint="eastAsia"/>
        </w:rPr>
        <w:t>6</w:t>
      </w:r>
      <w:r w:rsidRPr="009C6DB2">
        <w:rPr>
          <w:rFonts w:hint="eastAsia"/>
        </w:rPr>
        <w:t>条草案基本</w:t>
      </w:r>
      <w:r w:rsidRPr="009C6DB2">
        <w:t>上可以</w:t>
      </w:r>
      <w:r w:rsidRPr="009C6DB2">
        <w:rPr>
          <w:rFonts w:hint="eastAsia"/>
        </w:rPr>
        <w:t>接受。但有的委员提出</w:t>
      </w:r>
      <w:r w:rsidRPr="009C6DB2">
        <w:t>重新拟订第</w:t>
      </w:r>
      <w:r>
        <w:rPr>
          <w:rFonts w:hint="eastAsia"/>
        </w:rPr>
        <w:t>1</w:t>
      </w:r>
      <w:r w:rsidRPr="009C6DB2">
        <w:rPr>
          <w:rFonts w:hint="eastAsia"/>
        </w:rPr>
        <w:t>款和第</w:t>
      </w:r>
      <w:r>
        <w:rPr>
          <w:rFonts w:hint="eastAsia"/>
        </w:rPr>
        <w:t>2</w:t>
      </w:r>
      <w:r w:rsidRPr="009C6DB2">
        <w:rPr>
          <w:rFonts w:hint="eastAsia"/>
        </w:rPr>
        <w:t>款</w:t>
      </w:r>
      <w:r w:rsidRPr="009C6DB2">
        <w:t>，避免</w:t>
      </w:r>
      <w:r w:rsidRPr="009C6DB2">
        <w:rPr>
          <w:rFonts w:hint="eastAsia"/>
        </w:rPr>
        <w:t>给</w:t>
      </w:r>
      <w:r w:rsidRPr="009C6DB2">
        <w:t>人</w:t>
      </w:r>
      <w:r w:rsidRPr="009C6DB2">
        <w:rPr>
          <w:rFonts w:hint="eastAsia"/>
        </w:rPr>
        <w:t>以仅</w:t>
      </w:r>
      <w:r w:rsidRPr="009C6DB2">
        <w:t>涵盖</w:t>
      </w:r>
      <w:r w:rsidRPr="009C6DB2">
        <w:rPr>
          <w:rFonts w:hint="eastAsia"/>
        </w:rPr>
        <w:t>选举</w:t>
      </w:r>
      <w:r w:rsidRPr="009C6DB2">
        <w:t>产生的</w:t>
      </w:r>
      <w:r w:rsidRPr="009C6DB2">
        <w:rPr>
          <w:rFonts w:hint="eastAsia"/>
        </w:rPr>
        <w:t>官</w:t>
      </w:r>
      <w:r w:rsidRPr="009C6DB2">
        <w:t>员的</w:t>
      </w:r>
      <w:r w:rsidRPr="009C6DB2">
        <w:rPr>
          <w:rFonts w:hint="eastAsia"/>
        </w:rPr>
        <w:t>印象。可以改为</w:t>
      </w:r>
      <w:r w:rsidRPr="00587809">
        <w:rPr>
          <w:rFonts w:ascii="宋体" w:hAnsi="宋体"/>
        </w:rPr>
        <w:t>“</w:t>
      </w:r>
      <w:r w:rsidRPr="00587809">
        <w:rPr>
          <w:rFonts w:ascii="宋体" w:hAnsi="宋体" w:hint="eastAsia"/>
        </w:rPr>
        <w:t>在代表国家或行使国家职能的时候和以</w:t>
      </w:r>
      <w:r w:rsidRPr="00587809">
        <w:rPr>
          <w:rFonts w:ascii="宋体" w:hAnsi="宋体"/>
        </w:rPr>
        <w:t>后”。</w:t>
      </w:r>
      <w:r w:rsidRPr="009C6DB2">
        <w:rPr>
          <w:rFonts w:hint="eastAsia"/>
        </w:rPr>
        <w:t>也</w:t>
      </w:r>
      <w:r w:rsidRPr="009C6DB2">
        <w:t>有</w:t>
      </w:r>
      <w:r w:rsidRPr="009C6DB2">
        <w:rPr>
          <w:rFonts w:hint="eastAsia"/>
        </w:rPr>
        <w:t>的</w:t>
      </w:r>
      <w:r w:rsidRPr="009C6DB2">
        <w:t>委员</w:t>
      </w:r>
      <w:r w:rsidRPr="009C6DB2">
        <w:rPr>
          <w:rFonts w:hint="eastAsia"/>
        </w:rPr>
        <w:t>提出</w:t>
      </w:r>
      <w:r w:rsidRPr="009C6DB2">
        <w:t>可否调换</w:t>
      </w:r>
      <w:r w:rsidRPr="009C6DB2">
        <w:rPr>
          <w:rFonts w:hint="eastAsia"/>
        </w:rPr>
        <w:t>第</w:t>
      </w:r>
      <w:r>
        <w:rPr>
          <w:rFonts w:hint="eastAsia"/>
        </w:rPr>
        <w:t>1</w:t>
      </w:r>
      <w:r w:rsidRPr="009C6DB2">
        <w:rPr>
          <w:rFonts w:hint="eastAsia"/>
        </w:rPr>
        <w:t>款和第</w:t>
      </w:r>
      <w:r>
        <w:rPr>
          <w:rFonts w:hint="eastAsia"/>
        </w:rPr>
        <w:t>2</w:t>
      </w:r>
      <w:r w:rsidRPr="009C6DB2">
        <w:t>款</w:t>
      </w:r>
      <w:r w:rsidRPr="009C6DB2">
        <w:rPr>
          <w:rFonts w:hint="eastAsia"/>
        </w:rPr>
        <w:t>的顺序</w:t>
      </w:r>
      <w:r w:rsidRPr="009C6DB2">
        <w:t>，以便</w:t>
      </w:r>
      <w:r w:rsidRPr="009C6DB2">
        <w:rPr>
          <w:rFonts w:hint="eastAsia"/>
        </w:rPr>
        <w:t>清楚地区分属</w:t>
      </w:r>
      <w:r w:rsidRPr="009C6DB2">
        <w:t>事</w:t>
      </w:r>
      <w:r w:rsidRPr="009C6DB2">
        <w:rPr>
          <w:rFonts w:hint="eastAsia"/>
        </w:rPr>
        <w:t>豁免和</w:t>
      </w:r>
      <w:r w:rsidRPr="009C6DB2">
        <w:t>属人</w:t>
      </w:r>
      <w:r w:rsidRPr="009C6DB2">
        <w:rPr>
          <w:rFonts w:hint="eastAsia"/>
        </w:rPr>
        <w:t>豁免。还有委员指出，虽然第</w:t>
      </w:r>
      <w:r>
        <w:rPr>
          <w:rFonts w:hint="eastAsia"/>
        </w:rPr>
        <w:t>2</w:t>
      </w:r>
      <w:r w:rsidRPr="009C6DB2">
        <w:rPr>
          <w:rFonts w:hint="eastAsia"/>
        </w:rPr>
        <w:t>款草案可以接受，但接受这</w:t>
      </w:r>
      <w:r w:rsidRPr="009C6DB2">
        <w:t>一</w:t>
      </w:r>
      <w:r w:rsidRPr="009C6DB2">
        <w:rPr>
          <w:rFonts w:hint="eastAsia"/>
        </w:rPr>
        <w:t>条款不是预先判断或妨碍可能的例外问题。</w:t>
      </w:r>
    </w:p>
    <w:p w:rsidR="00DB3DD4" w:rsidRDefault="00DB3DD4" w:rsidP="00DB3DD4">
      <w:pPr>
        <w:pStyle w:val="SingleTxt"/>
      </w:pPr>
      <w:r>
        <w:rPr>
          <w:rFonts w:hint="eastAsia"/>
        </w:rPr>
        <w:t>22</w:t>
      </w:r>
      <w:r w:rsidRPr="009C6DB2">
        <w:rPr>
          <w:rFonts w:hint="eastAsia"/>
        </w:rPr>
        <w:t xml:space="preserve">9.  </w:t>
      </w:r>
      <w:r w:rsidRPr="009C6DB2">
        <w:rPr>
          <w:rFonts w:hint="eastAsia"/>
        </w:rPr>
        <w:t>有些</w:t>
      </w:r>
      <w:r w:rsidRPr="009C6DB2">
        <w:t>委员认为</w:t>
      </w:r>
      <w:r w:rsidRPr="009C6DB2">
        <w:rPr>
          <w:rFonts w:hint="eastAsia"/>
        </w:rPr>
        <w:t>第</w:t>
      </w:r>
      <w:r>
        <w:rPr>
          <w:rFonts w:hint="eastAsia"/>
        </w:rPr>
        <w:t>3</w:t>
      </w:r>
      <w:r w:rsidRPr="009C6DB2">
        <w:rPr>
          <w:rFonts w:hint="eastAsia"/>
        </w:rPr>
        <w:t>款是多余的，因为所说的</w:t>
      </w:r>
      <w:r w:rsidRPr="009C6DB2">
        <w:t>意思已</w:t>
      </w:r>
      <w:r w:rsidRPr="009C6DB2">
        <w:rPr>
          <w:rFonts w:hint="eastAsia"/>
        </w:rPr>
        <w:t>经包含</w:t>
      </w:r>
      <w:r w:rsidRPr="009C6DB2">
        <w:t>在</w:t>
      </w:r>
      <w:r w:rsidRPr="009C6DB2">
        <w:rPr>
          <w:rFonts w:hint="eastAsia"/>
        </w:rPr>
        <w:t>委员会</w:t>
      </w:r>
      <w:r>
        <w:rPr>
          <w:rFonts w:hint="eastAsia"/>
        </w:rPr>
        <w:t>2</w:t>
      </w:r>
      <w:r w:rsidRPr="009C6DB2">
        <w:rPr>
          <w:rFonts w:hint="eastAsia"/>
        </w:rPr>
        <w:t>0</w:t>
      </w:r>
      <w:r>
        <w:rPr>
          <w:rFonts w:hint="eastAsia"/>
        </w:rPr>
        <w:t>13</w:t>
      </w:r>
      <w:r w:rsidRPr="009C6DB2">
        <w:rPr>
          <w:rFonts w:hint="eastAsia"/>
        </w:rPr>
        <w:t>年暂时</w:t>
      </w:r>
      <w:r w:rsidRPr="009C6DB2">
        <w:t>通过</w:t>
      </w:r>
      <w:r w:rsidRPr="009C6DB2">
        <w:rPr>
          <w:rFonts w:hint="eastAsia"/>
        </w:rPr>
        <w:t>的第</w:t>
      </w:r>
      <w:r>
        <w:rPr>
          <w:rFonts w:hint="eastAsia"/>
        </w:rPr>
        <w:t>4</w:t>
      </w:r>
      <w:r w:rsidRPr="009C6DB2">
        <w:rPr>
          <w:rFonts w:hint="eastAsia"/>
        </w:rPr>
        <w:t>条草案第</w:t>
      </w:r>
      <w:r>
        <w:rPr>
          <w:rFonts w:hint="eastAsia"/>
        </w:rPr>
        <w:t>3</w:t>
      </w:r>
      <w:r w:rsidRPr="009C6DB2">
        <w:rPr>
          <w:rFonts w:hint="eastAsia"/>
        </w:rPr>
        <w:t>款及其评注之中。这个问题应该</w:t>
      </w:r>
      <w:r w:rsidRPr="009C6DB2">
        <w:t>在</w:t>
      </w:r>
      <w:r w:rsidRPr="009C6DB2">
        <w:rPr>
          <w:rFonts w:hint="eastAsia"/>
        </w:rPr>
        <w:t>评注</w:t>
      </w:r>
      <w:r w:rsidRPr="009C6DB2">
        <w:t>中</w:t>
      </w:r>
      <w:r w:rsidRPr="009C6DB2">
        <w:rPr>
          <w:rFonts w:hint="eastAsia"/>
        </w:rPr>
        <w:t>处理，但如果保留该款，则需要删除</w:t>
      </w:r>
      <w:r w:rsidRPr="00587809">
        <w:rPr>
          <w:rFonts w:ascii="宋体" w:hAnsi="宋体"/>
        </w:rPr>
        <w:t>“</w:t>
      </w:r>
      <w:r w:rsidRPr="00587809">
        <w:rPr>
          <w:rFonts w:ascii="宋体" w:hAnsi="宋体" w:hint="eastAsia"/>
        </w:rPr>
        <w:t>前</w:t>
      </w:r>
      <w:r w:rsidRPr="00587809">
        <w:rPr>
          <w:rFonts w:ascii="宋体" w:hAnsi="宋体"/>
        </w:rPr>
        <w:t>”</w:t>
      </w:r>
      <w:r w:rsidRPr="009C6DB2">
        <w:rPr>
          <w:rFonts w:hint="eastAsia"/>
        </w:rPr>
        <w:t>一词</w:t>
      </w:r>
      <w:r w:rsidRPr="009C6DB2">
        <w:t>，因为</w:t>
      </w:r>
      <w:r w:rsidRPr="009C6DB2">
        <w:rPr>
          <w:rFonts w:hint="eastAsia"/>
        </w:rPr>
        <w:t>属事豁免也</w:t>
      </w:r>
      <w:r w:rsidRPr="009C6DB2">
        <w:t>涵盖</w:t>
      </w:r>
      <w:r w:rsidRPr="009C6DB2">
        <w:rPr>
          <w:rFonts w:hint="eastAsia"/>
        </w:rPr>
        <w:t>现任国家元首、政府首脑和外交部长。</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C6DB2">
        <w:rPr>
          <w:rFonts w:hint="eastAsia"/>
        </w:rPr>
        <w:tab/>
      </w:r>
      <w:r>
        <w:rPr>
          <w:rFonts w:hint="eastAsia"/>
        </w:rPr>
        <w:t>(e)</w:t>
      </w:r>
      <w:r w:rsidRPr="009C6DB2">
        <w:rPr>
          <w:rFonts w:hint="eastAsia"/>
        </w:rPr>
        <w:tab/>
        <w:t>今后的工作计划</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9C6DB2" w:rsidRDefault="00DB3DD4" w:rsidP="00DB3DD4">
      <w:pPr>
        <w:pStyle w:val="SingleTxt"/>
      </w:pPr>
      <w:r>
        <w:rPr>
          <w:rFonts w:hint="eastAsia"/>
        </w:rPr>
        <w:t>23</w:t>
      </w:r>
      <w:r w:rsidRPr="009C6DB2">
        <w:rPr>
          <w:rFonts w:hint="eastAsia"/>
        </w:rPr>
        <w:t xml:space="preserve">0.  </w:t>
      </w:r>
      <w:r w:rsidRPr="009C6DB2">
        <w:rPr>
          <w:rFonts w:hint="eastAsia"/>
        </w:rPr>
        <w:t>委员</w:t>
      </w:r>
      <w:r w:rsidRPr="009C6DB2">
        <w:t>们</w:t>
      </w:r>
      <w:r w:rsidRPr="009C6DB2">
        <w:rPr>
          <w:rFonts w:hint="eastAsia"/>
        </w:rPr>
        <w:t>认</w:t>
      </w:r>
      <w:r w:rsidRPr="009C6DB2">
        <w:t>为，</w:t>
      </w:r>
      <w:r w:rsidRPr="009C6DB2">
        <w:rPr>
          <w:rFonts w:hint="eastAsia"/>
        </w:rPr>
        <w:t>审议</w:t>
      </w:r>
      <w:r w:rsidRPr="009C6DB2">
        <w:t>豁免的</w:t>
      </w:r>
      <w:r w:rsidRPr="009C6DB2">
        <w:rPr>
          <w:rFonts w:hint="eastAsia"/>
        </w:rPr>
        <w:t>限制与例外是本专题</w:t>
      </w:r>
      <w:r w:rsidRPr="009C6DB2">
        <w:t>的</w:t>
      </w:r>
      <w:r w:rsidRPr="009C6DB2">
        <w:rPr>
          <w:rFonts w:hint="eastAsia"/>
        </w:rPr>
        <w:t>一个重要方面。为</w:t>
      </w:r>
      <w:r w:rsidRPr="009C6DB2">
        <w:t>此</w:t>
      </w:r>
      <w:r w:rsidRPr="009C6DB2">
        <w:rPr>
          <w:rFonts w:hint="eastAsia"/>
        </w:rPr>
        <w:t>，有的委员强调，应该全面</w:t>
      </w:r>
      <w:r w:rsidRPr="009C6DB2">
        <w:t>分析</w:t>
      </w:r>
      <w:r w:rsidRPr="009C6DB2">
        <w:rPr>
          <w:rFonts w:hint="eastAsia"/>
        </w:rPr>
        <w:t>各国政府的</w:t>
      </w:r>
      <w:r w:rsidRPr="009C6DB2">
        <w:t>评论，</w:t>
      </w:r>
      <w:r w:rsidRPr="009C6DB2">
        <w:rPr>
          <w:rFonts w:hint="eastAsia"/>
        </w:rPr>
        <w:t>不仅是为了</w:t>
      </w:r>
      <w:r w:rsidRPr="009C6DB2">
        <w:t>寻</w:t>
      </w:r>
      <w:r w:rsidRPr="009C6DB2">
        <w:rPr>
          <w:rFonts w:hint="eastAsia"/>
        </w:rPr>
        <w:t>找国家实践的证据，也</w:t>
      </w:r>
      <w:r w:rsidRPr="009C6DB2">
        <w:t>是为了发现各种</w:t>
      </w:r>
      <w:r w:rsidRPr="009C6DB2">
        <w:rPr>
          <w:rFonts w:hint="eastAsia"/>
        </w:rPr>
        <w:t>立场之间的细微差别，包括各国是否认为国际法在这</w:t>
      </w:r>
      <w:r w:rsidRPr="009C6DB2">
        <w:t>方面已有定论。</w:t>
      </w:r>
      <w:r w:rsidRPr="009C6DB2">
        <w:rPr>
          <w:rFonts w:hint="eastAsia"/>
        </w:rPr>
        <w:t>也</w:t>
      </w:r>
      <w:r w:rsidRPr="009C6DB2">
        <w:t>有</w:t>
      </w:r>
      <w:r w:rsidRPr="009C6DB2">
        <w:rPr>
          <w:rFonts w:hint="eastAsia"/>
        </w:rPr>
        <w:t>的委员对于</w:t>
      </w:r>
      <w:r w:rsidRPr="009C6DB2">
        <w:t>到</w:t>
      </w:r>
      <w:r>
        <w:rPr>
          <w:rFonts w:hint="eastAsia"/>
        </w:rPr>
        <w:t>2</w:t>
      </w:r>
      <w:r w:rsidRPr="009C6DB2">
        <w:rPr>
          <w:rFonts w:hint="eastAsia"/>
        </w:rPr>
        <w:t>0</w:t>
      </w:r>
      <w:r>
        <w:rPr>
          <w:rFonts w:hint="eastAsia"/>
        </w:rPr>
        <w:t>1</w:t>
      </w:r>
      <w:r w:rsidRPr="009C6DB2">
        <w:rPr>
          <w:rFonts w:hint="eastAsia"/>
        </w:rPr>
        <w:t>6</w:t>
      </w:r>
      <w:r w:rsidRPr="009C6DB2">
        <w:rPr>
          <w:rFonts w:hint="eastAsia"/>
        </w:rPr>
        <w:t>年才分析豁免</w:t>
      </w:r>
      <w:r w:rsidRPr="009C6DB2">
        <w:t>的</w:t>
      </w:r>
      <w:r w:rsidRPr="009C6DB2">
        <w:rPr>
          <w:rFonts w:hint="eastAsia"/>
        </w:rPr>
        <w:t>限制和例外感到遗憾，尽管这</w:t>
      </w:r>
      <w:r w:rsidRPr="009C6DB2">
        <w:t>些问题</w:t>
      </w:r>
      <w:r w:rsidRPr="009C6DB2">
        <w:rPr>
          <w:rFonts w:hint="eastAsia"/>
        </w:rPr>
        <w:t>在以</w:t>
      </w:r>
      <w:r w:rsidRPr="009C6DB2">
        <w:t>前的报告中已屡屡提</w:t>
      </w:r>
      <w:r w:rsidRPr="009C6DB2">
        <w:rPr>
          <w:rFonts w:hint="eastAsia"/>
        </w:rPr>
        <w:t>及</w:t>
      </w:r>
      <w:r w:rsidRPr="009C6DB2">
        <w:t>，只是</w:t>
      </w:r>
      <w:r w:rsidRPr="009C6DB2">
        <w:rPr>
          <w:rFonts w:hint="eastAsia"/>
        </w:rPr>
        <w:t>鲜</w:t>
      </w:r>
      <w:r w:rsidRPr="009C6DB2">
        <w:t>有讨论。</w:t>
      </w:r>
    </w:p>
    <w:p w:rsidR="00DB3DD4" w:rsidRDefault="00DB3DD4" w:rsidP="00DB3DD4">
      <w:pPr>
        <w:pStyle w:val="SingleTxt"/>
      </w:pPr>
      <w:r>
        <w:rPr>
          <w:rFonts w:hint="eastAsia"/>
        </w:rPr>
        <w:lastRenderedPageBreak/>
        <w:t>231</w:t>
      </w:r>
      <w:r w:rsidRPr="009C6DB2">
        <w:rPr>
          <w:rFonts w:hint="eastAsia"/>
        </w:rPr>
        <w:t xml:space="preserve">.  </w:t>
      </w:r>
      <w:r w:rsidRPr="009C6DB2">
        <w:rPr>
          <w:rFonts w:hint="eastAsia"/>
        </w:rPr>
        <w:t>有</w:t>
      </w:r>
      <w:r w:rsidRPr="009C6DB2">
        <w:t>些委员鼓励</w:t>
      </w:r>
      <w:r w:rsidRPr="009C6DB2">
        <w:rPr>
          <w:rFonts w:hint="eastAsia"/>
        </w:rPr>
        <w:t>特别报告员将豁免</w:t>
      </w:r>
      <w:r w:rsidRPr="009C6DB2">
        <w:t>的</w:t>
      </w:r>
      <w:r w:rsidRPr="009C6DB2">
        <w:rPr>
          <w:rFonts w:hint="eastAsia"/>
        </w:rPr>
        <w:t>限制和例外与程序问题一</w:t>
      </w:r>
      <w:r w:rsidRPr="009C6DB2">
        <w:t>并处理</w:t>
      </w:r>
      <w:r w:rsidRPr="009C6DB2">
        <w:rPr>
          <w:rFonts w:hint="eastAsia"/>
        </w:rPr>
        <w:t>，不仅是因</w:t>
      </w:r>
      <w:r w:rsidRPr="009C6DB2">
        <w:t>为</w:t>
      </w:r>
      <w:r w:rsidRPr="009C6DB2">
        <w:rPr>
          <w:rFonts w:hint="eastAsia"/>
        </w:rPr>
        <w:t>这两个方面相互关联，而且因为这样做可能最终有助于委员会解决</w:t>
      </w:r>
      <w:r w:rsidRPr="009C6DB2">
        <w:t>整个专题</w:t>
      </w:r>
      <w:r w:rsidRPr="009C6DB2">
        <w:rPr>
          <w:rFonts w:hint="eastAsia"/>
        </w:rPr>
        <w:t>的一些棘手问题。有的委员甚至提出应该</w:t>
      </w:r>
      <w:r w:rsidRPr="009C6DB2">
        <w:t>首先</w:t>
      </w:r>
      <w:r w:rsidRPr="009C6DB2">
        <w:rPr>
          <w:rFonts w:hint="eastAsia"/>
        </w:rPr>
        <w:t>审议程序问题。也</w:t>
      </w:r>
      <w:r w:rsidRPr="009C6DB2">
        <w:t>有</w:t>
      </w:r>
      <w:r w:rsidRPr="009C6DB2">
        <w:rPr>
          <w:rFonts w:hint="eastAsia"/>
        </w:rPr>
        <w:t>委员指出，明年</w:t>
      </w:r>
      <w:r w:rsidRPr="009C6DB2">
        <w:t>讨论</w:t>
      </w:r>
      <w:r w:rsidRPr="009C6DB2">
        <w:rPr>
          <w:rFonts w:hint="eastAsia"/>
        </w:rPr>
        <w:t>限制和例外问题为时过早</w:t>
      </w:r>
      <w:r w:rsidRPr="009C6DB2">
        <w:t>，</w:t>
      </w:r>
      <w:r w:rsidRPr="009C6DB2">
        <w:rPr>
          <w:rFonts w:hint="eastAsia"/>
        </w:rPr>
        <w:t>因为仍然</w:t>
      </w:r>
      <w:r w:rsidRPr="009C6DB2">
        <w:t>有些</w:t>
      </w:r>
      <w:r w:rsidRPr="009C6DB2">
        <w:rPr>
          <w:rFonts w:hint="eastAsia"/>
        </w:rPr>
        <w:t>一般性问题需要</w:t>
      </w:r>
      <w:r w:rsidRPr="009C6DB2">
        <w:t>解决。</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3</w:t>
      </w:r>
      <w:r w:rsidRPr="009C6DB2">
        <w:rPr>
          <w:rFonts w:hint="eastAsia"/>
        </w:rPr>
        <w:t>.</w:t>
      </w:r>
      <w:r w:rsidRPr="009C6DB2">
        <w:rPr>
          <w:rFonts w:hint="eastAsia"/>
        </w:rPr>
        <w:tab/>
        <w:t>特别报告员的总结</w:t>
      </w:r>
    </w:p>
    <w:p w:rsidR="00DB3DD4" w:rsidRPr="00587809" w:rsidRDefault="00DB3DD4" w:rsidP="00DB3DD4">
      <w:pPr>
        <w:pStyle w:val="SingleTxt"/>
        <w:spacing w:after="0" w:line="120" w:lineRule="exact"/>
        <w:rPr>
          <w:sz w:val="10"/>
        </w:rPr>
      </w:pPr>
    </w:p>
    <w:p w:rsidR="00DB3DD4" w:rsidRPr="00587809" w:rsidRDefault="00DB3DD4" w:rsidP="00DB3DD4">
      <w:pPr>
        <w:pStyle w:val="SingleTxt"/>
        <w:spacing w:after="0" w:line="120" w:lineRule="exact"/>
        <w:rPr>
          <w:sz w:val="10"/>
        </w:rPr>
      </w:pPr>
    </w:p>
    <w:p w:rsidR="00DB3DD4" w:rsidRPr="009C6DB2" w:rsidRDefault="00DB3DD4" w:rsidP="00DB3DD4">
      <w:pPr>
        <w:pStyle w:val="SingleTxt"/>
      </w:pPr>
      <w:r>
        <w:rPr>
          <w:rFonts w:hint="eastAsia"/>
        </w:rPr>
        <w:t>232</w:t>
      </w:r>
      <w:r w:rsidRPr="009C6DB2">
        <w:rPr>
          <w:rFonts w:hint="eastAsia"/>
        </w:rPr>
        <w:t xml:space="preserve">.  </w:t>
      </w:r>
      <w:r w:rsidRPr="009C6DB2">
        <w:rPr>
          <w:rFonts w:hint="eastAsia"/>
        </w:rPr>
        <w:t>特别报告员处理了辩论中提出的各种问题，将其分为两组：一组是许多委员会委员提出的方法问题；另一组是关于</w:t>
      </w:r>
      <w:r w:rsidRPr="00587809">
        <w:rPr>
          <w:rFonts w:ascii="宋体" w:hAnsi="宋体"/>
        </w:rPr>
        <w:t>“</w:t>
      </w:r>
      <w:r w:rsidRPr="00587809">
        <w:rPr>
          <w:rFonts w:ascii="宋体" w:hAnsi="宋体" w:hint="eastAsia"/>
        </w:rPr>
        <w:t>以公务身份实施的行为</w:t>
      </w:r>
      <w:r w:rsidRPr="00587809">
        <w:rPr>
          <w:rFonts w:ascii="宋体" w:hAnsi="宋体"/>
        </w:rPr>
        <w:t>”</w:t>
      </w:r>
      <w:r w:rsidRPr="00587809">
        <w:rPr>
          <w:rFonts w:ascii="宋体" w:hAnsi="宋体" w:hint="eastAsia"/>
        </w:rPr>
        <w:t>的</w:t>
      </w:r>
      <w:r w:rsidRPr="009C6DB2">
        <w:rPr>
          <w:rFonts w:hint="eastAsia"/>
        </w:rPr>
        <w:t>概念问题。</w:t>
      </w:r>
    </w:p>
    <w:p w:rsidR="00DB3DD4" w:rsidRPr="009C6DB2" w:rsidRDefault="00DB3DD4" w:rsidP="00DB3DD4">
      <w:pPr>
        <w:pStyle w:val="SingleTxt"/>
      </w:pPr>
      <w:r>
        <w:rPr>
          <w:rFonts w:hint="eastAsia"/>
        </w:rPr>
        <w:t>233</w:t>
      </w:r>
      <w:r w:rsidRPr="009C6DB2">
        <w:rPr>
          <w:rFonts w:hint="eastAsia"/>
        </w:rPr>
        <w:t xml:space="preserve">.  </w:t>
      </w:r>
      <w:r w:rsidRPr="009C6DB2">
        <w:rPr>
          <w:rFonts w:hint="eastAsia"/>
        </w:rPr>
        <w:t>关于第一组问题，特别报告员一般性地指出，有些委员会委员提出的意见远远超出了单纯的方法问题。不过，在这方面，她提及了他们就分析和评价判例法、对待各国立法以及研究各国陈述和来文作出的评论。</w:t>
      </w:r>
    </w:p>
    <w:p w:rsidR="00DB3DD4" w:rsidRPr="009C6DB2" w:rsidRDefault="00DB3DD4" w:rsidP="00DB3DD4">
      <w:pPr>
        <w:pStyle w:val="SingleTxt"/>
      </w:pPr>
      <w:r>
        <w:rPr>
          <w:rFonts w:hint="eastAsia"/>
        </w:rPr>
        <w:t>234</w:t>
      </w:r>
      <w:r w:rsidRPr="009C6DB2">
        <w:rPr>
          <w:rFonts w:hint="eastAsia"/>
        </w:rPr>
        <w:t xml:space="preserve">.  </w:t>
      </w:r>
      <w:r w:rsidRPr="009C6DB2">
        <w:rPr>
          <w:rFonts w:hint="eastAsia"/>
        </w:rPr>
        <w:t>关于判例法，她欣见许多委员会委员积极评价了报告所载对司法实践的分析。关于一些委员会委员对分析各国判例法是否有用的评论，她重申在她研究属事豁免问题时重视各国的判例法，特别是因为直接面对豁免相关问题的是国家法院。她强调，即使各国的判例法不统一、不一致，发现这种情况本身对委员会的工作就是有意义的。特别报告员也承认国际法院和仲裁法庭判例法的重要性，但是她强调，她不认为国际判例法和国家判例法之间存在等级关系。她还指出，她不同意所谓国际判例法完全统一、一致的观点。</w:t>
      </w:r>
    </w:p>
    <w:p w:rsidR="00DB3DD4" w:rsidRPr="009C6DB2" w:rsidRDefault="00DB3DD4" w:rsidP="00DB3DD4">
      <w:pPr>
        <w:pStyle w:val="SingleTxt"/>
      </w:pPr>
      <w:r>
        <w:rPr>
          <w:rFonts w:hint="eastAsia"/>
        </w:rPr>
        <w:t>235</w:t>
      </w:r>
      <w:r w:rsidRPr="009C6DB2">
        <w:rPr>
          <w:rFonts w:hint="eastAsia"/>
        </w:rPr>
        <w:t xml:space="preserve">.  </w:t>
      </w:r>
      <w:r w:rsidRPr="009C6DB2">
        <w:rPr>
          <w:rFonts w:hint="eastAsia"/>
        </w:rPr>
        <w:t>关于国家立法在为本条款草案目的定义</w:t>
      </w:r>
      <w:r w:rsidRPr="00587809">
        <w:rPr>
          <w:rFonts w:ascii="宋体" w:hAnsi="宋体"/>
        </w:rPr>
        <w:t>“</w:t>
      </w:r>
      <w:r w:rsidRPr="00587809">
        <w:rPr>
          <w:rFonts w:ascii="宋体" w:hAnsi="宋体" w:hint="eastAsia"/>
        </w:rPr>
        <w:t>以公务身份实施的行为</w:t>
      </w:r>
      <w:r w:rsidRPr="00587809">
        <w:rPr>
          <w:rFonts w:ascii="宋体" w:hAnsi="宋体"/>
        </w:rPr>
        <w:t>”</w:t>
      </w:r>
      <w:r w:rsidRPr="00587809">
        <w:rPr>
          <w:rFonts w:ascii="宋体" w:hAnsi="宋体" w:hint="eastAsia"/>
        </w:rPr>
        <w:t>中的</w:t>
      </w:r>
      <w:r w:rsidRPr="009C6DB2">
        <w:rPr>
          <w:rFonts w:hint="eastAsia"/>
        </w:rPr>
        <w:t>重要性，她承认报告第</w:t>
      </w:r>
      <w:r>
        <w:rPr>
          <w:rFonts w:hint="eastAsia"/>
        </w:rPr>
        <w:t>32</w:t>
      </w:r>
      <w:r w:rsidRPr="009C6DB2">
        <w:rPr>
          <w:rFonts w:hint="eastAsia"/>
        </w:rPr>
        <w:t>段中的</w:t>
      </w:r>
      <w:r w:rsidRPr="00587809">
        <w:rPr>
          <w:rFonts w:ascii="宋体" w:hAnsi="宋体"/>
        </w:rPr>
        <w:t>“</w:t>
      </w:r>
      <w:r w:rsidRPr="00587809">
        <w:rPr>
          <w:rFonts w:ascii="宋体" w:hAnsi="宋体" w:hint="eastAsia"/>
        </w:rPr>
        <w:t>无关紧要</w:t>
      </w:r>
      <w:r w:rsidRPr="00587809">
        <w:rPr>
          <w:rFonts w:ascii="宋体" w:hAnsi="宋体"/>
        </w:rPr>
        <w:t>”</w:t>
      </w:r>
      <w:r w:rsidRPr="009C6DB2">
        <w:rPr>
          <w:rFonts w:hint="eastAsia"/>
        </w:rPr>
        <w:t>一词不是非常恰当。但她指出，她不是要说国家立法没有任何价值，而是强调其只应作为补充解释工具，特别是因为各国立法可能存在很大差异，而且很难确定哪些国家法律对定义</w:t>
      </w:r>
      <w:r w:rsidRPr="00587809">
        <w:rPr>
          <w:rFonts w:ascii="宋体" w:hAnsi="宋体"/>
        </w:rPr>
        <w:t>“</w:t>
      </w:r>
      <w:r w:rsidRPr="00587809">
        <w:rPr>
          <w:rFonts w:ascii="宋体" w:hAnsi="宋体" w:hint="eastAsia"/>
        </w:rPr>
        <w:t>以公务身份实施的行为</w:t>
      </w:r>
      <w:r w:rsidRPr="00587809">
        <w:rPr>
          <w:rFonts w:ascii="宋体" w:hAnsi="宋体"/>
        </w:rPr>
        <w:t>”</w:t>
      </w:r>
      <w:r w:rsidRPr="009C6DB2">
        <w:rPr>
          <w:rFonts w:hint="eastAsia"/>
        </w:rPr>
        <w:t>有意义。她补充道，各国关于豁免的法律都没有</w:t>
      </w:r>
      <w:r w:rsidRPr="00587809">
        <w:rPr>
          <w:rFonts w:ascii="宋体" w:hAnsi="宋体"/>
        </w:rPr>
        <w:t>“</w:t>
      </w:r>
      <w:r w:rsidRPr="00587809">
        <w:rPr>
          <w:rFonts w:ascii="宋体" w:hAnsi="宋体" w:hint="eastAsia"/>
        </w:rPr>
        <w:t>以公务身份实施的行为</w:t>
      </w:r>
      <w:r w:rsidRPr="00587809">
        <w:rPr>
          <w:rFonts w:ascii="宋体" w:hAnsi="宋体"/>
        </w:rPr>
        <w:t>”</w:t>
      </w:r>
      <w:r w:rsidRPr="009C6DB2">
        <w:rPr>
          <w:rFonts w:hint="eastAsia"/>
        </w:rPr>
        <w:t>的定义。</w:t>
      </w:r>
    </w:p>
    <w:p w:rsidR="00DB3DD4" w:rsidRPr="009C6DB2" w:rsidRDefault="00DB3DD4" w:rsidP="00DB3DD4">
      <w:pPr>
        <w:pStyle w:val="SingleTxt"/>
      </w:pPr>
      <w:r>
        <w:rPr>
          <w:rFonts w:hint="eastAsia"/>
        </w:rPr>
        <w:t>23</w:t>
      </w:r>
      <w:r w:rsidRPr="009C6DB2">
        <w:rPr>
          <w:rFonts w:hint="eastAsia"/>
        </w:rPr>
        <w:t xml:space="preserve">6.  </w:t>
      </w:r>
      <w:r w:rsidRPr="009C6DB2">
        <w:rPr>
          <w:rFonts w:hint="eastAsia"/>
        </w:rPr>
        <w:t>最后，关于各国提交的陈述和意见，特别报告员重申，她一贯重视这些宝贵材料，在编写报告时总是加以利用。她欣见委员会委员们也认为重视这些陈述和意见是有益的，通过它们不仅可以了解国家实践，而且可以了解各国如何看待本专题涵盖的各种法律问题。</w:t>
      </w:r>
    </w:p>
    <w:p w:rsidR="00DB3DD4" w:rsidRPr="009C6DB2" w:rsidRDefault="00DB3DD4" w:rsidP="00DB3DD4">
      <w:pPr>
        <w:pStyle w:val="SingleTxt"/>
      </w:pPr>
      <w:r>
        <w:rPr>
          <w:rFonts w:hint="eastAsia"/>
        </w:rPr>
        <w:t>23</w:t>
      </w:r>
      <w:r w:rsidRPr="009C6DB2">
        <w:rPr>
          <w:rFonts w:hint="eastAsia"/>
        </w:rPr>
        <w:t xml:space="preserve">7.  </w:t>
      </w:r>
      <w:r w:rsidRPr="009C6DB2">
        <w:rPr>
          <w:rFonts w:hint="eastAsia"/>
        </w:rPr>
        <w:t>关于界定</w:t>
      </w:r>
      <w:r w:rsidRPr="00587809">
        <w:rPr>
          <w:rFonts w:ascii="宋体" w:hAnsi="宋体"/>
        </w:rPr>
        <w:t>“</w:t>
      </w:r>
      <w:r w:rsidRPr="00587809">
        <w:rPr>
          <w:rFonts w:ascii="宋体" w:hAnsi="宋体" w:hint="eastAsia"/>
        </w:rPr>
        <w:t>以公务身份实施的行为</w:t>
      </w:r>
      <w:r w:rsidRPr="00587809">
        <w:rPr>
          <w:rFonts w:ascii="宋体" w:hAnsi="宋体"/>
        </w:rPr>
        <w:t>”</w:t>
      </w:r>
      <w:r w:rsidRPr="009C6DB2">
        <w:rPr>
          <w:rFonts w:hint="eastAsia"/>
        </w:rPr>
        <w:t>方面的评论，特别报告员对如下问题作了总结：在条款草案中纳入该定义的重要性；此种行为与主权和行使政府权力要素之间的联系；</w:t>
      </w:r>
      <w:r w:rsidRPr="00262A30">
        <w:rPr>
          <w:rFonts w:ascii="宋体" w:hAnsi="宋体"/>
        </w:rPr>
        <w:t>“</w:t>
      </w:r>
      <w:r w:rsidRPr="00262A30">
        <w:rPr>
          <w:rFonts w:ascii="宋体" w:hAnsi="宋体" w:hint="eastAsia"/>
        </w:rPr>
        <w:t>以公务身份实施的行为</w:t>
      </w:r>
      <w:r w:rsidRPr="00262A30">
        <w:rPr>
          <w:rFonts w:ascii="宋体" w:hAnsi="宋体"/>
        </w:rPr>
        <w:t>”</w:t>
      </w:r>
      <w:r w:rsidRPr="009C6DB2">
        <w:rPr>
          <w:rFonts w:hint="eastAsia"/>
        </w:rPr>
        <w:t>概念所涉的刑事问题；责任与豁免之间的关系。</w:t>
      </w:r>
    </w:p>
    <w:p w:rsidR="00DB3DD4" w:rsidRPr="009C6DB2" w:rsidRDefault="00DB3DD4" w:rsidP="00DB3DD4">
      <w:pPr>
        <w:pStyle w:val="SingleTxt"/>
      </w:pPr>
      <w:r>
        <w:rPr>
          <w:rFonts w:hint="eastAsia"/>
        </w:rPr>
        <w:t>23</w:t>
      </w:r>
      <w:r w:rsidRPr="009C6DB2">
        <w:rPr>
          <w:rFonts w:hint="eastAsia"/>
        </w:rPr>
        <w:t xml:space="preserve">8.  </w:t>
      </w:r>
      <w:r w:rsidRPr="009C6DB2">
        <w:rPr>
          <w:rFonts w:hint="eastAsia"/>
        </w:rPr>
        <w:t>关于定义以公务身份实施的行为的重要性，特别报告员再次表示相信，为本条款草案目的，应当有这样一个定义，该观点得到大量委员会委员的支持。她认为，这个定义将有助于法律的确定性，特别是鉴于这一概念无法仅仅相对于以私人身份实施的行为来界定，因为后者也没有定义，而且判例多种多样，缺乏统一，无法将其看作是可通过司法途径确认的模糊法律概念。此外，定义将有助于国际法的逐步</w:t>
      </w:r>
      <w:r w:rsidRPr="009C6DB2">
        <w:rPr>
          <w:rFonts w:hint="eastAsia"/>
        </w:rPr>
        <w:lastRenderedPageBreak/>
        <w:t>发展和编纂，将对法律工作者、包括国家法院有所帮助。在这个问题上，特别报告员表示，反复采用</w:t>
      </w:r>
      <w:r w:rsidRPr="00587809">
        <w:rPr>
          <w:rFonts w:ascii="宋体" w:hAnsi="宋体"/>
        </w:rPr>
        <w:t>“</w:t>
      </w:r>
      <w:r w:rsidRPr="00587809">
        <w:rPr>
          <w:rFonts w:ascii="宋体" w:hAnsi="宋体" w:hint="eastAsia"/>
        </w:rPr>
        <w:t>放松限制</w:t>
      </w:r>
      <w:r w:rsidRPr="00587809">
        <w:rPr>
          <w:rFonts w:ascii="宋体" w:hAnsi="宋体"/>
        </w:rPr>
        <w:t>”</w:t>
      </w:r>
      <w:r w:rsidRPr="009C6DB2">
        <w:rPr>
          <w:rFonts w:hint="eastAsia"/>
        </w:rPr>
        <w:t>的手段</w:t>
      </w:r>
      <w:r w:rsidRPr="009C6DB2">
        <w:rPr>
          <w:rFonts w:hint="eastAsia"/>
        </w:rPr>
        <w:t>(</w:t>
      </w:r>
      <w:r w:rsidRPr="009C6DB2">
        <w:rPr>
          <w:rFonts w:hint="eastAsia"/>
        </w:rPr>
        <w:t>此处为不制定定义</w:t>
      </w:r>
      <w:r w:rsidRPr="009C6DB2">
        <w:rPr>
          <w:rFonts w:hint="eastAsia"/>
        </w:rPr>
        <w:t>)</w:t>
      </w:r>
      <w:r w:rsidRPr="009C6DB2">
        <w:rPr>
          <w:rFonts w:hint="eastAsia"/>
        </w:rPr>
        <w:t>似乎不符合委员会的任务规定。</w:t>
      </w:r>
    </w:p>
    <w:p w:rsidR="00DB3DD4" w:rsidRPr="009C6DB2" w:rsidRDefault="00DB3DD4" w:rsidP="00DB3DD4">
      <w:pPr>
        <w:pStyle w:val="SingleTxt"/>
      </w:pPr>
      <w:r>
        <w:rPr>
          <w:rFonts w:hint="eastAsia"/>
        </w:rPr>
        <w:t>23</w:t>
      </w:r>
      <w:r w:rsidRPr="009C6DB2">
        <w:rPr>
          <w:rFonts w:hint="eastAsia"/>
        </w:rPr>
        <w:t xml:space="preserve">9.  </w:t>
      </w:r>
      <w:r w:rsidRPr="009C6DB2">
        <w:rPr>
          <w:rFonts w:hint="eastAsia"/>
        </w:rPr>
        <w:t>关于主权和行使主权权力问题，她强调，</w:t>
      </w:r>
      <w:r w:rsidRPr="00587809">
        <w:rPr>
          <w:rFonts w:ascii="宋体" w:hAnsi="宋体"/>
        </w:rPr>
        <w:t>“</w:t>
      </w:r>
      <w:r w:rsidRPr="00587809">
        <w:rPr>
          <w:rFonts w:ascii="宋体" w:hAnsi="宋体" w:hint="eastAsia"/>
        </w:rPr>
        <w:t>以公务身份实施的行为</w:t>
      </w:r>
      <w:r w:rsidRPr="00587809">
        <w:rPr>
          <w:rFonts w:ascii="宋体" w:hAnsi="宋体"/>
        </w:rPr>
        <w:t>”</w:t>
      </w:r>
      <w:r w:rsidRPr="009C6DB2">
        <w:rPr>
          <w:rFonts w:hint="eastAsia"/>
        </w:rPr>
        <w:t>要成为实质性因素，而不是主观因素，需要在国家官员和国家之间确立特定的联系。尽管</w:t>
      </w:r>
      <w:r w:rsidRPr="00587809">
        <w:rPr>
          <w:rFonts w:ascii="宋体" w:hAnsi="宋体"/>
        </w:rPr>
        <w:t>“</w:t>
      </w:r>
      <w:r w:rsidRPr="00587809">
        <w:rPr>
          <w:rFonts w:ascii="宋体" w:hAnsi="宋体" w:hint="eastAsia"/>
        </w:rPr>
        <w:t>主权</w:t>
      </w:r>
      <w:r w:rsidRPr="00587809">
        <w:rPr>
          <w:rFonts w:ascii="宋体" w:hAnsi="宋体"/>
        </w:rPr>
        <w:t>”</w:t>
      </w:r>
      <w:r w:rsidRPr="00587809">
        <w:rPr>
          <w:rFonts w:ascii="宋体" w:hAnsi="宋体" w:hint="eastAsia"/>
        </w:rPr>
        <w:t>本身不能给出确切的定义，但是能够在</w:t>
      </w:r>
      <w:r w:rsidRPr="00587809">
        <w:rPr>
          <w:rFonts w:ascii="宋体" w:hAnsi="宋体"/>
        </w:rPr>
        <w:t>“</w:t>
      </w:r>
      <w:r w:rsidRPr="00587809">
        <w:rPr>
          <w:rFonts w:ascii="宋体" w:hAnsi="宋体" w:hint="eastAsia"/>
        </w:rPr>
        <w:t>固有的主权行为</w:t>
      </w:r>
      <w:r w:rsidRPr="00587809">
        <w:rPr>
          <w:rFonts w:ascii="宋体" w:hAnsi="宋体"/>
        </w:rPr>
        <w:t>”</w:t>
      </w:r>
      <w:r w:rsidRPr="00587809">
        <w:rPr>
          <w:rFonts w:ascii="宋体" w:hAnsi="宋体" w:hint="eastAsia"/>
        </w:rPr>
        <w:t>或</w:t>
      </w:r>
      <w:r w:rsidRPr="00587809">
        <w:rPr>
          <w:rFonts w:ascii="宋体" w:hAnsi="宋体"/>
        </w:rPr>
        <w:t>“</w:t>
      </w:r>
      <w:r w:rsidRPr="00587809">
        <w:rPr>
          <w:rFonts w:ascii="宋体" w:hAnsi="宋体" w:hint="eastAsia"/>
        </w:rPr>
        <w:t>天生具有主权性质的行为</w:t>
      </w:r>
      <w:r w:rsidRPr="00587809">
        <w:rPr>
          <w:rFonts w:ascii="宋体" w:hAnsi="宋体"/>
        </w:rPr>
        <w:t>”</w:t>
      </w:r>
      <w:r w:rsidRPr="00587809">
        <w:rPr>
          <w:rFonts w:ascii="宋体" w:hAnsi="宋体" w:hint="eastAsia"/>
        </w:rPr>
        <w:t>的实践中找出实</w:t>
      </w:r>
      <w:r w:rsidRPr="009C6DB2">
        <w:rPr>
          <w:rFonts w:hint="eastAsia"/>
        </w:rPr>
        <w:t>例，特别是报告第</w:t>
      </w:r>
      <w:r>
        <w:rPr>
          <w:rFonts w:hint="eastAsia"/>
        </w:rPr>
        <w:t>54</w:t>
      </w:r>
      <w:r w:rsidRPr="009C6DB2">
        <w:rPr>
          <w:rFonts w:hint="eastAsia"/>
        </w:rPr>
        <w:t>和</w:t>
      </w:r>
      <w:r>
        <w:rPr>
          <w:rFonts w:hint="eastAsia"/>
        </w:rPr>
        <w:t>5</w:t>
      </w:r>
      <w:r w:rsidRPr="009C6DB2">
        <w:rPr>
          <w:rFonts w:hint="eastAsia"/>
        </w:rPr>
        <w:t>8</w:t>
      </w:r>
      <w:r w:rsidRPr="009C6DB2">
        <w:rPr>
          <w:rFonts w:hint="eastAsia"/>
        </w:rPr>
        <w:t>段所述的例子。此外，委员会已经在此前关于国家责任的工作中采用了</w:t>
      </w:r>
      <w:r w:rsidRPr="00587809">
        <w:rPr>
          <w:rFonts w:ascii="宋体" w:hAnsi="宋体"/>
        </w:rPr>
        <w:t>“</w:t>
      </w:r>
      <w:r w:rsidRPr="00587809">
        <w:rPr>
          <w:rFonts w:ascii="宋体" w:hAnsi="宋体" w:hint="eastAsia"/>
        </w:rPr>
        <w:t>行使政府权力</w:t>
      </w:r>
      <w:r w:rsidRPr="00587809">
        <w:rPr>
          <w:rFonts w:ascii="宋体" w:hAnsi="宋体"/>
        </w:rPr>
        <w:t>”</w:t>
      </w:r>
      <w:r w:rsidRPr="009C6DB2">
        <w:rPr>
          <w:rFonts w:hint="eastAsia"/>
        </w:rPr>
        <w:t>一词。她回顾，委员会已专门挑出这个问题，以便深入阐述。</w:t>
      </w:r>
    </w:p>
    <w:p w:rsidR="00DB3DD4" w:rsidRPr="009C6DB2" w:rsidRDefault="00DB3DD4" w:rsidP="00DB3DD4">
      <w:pPr>
        <w:pStyle w:val="SingleTxt"/>
      </w:pPr>
      <w:r>
        <w:rPr>
          <w:rFonts w:hint="eastAsia"/>
        </w:rPr>
        <w:t>24</w:t>
      </w:r>
      <w:r w:rsidRPr="009C6DB2">
        <w:rPr>
          <w:rFonts w:hint="eastAsia"/>
        </w:rPr>
        <w:t xml:space="preserve">0.  </w:t>
      </w:r>
      <w:r w:rsidRPr="009C6DB2">
        <w:rPr>
          <w:rFonts w:hint="eastAsia"/>
        </w:rPr>
        <w:t>关于责任与豁免的关系，特别报告员重申，这两个制度尽管目标不同，但有一些共同要素，所以不应该彻底割裂开。在讨论过程中，许多委员会委员提出了国际罪行及其与豁免之间关系的问题，就是责任与豁免关系的一个很好的例子。因此，她认为，在处理本专题时，至少在确定行为归于国家的某些规则方面，不能忽视与责任有关的问题。一名委员会委员认为，一项行为因为是国家官员实施的所以不是官方行为，特别报告员不赞成这种观点。</w:t>
      </w:r>
    </w:p>
    <w:p w:rsidR="00DB3DD4" w:rsidRPr="009C6DB2" w:rsidRDefault="00DB3DD4" w:rsidP="00DB3DD4">
      <w:pPr>
        <w:pStyle w:val="SingleTxt"/>
      </w:pPr>
      <w:r>
        <w:rPr>
          <w:rFonts w:hint="eastAsia"/>
        </w:rPr>
        <w:t>241</w:t>
      </w:r>
      <w:r w:rsidRPr="009C6DB2">
        <w:rPr>
          <w:rFonts w:hint="eastAsia"/>
        </w:rPr>
        <w:t xml:space="preserve">.  </w:t>
      </w:r>
      <w:r w:rsidRPr="009C6DB2">
        <w:rPr>
          <w:rFonts w:hint="eastAsia"/>
        </w:rPr>
        <w:t>关于第</w:t>
      </w:r>
      <w:r w:rsidRPr="009C6DB2">
        <w:rPr>
          <w:rFonts w:hint="eastAsia"/>
        </w:rPr>
        <w:t>6</w:t>
      </w:r>
      <w:r w:rsidRPr="009C6DB2">
        <w:rPr>
          <w:rFonts w:hint="eastAsia"/>
        </w:rPr>
        <w:t>条草案，特别报告员强调要结合两个要素</w:t>
      </w:r>
      <w:r w:rsidRPr="009C6DB2">
        <w:rPr>
          <w:rFonts w:hint="eastAsia"/>
        </w:rPr>
        <w:t>(</w:t>
      </w:r>
      <w:r w:rsidRPr="009C6DB2">
        <w:rPr>
          <w:rFonts w:hint="eastAsia"/>
        </w:rPr>
        <w:t>实质和时间</w:t>
      </w:r>
      <w:r w:rsidRPr="009C6DB2">
        <w:rPr>
          <w:rFonts w:hint="eastAsia"/>
        </w:rPr>
        <w:t>)</w:t>
      </w:r>
      <w:r w:rsidRPr="009C6DB2">
        <w:rPr>
          <w:rFonts w:hint="eastAsia"/>
        </w:rPr>
        <w:t>，并称赞成考虑调换第</w:t>
      </w:r>
      <w:r>
        <w:rPr>
          <w:rFonts w:hint="eastAsia"/>
        </w:rPr>
        <w:t>1</w:t>
      </w:r>
      <w:r w:rsidRPr="009C6DB2">
        <w:rPr>
          <w:rFonts w:hint="eastAsia"/>
        </w:rPr>
        <w:t>款和第</w:t>
      </w:r>
      <w:r>
        <w:rPr>
          <w:rFonts w:hint="eastAsia"/>
        </w:rPr>
        <w:t>2</w:t>
      </w:r>
      <w:r w:rsidRPr="009C6DB2">
        <w:rPr>
          <w:rFonts w:hint="eastAsia"/>
        </w:rPr>
        <w:t>款的顺序。关于第</w:t>
      </w:r>
      <w:r w:rsidRPr="009C6DB2">
        <w:rPr>
          <w:rFonts w:hint="eastAsia"/>
        </w:rPr>
        <w:t>6</w:t>
      </w:r>
      <w:r w:rsidRPr="009C6DB2">
        <w:rPr>
          <w:rFonts w:hint="eastAsia"/>
        </w:rPr>
        <w:t>条草案第</w:t>
      </w:r>
      <w:r>
        <w:rPr>
          <w:rFonts w:hint="eastAsia"/>
        </w:rPr>
        <w:t>3</w:t>
      </w:r>
      <w:r w:rsidRPr="009C6DB2">
        <w:rPr>
          <w:rFonts w:hint="eastAsia"/>
        </w:rPr>
        <w:t>款，特别报告员认为应该保留，但是如果委员会决定删除，而将该款的内容和删除理由写入评注，也是可以的。</w:t>
      </w:r>
    </w:p>
    <w:p w:rsidR="00DB3DD4" w:rsidRPr="009C6DB2" w:rsidRDefault="00DB3DD4" w:rsidP="00DB3DD4">
      <w:pPr>
        <w:pStyle w:val="SingleTxt"/>
      </w:pPr>
      <w:r>
        <w:rPr>
          <w:rFonts w:hint="eastAsia"/>
        </w:rPr>
        <w:t>242</w:t>
      </w:r>
      <w:r w:rsidRPr="009C6DB2">
        <w:rPr>
          <w:rFonts w:hint="eastAsia"/>
        </w:rPr>
        <w:t xml:space="preserve">.  </w:t>
      </w:r>
      <w:r w:rsidRPr="009C6DB2">
        <w:rPr>
          <w:rFonts w:hint="eastAsia"/>
        </w:rPr>
        <w:t>特别报告员回答了一些委员会委员提出的不同问题。最后，关于今后的工作计划，她说全体会议上的辩论在很大程度上重复了委员会此前的辩论。她回顾，委员会当时已经批准了工作计划，许多委员都支持她的建议，即在下次报告中讨论限制和例外问题。不过，她注意到一些委员建议先处理或同时处理专题的程序方面问题。对此，她表示将在必要和可能的情况下，在下次报告中处理程序性问题。</w:t>
      </w:r>
    </w:p>
    <w:p w:rsidR="00DB3DD4" w:rsidRDefault="00DB3DD4" w:rsidP="00DB3DD4">
      <w:pPr>
        <w:pStyle w:val="SingleTxt"/>
      </w:pPr>
      <w:r>
        <w:rPr>
          <w:rFonts w:hint="eastAsia"/>
        </w:rPr>
        <w:t>243</w:t>
      </w:r>
      <w:r w:rsidRPr="009C6DB2">
        <w:rPr>
          <w:rFonts w:hint="eastAsia"/>
        </w:rPr>
        <w:t xml:space="preserve">.  </w:t>
      </w:r>
      <w:r w:rsidRPr="009C6DB2">
        <w:rPr>
          <w:rFonts w:hint="eastAsia"/>
        </w:rPr>
        <w:t>最后，特别报告员建议委员会将两项条款草案送交起草委员会，以便起草委员会根据全体辩论的情况予以研究。</w:t>
      </w:r>
    </w:p>
    <w:p w:rsidR="00DB3DD4" w:rsidRDefault="00DB3DD4">
      <w:pPr>
        <w:spacing w:line="240" w:lineRule="auto"/>
        <w:jc w:val="left"/>
      </w:pPr>
      <w:r>
        <w:br w:type="page"/>
      </w:r>
    </w:p>
    <w:p w:rsidR="00DB3DD4" w:rsidRPr="00DB3DD4"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B3DD4" w:rsidRDefault="00DB3DD4" w:rsidP="00DB3DD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A13512">
        <w:rPr>
          <w:rFonts w:hint="eastAsia"/>
        </w:rPr>
        <w:t>第十一章</w:t>
      </w:r>
      <w:r>
        <w:br/>
      </w:r>
      <w:r w:rsidRPr="00A13512">
        <w:rPr>
          <w:rFonts w:hint="eastAsia"/>
        </w:rPr>
        <w:t>条约的暂时适用</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导言</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244.  </w:t>
      </w:r>
      <w:r>
        <w:rPr>
          <w:rFonts w:hint="eastAsia"/>
        </w:rPr>
        <w:t>在第六十四届会议</w:t>
      </w:r>
      <w:r>
        <w:rPr>
          <w:rFonts w:hint="eastAsia"/>
        </w:rPr>
        <w:t>(2012</w:t>
      </w:r>
      <w:r>
        <w:rPr>
          <w:rFonts w:hint="eastAsia"/>
        </w:rPr>
        <w:t>年</w:t>
      </w:r>
      <w:r>
        <w:rPr>
          <w:rFonts w:hint="eastAsia"/>
        </w:rPr>
        <w:t>)</w:t>
      </w:r>
      <w:r>
        <w:rPr>
          <w:rFonts w:hint="eastAsia"/>
        </w:rPr>
        <w:t>上，委员会决定将“条约的暂时适用”专题列入工作方案，并任命胡安·曼努埃尔·戈麦斯－罗夫莱多先生为专题特别报告员。在同一届会议上，委员会注意到特别报告员就他主持进行的关于这一专题的非正式磋商所作的口头报告。大会后来在</w:t>
      </w:r>
      <w:r>
        <w:rPr>
          <w:rFonts w:hint="eastAsia"/>
        </w:rPr>
        <w:t>2012</w:t>
      </w:r>
      <w:r>
        <w:rPr>
          <w:rFonts w:hint="eastAsia"/>
        </w:rPr>
        <w:t>年</w:t>
      </w:r>
      <w:r>
        <w:rPr>
          <w:rFonts w:hint="eastAsia"/>
        </w:rPr>
        <w:t>12</w:t>
      </w:r>
      <w:r>
        <w:rPr>
          <w:rFonts w:hint="eastAsia"/>
        </w:rPr>
        <w:t>月</w:t>
      </w:r>
      <w:r>
        <w:rPr>
          <w:rFonts w:hint="eastAsia"/>
        </w:rPr>
        <w:t>14</w:t>
      </w:r>
      <w:r>
        <w:rPr>
          <w:rFonts w:hint="eastAsia"/>
        </w:rPr>
        <w:t>日第</w:t>
      </w:r>
      <w:r>
        <w:rPr>
          <w:rFonts w:hint="eastAsia"/>
        </w:rPr>
        <w:t>67/92</w:t>
      </w:r>
      <w:r>
        <w:rPr>
          <w:rFonts w:hint="eastAsia"/>
        </w:rPr>
        <w:t>号决议中赞赏地注意到委员会决定将此专题列入工作方案。</w:t>
      </w:r>
    </w:p>
    <w:p w:rsidR="00DB3DD4" w:rsidRDefault="00DB3DD4" w:rsidP="00DB3DD4">
      <w:pPr>
        <w:pStyle w:val="SingleTxt"/>
      </w:pPr>
      <w:r>
        <w:rPr>
          <w:rFonts w:hint="eastAsia"/>
        </w:rPr>
        <w:t xml:space="preserve">245.  </w:t>
      </w:r>
      <w:r>
        <w:rPr>
          <w:rFonts w:hint="eastAsia"/>
        </w:rPr>
        <w:t>在第六十五届会议</w:t>
      </w:r>
      <w:r>
        <w:rPr>
          <w:rFonts w:hint="eastAsia"/>
        </w:rPr>
        <w:t>(2013</w:t>
      </w:r>
      <w:r>
        <w:rPr>
          <w:rFonts w:hint="eastAsia"/>
        </w:rPr>
        <w:t>年</w:t>
      </w:r>
      <w:r>
        <w:rPr>
          <w:rFonts w:hint="eastAsia"/>
        </w:rPr>
        <w:t>)</w:t>
      </w:r>
      <w:r>
        <w:rPr>
          <w:rFonts w:hint="eastAsia"/>
        </w:rPr>
        <w:t>上，委员会收到了特别报告员的第一次报告</w:t>
      </w:r>
      <w:r>
        <w:rPr>
          <w:rFonts w:hint="eastAsia"/>
        </w:rPr>
        <w:t>(A/CN.4/664)</w:t>
      </w:r>
      <w:r>
        <w:rPr>
          <w:rFonts w:hint="eastAsia"/>
        </w:rPr>
        <w:t>，该报告旨在通过探讨如何从理论角度处理这一专题以及简要回顾现有的国家实践，设法从总体上确定在条约的暂时适用方面出现的主要法律问题。委员会还收到了秘书处编写的一份备忘录</w:t>
      </w:r>
      <w:r>
        <w:rPr>
          <w:rFonts w:hint="eastAsia"/>
        </w:rPr>
        <w:t>(A/CN.4/658)</w:t>
      </w:r>
      <w:r>
        <w:rPr>
          <w:rFonts w:hint="eastAsia"/>
        </w:rPr>
        <w:t>，其中叙述了当初委员会和</w:t>
      </w:r>
      <w:r>
        <w:rPr>
          <w:rFonts w:hint="eastAsia"/>
        </w:rPr>
        <w:t>1968</w:t>
      </w:r>
      <w:r>
        <w:rPr>
          <w:rFonts w:hint="eastAsia"/>
        </w:rPr>
        <w:t>至</w:t>
      </w:r>
      <w:r>
        <w:rPr>
          <w:rFonts w:hint="eastAsia"/>
        </w:rPr>
        <w:t>1969</w:t>
      </w:r>
      <w:r>
        <w:rPr>
          <w:rFonts w:hint="eastAsia"/>
        </w:rPr>
        <w:t>年维也纳会议对</w:t>
      </w:r>
      <w:r>
        <w:rPr>
          <w:rFonts w:hint="eastAsia"/>
        </w:rPr>
        <w:t>1969</w:t>
      </w:r>
      <w:r>
        <w:rPr>
          <w:rFonts w:hint="eastAsia"/>
        </w:rPr>
        <w:t>年《维也纳条约法公约》</w:t>
      </w:r>
      <w:r>
        <w:rPr>
          <w:rFonts w:hint="eastAsia"/>
        </w:rPr>
        <w:t>(1969</w:t>
      </w:r>
      <w:r>
        <w:rPr>
          <w:rFonts w:hint="eastAsia"/>
        </w:rPr>
        <w:t>年《维也纳公约》</w:t>
      </w:r>
      <w:r>
        <w:rPr>
          <w:rFonts w:hint="eastAsia"/>
        </w:rPr>
        <w:t>)</w:t>
      </w:r>
      <w:r>
        <w:rPr>
          <w:rFonts w:hint="eastAsia"/>
        </w:rPr>
        <w:t>第二十五条的谈判情况，并简要分析了审议期间提出的一些实质性问题。</w:t>
      </w:r>
    </w:p>
    <w:p w:rsidR="00DB3DD4" w:rsidRDefault="00DB3DD4" w:rsidP="00DB3DD4">
      <w:pPr>
        <w:pStyle w:val="SingleTxt"/>
      </w:pPr>
      <w:r>
        <w:rPr>
          <w:rFonts w:hint="eastAsia"/>
        </w:rPr>
        <w:t xml:space="preserve">246.  </w:t>
      </w:r>
      <w:r>
        <w:rPr>
          <w:rFonts w:hint="eastAsia"/>
        </w:rPr>
        <w:t>在第六十六届会议</w:t>
      </w:r>
      <w:r>
        <w:rPr>
          <w:rFonts w:hint="eastAsia"/>
        </w:rPr>
        <w:t>(2014</w:t>
      </w:r>
      <w:r>
        <w:rPr>
          <w:rFonts w:hint="eastAsia"/>
        </w:rPr>
        <w:t>年</w:t>
      </w:r>
      <w:r>
        <w:rPr>
          <w:rFonts w:hint="eastAsia"/>
        </w:rPr>
        <w:t>)</w:t>
      </w:r>
      <w:r>
        <w:rPr>
          <w:rFonts w:hint="eastAsia"/>
        </w:rPr>
        <w:t>上，委员会审议了特别报告员的第二次报告</w:t>
      </w:r>
      <w:r>
        <w:rPr>
          <w:rFonts w:hint="eastAsia"/>
        </w:rPr>
        <w:t>(A/CN.4/675)</w:t>
      </w:r>
      <w:r>
        <w:rPr>
          <w:rFonts w:hint="eastAsia"/>
        </w:rPr>
        <w:t>，该报告试图对条约暂时适用的法律效果进行实质性分析。</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本届会议审议此专题的情况</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Pr="00954933" w:rsidRDefault="00DB3DD4" w:rsidP="00DB3DD4">
      <w:pPr>
        <w:pStyle w:val="SingleTxt"/>
        <w:rPr>
          <w:spacing w:val="-2"/>
        </w:rPr>
      </w:pPr>
      <w:r w:rsidRPr="00954933">
        <w:rPr>
          <w:rFonts w:hint="eastAsia"/>
          <w:spacing w:val="-2"/>
        </w:rPr>
        <w:t xml:space="preserve">247.  </w:t>
      </w:r>
      <w:r w:rsidRPr="00954933">
        <w:rPr>
          <w:rFonts w:hint="eastAsia"/>
          <w:spacing w:val="-2"/>
        </w:rPr>
        <w:t>委员会在本届会议上收到了特别报告员的第三次报告</w:t>
      </w:r>
      <w:r w:rsidRPr="00954933">
        <w:rPr>
          <w:rFonts w:hint="eastAsia"/>
          <w:spacing w:val="-2"/>
        </w:rPr>
        <w:t>(A/CN.4/687)</w:t>
      </w:r>
      <w:r w:rsidRPr="00954933">
        <w:rPr>
          <w:rFonts w:hint="eastAsia"/>
          <w:spacing w:val="-2"/>
        </w:rPr>
        <w:t>，报告继续分析了国家实践，审议了暂时适用与</w:t>
      </w:r>
      <w:r w:rsidRPr="00954933">
        <w:rPr>
          <w:rFonts w:hint="eastAsia"/>
          <w:spacing w:val="-2"/>
        </w:rPr>
        <w:t>1969</w:t>
      </w:r>
      <w:r w:rsidRPr="00954933">
        <w:rPr>
          <w:rFonts w:hint="eastAsia"/>
          <w:spacing w:val="-2"/>
        </w:rPr>
        <w:t>年《维也纳公约》其他规定的关系以及关于国际组织的暂时适用问题。报告中还列有关于暂时适用的六条准则草案提案。</w:t>
      </w:r>
      <w:r w:rsidRPr="003F1277">
        <w:rPr>
          <w:rStyle w:val="a3"/>
          <w:spacing w:val="-2"/>
        </w:rPr>
        <w:footnoteReference w:id="394"/>
      </w:r>
    </w:p>
    <w:p w:rsidR="00DB3DD4" w:rsidRDefault="00DB3DD4" w:rsidP="00DB3DD4">
      <w:pPr>
        <w:pStyle w:val="SingleTxt"/>
      </w:pPr>
      <w:r>
        <w:rPr>
          <w:rFonts w:hint="eastAsia"/>
        </w:rPr>
        <w:lastRenderedPageBreak/>
        <w:t xml:space="preserve">248.  </w:t>
      </w:r>
      <w:r>
        <w:rPr>
          <w:rFonts w:hint="eastAsia"/>
        </w:rPr>
        <w:t>委员会还收到了秘书处就</w:t>
      </w:r>
      <w:r>
        <w:rPr>
          <w:rFonts w:hint="eastAsia"/>
        </w:rPr>
        <w:t>1986</w:t>
      </w:r>
      <w:r>
        <w:rPr>
          <w:rFonts w:hint="eastAsia"/>
        </w:rPr>
        <w:t>年《关于国家与国际组织间或国际组织相互间条约法的维也纳公约》</w:t>
      </w:r>
      <w:r>
        <w:rPr>
          <w:rFonts w:hint="eastAsia"/>
        </w:rPr>
        <w:t>(1986</w:t>
      </w:r>
      <w:r>
        <w:rPr>
          <w:rFonts w:hint="eastAsia"/>
        </w:rPr>
        <w:t>年《维也纳公约》</w:t>
      </w:r>
      <w:r>
        <w:rPr>
          <w:rFonts w:hint="eastAsia"/>
        </w:rPr>
        <w:t>)</w:t>
      </w:r>
      <w:r>
        <w:rPr>
          <w:rFonts w:hint="eastAsia"/>
        </w:rPr>
        <w:t>之下暂时适用问题编写的一份备忘录</w:t>
      </w:r>
      <w:r>
        <w:rPr>
          <w:rFonts w:hint="eastAsia"/>
        </w:rPr>
        <w:t>(A/CN.4/676)</w:t>
      </w:r>
      <w:r>
        <w:rPr>
          <w:rFonts w:hint="eastAsia"/>
        </w:rPr>
        <w:t>。</w:t>
      </w:r>
    </w:p>
    <w:p w:rsidR="00DB3DD4" w:rsidRDefault="00DB3DD4" w:rsidP="00DB3DD4">
      <w:pPr>
        <w:pStyle w:val="SingleTxt"/>
      </w:pPr>
      <w:r>
        <w:rPr>
          <w:rFonts w:hint="eastAsia"/>
        </w:rPr>
        <w:t xml:space="preserve">249.  </w:t>
      </w:r>
      <w:r>
        <w:rPr>
          <w:rFonts w:hint="eastAsia"/>
        </w:rPr>
        <w:t>委员会在</w:t>
      </w:r>
      <w:r>
        <w:rPr>
          <w:rFonts w:hint="eastAsia"/>
        </w:rPr>
        <w:t>2015</w:t>
      </w:r>
      <w:r>
        <w:rPr>
          <w:rFonts w:hint="eastAsia"/>
        </w:rPr>
        <w:t>年</w:t>
      </w:r>
      <w:r>
        <w:rPr>
          <w:rFonts w:hint="eastAsia"/>
        </w:rPr>
        <w:t>7</w:t>
      </w:r>
      <w:r>
        <w:rPr>
          <w:rFonts w:hint="eastAsia"/>
        </w:rPr>
        <w:t>月</w:t>
      </w:r>
      <w:r>
        <w:rPr>
          <w:rFonts w:hint="eastAsia"/>
        </w:rPr>
        <w:t>14</w:t>
      </w:r>
      <w:r>
        <w:rPr>
          <w:rFonts w:hint="eastAsia"/>
        </w:rPr>
        <w:t>日、</w:t>
      </w:r>
      <w:r>
        <w:rPr>
          <w:rFonts w:hint="eastAsia"/>
        </w:rPr>
        <w:t>15</w:t>
      </w:r>
      <w:r>
        <w:rPr>
          <w:rFonts w:hint="eastAsia"/>
        </w:rPr>
        <w:t>日、</w:t>
      </w:r>
      <w:r>
        <w:rPr>
          <w:rFonts w:hint="eastAsia"/>
        </w:rPr>
        <w:t>23</w:t>
      </w:r>
      <w:r>
        <w:rPr>
          <w:rFonts w:hint="eastAsia"/>
        </w:rPr>
        <w:t>日、</w:t>
      </w:r>
      <w:r>
        <w:rPr>
          <w:rFonts w:hint="eastAsia"/>
        </w:rPr>
        <w:t>24</w:t>
      </w:r>
      <w:r>
        <w:rPr>
          <w:rFonts w:hint="eastAsia"/>
        </w:rPr>
        <w:t>日和</w:t>
      </w:r>
      <w:r>
        <w:rPr>
          <w:rFonts w:hint="eastAsia"/>
        </w:rPr>
        <w:t>28</w:t>
      </w:r>
      <w:r>
        <w:rPr>
          <w:rFonts w:hint="eastAsia"/>
        </w:rPr>
        <w:t>日举行的第</w:t>
      </w:r>
      <w:r>
        <w:rPr>
          <w:rFonts w:hint="eastAsia"/>
        </w:rPr>
        <w:t>3269</w:t>
      </w:r>
      <w:r>
        <w:rPr>
          <w:rFonts w:hint="eastAsia"/>
        </w:rPr>
        <w:t>至</w:t>
      </w:r>
      <w:r>
        <w:rPr>
          <w:rFonts w:hint="eastAsia"/>
        </w:rPr>
        <w:t>3270</w:t>
      </w:r>
      <w:r>
        <w:rPr>
          <w:rFonts w:hint="eastAsia"/>
        </w:rPr>
        <w:t>次会议和</w:t>
      </w:r>
      <w:r>
        <w:rPr>
          <w:rFonts w:hint="eastAsia"/>
        </w:rPr>
        <w:t>3277</w:t>
      </w:r>
      <w:r>
        <w:rPr>
          <w:rFonts w:hint="eastAsia"/>
        </w:rPr>
        <w:t>至</w:t>
      </w:r>
      <w:r>
        <w:rPr>
          <w:rFonts w:hint="eastAsia"/>
        </w:rPr>
        <w:t>3279</w:t>
      </w:r>
      <w:r>
        <w:rPr>
          <w:rFonts w:hint="eastAsia"/>
        </w:rPr>
        <w:t>次会议上审议了第二次报告。</w:t>
      </w:r>
    </w:p>
    <w:p w:rsidR="00DB3DD4" w:rsidRDefault="00DB3DD4" w:rsidP="00DB3DD4">
      <w:pPr>
        <w:pStyle w:val="SingleTxt"/>
      </w:pPr>
      <w:r>
        <w:rPr>
          <w:rFonts w:hint="eastAsia"/>
        </w:rPr>
        <w:t xml:space="preserve">250.  </w:t>
      </w:r>
      <w:r>
        <w:rPr>
          <w:rFonts w:hint="eastAsia"/>
        </w:rPr>
        <w:t>委员会在</w:t>
      </w:r>
      <w:r>
        <w:rPr>
          <w:rFonts w:hint="eastAsia"/>
        </w:rPr>
        <w:t>2015</w:t>
      </w:r>
      <w:r>
        <w:rPr>
          <w:rFonts w:hint="eastAsia"/>
        </w:rPr>
        <w:t>年</w:t>
      </w:r>
      <w:r>
        <w:rPr>
          <w:rFonts w:hint="eastAsia"/>
        </w:rPr>
        <w:t>7</w:t>
      </w:r>
      <w:r>
        <w:rPr>
          <w:rFonts w:hint="eastAsia"/>
        </w:rPr>
        <w:t>月</w:t>
      </w:r>
      <w:r>
        <w:rPr>
          <w:rFonts w:hint="eastAsia"/>
        </w:rPr>
        <w:t>28</w:t>
      </w:r>
      <w:r>
        <w:rPr>
          <w:rFonts w:hint="eastAsia"/>
        </w:rPr>
        <w:t>日举行的第</w:t>
      </w:r>
      <w:r>
        <w:rPr>
          <w:rFonts w:hint="eastAsia"/>
        </w:rPr>
        <w:t>3279</w:t>
      </w:r>
      <w:r>
        <w:rPr>
          <w:rFonts w:hint="eastAsia"/>
        </w:rPr>
        <w:t>次会议上将准则草案</w:t>
      </w:r>
      <w:r>
        <w:rPr>
          <w:rFonts w:hint="eastAsia"/>
        </w:rPr>
        <w:t>1</w:t>
      </w:r>
      <w:r>
        <w:rPr>
          <w:rFonts w:hint="eastAsia"/>
        </w:rPr>
        <w:t>至</w:t>
      </w:r>
      <w:r>
        <w:rPr>
          <w:rFonts w:hint="eastAsia"/>
        </w:rPr>
        <w:t>6</w:t>
      </w:r>
      <w:r>
        <w:rPr>
          <w:rFonts w:hint="eastAsia"/>
        </w:rPr>
        <w:t>送交起草委员会。</w:t>
      </w:r>
    </w:p>
    <w:p w:rsidR="00DB3DD4" w:rsidRDefault="00DB3DD4" w:rsidP="00DB3DD4">
      <w:pPr>
        <w:pStyle w:val="SingleTxt"/>
      </w:pPr>
      <w:r>
        <w:rPr>
          <w:rFonts w:hint="eastAsia"/>
        </w:rPr>
        <w:t xml:space="preserve">251.  </w:t>
      </w:r>
      <w:r>
        <w:rPr>
          <w:rFonts w:hint="eastAsia"/>
        </w:rPr>
        <w:t>起草委员会主席在</w:t>
      </w:r>
      <w:r>
        <w:rPr>
          <w:rFonts w:hint="eastAsia"/>
        </w:rPr>
        <w:t>2015</w:t>
      </w:r>
      <w:r>
        <w:rPr>
          <w:rFonts w:hint="eastAsia"/>
        </w:rPr>
        <w:t>年</w:t>
      </w:r>
      <w:r>
        <w:rPr>
          <w:rFonts w:hint="eastAsia"/>
        </w:rPr>
        <w:t>8</w:t>
      </w:r>
      <w:r>
        <w:rPr>
          <w:rFonts w:hint="eastAsia"/>
        </w:rPr>
        <w:t>月</w:t>
      </w:r>
      <w:r>
        <w:rPr>
          <w:rFonts w:hint="eastAsia"/>
        </w:rPr>
        <w:t>4</w:t>
      </w:r>
      <w:r>
        <w:rPr>
          <w:rFonts w:hint="eastAsia"/>
        </w:rPr>
        <w:t>日的第</w:t>
      </w:r>
      <w:r>
        <w:rPr>
          <w:rFonts w:hint="eastAsia"/>
        </w:rPr>
        <w:t>3284</w:t>
      </w:r>
      <w:r>
        <w:rPr>
          <w:rFonts w:hint="eastAsia"/>
        </w:rPr>
        <w:t>次会议上，临时就起草委员会在第六十七届会议上暂时通过的准则草案</w:t>
      </w:r>
      <w:r>
        <w:rPr>
          <w:rFonts w:hint="eastAsia"/>
        </w:rPr>
        <w:t>1</w:t>
      </w:r>
      <w:r>
        <w:rPr>
          <w:rFonts w:hint="eastAsia"/>
        </w:rPr>
        <w:t>至</w:t>
      </w:r>
      <w:r>
        <w:rPr>
          <w:rFonts w:hint="eastAsia"/>
        </w:rPr>
        <w:t>3</w:t>
      </w:r>
      <w:r>
        <w:rPr>
          <w:rFonts w:hint="eastAsia"/>
        </w:rPr>
        <w:t>作了口头报告。该报告在目前阶段仅供参考，报告和准则草案可查阅委员会网站。</w:t>
      </w:r>
      <w:r w:rsidRPr="003F1277">
        <w:rPr>
          <w:rStyle w:val="a3"/>
        </w:rPr>
        <w:footnoteReference w:id="395"/>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0838A5">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Pr>
          <w:rFonts w:hint="eastAsia"/>
        </w:rPr>
        <w:tab/>
        <w:t>特别报告员介绍第三次报告</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252.  </w:t>
      </w:r>
      <w:r>
        <w:rPr>
          <w:rFonts w:hint="eastAsia"/>
        </w:rPr>
        <w:t>特别报告员在介绍第三次报告时回顾了委员会在以往届会上开展的工作以及他前两次报告的内容和目的。他尤其再次提到他的评价：视所涉条约的具体特征而定，同意暂时适用某一条约的国家，条约暂时适用产生的权利和义务与条约生效产生的权利和义务相同，违反条约暂时适用产生的义务，即引起国家的责任。</w:t>
      </w:r>
    </w:p>
    <w:p w:rsidR="00DB3DD4" w:rsidRDefault="00DB3DD4" w:rsidP="00DB3DD4">
      <w:pPr>
        <w:pStyle w:val="SingleTxt"/>
      </w:pPr>
      <w:r>
        <w:rPr>
          <w:rFonts w:hint="eastAsia"/>
        </w:rPr>
        <w:t xml:space="preserve">253.  </w:t>
      </w:r>
      <w:r>
        <w:rPr>
          <w:rFonts w:hint="eastAsia"/>
        </w:rPr>
        <w:t>大约有</w:t>
      </w:r>
      <w:r>
        <w:rPr>
          <w:rFonts w:hint="eastAsia"/>
        </w:rPr>
        <w:t>20</w:t>
      </w:r>
      <w:r>
        <w:rPr>
          <w:rFonts w:hint="eastAsia"/>
        </w:rPr>
        <w:t>个成员国提供了关于其实践的评论。虽然特别报告员注意到各国的实践并不一致，但他仍然认为，没有必要对各国的法律进行比较研究。他指出，有暂时适用规定并确实得到暂时适用的条约数目是比较多的。</w:t>
      </w:r>
    </w:p>
    <w:p w:rsidR="00DB3DD4" w:rsidRDefault="00DB3DD4" w:rsidP="00DB3DD4">
      <w:pPr>
        <w:pStyle w:val="SingleTxt"/>
      </w:pPr>
      <w:r>
        <w:rPr>
          <w:rFonts w:hint="eastAsia"/>
        </w:rPr>
        <w:t xml:space="preserve">254.  </w:t>
      </w:r>
      <w:r>
        <w:rPr>
          <w:rFonts w:hint="eastAsia"/>
        </w:rPr>
        <w:t>特别报告员的第三次报告侧重两大问题：第一，与</w:t>
      </w:r>
      <w:r>
        <w:rPr>
          <w:rFonts w:hint="eastAsia"/>
        </w:rPr>
        <w:t>1969</w:t>
      </w:r>
      <w:r>
        <w:rPr>
          <w:rFonts w:hint="eastAsia"/>
        </w:rPr>
        <w:t>年《维也纳公约》其他规定的关系；第二，国际组织实践中的条约暂时适用。关于前者，他的分析无意做到包罗万象，而是侧重于第十一条</w:t>
      </w:r>
      <w:r>
        <w:rPr>
          <w:rFonts w:hint="eastAsia"/>
        </w:rPr>
        <w:t>(</w:t>
      </w:r>
      <w:r>
        <w:rPr>
          <w:rFonts w:hint="eastAsia"/>
        </w:rPr>
        <w:t>表示同意承受条约拘束之方式</w:t>
      </w:r>
      <w:r>
        <w:rPr>
          <w:rFonts w:hint="eastAsia"/>
        </w:rPr>
        <w:t>)</w:t>
      </w:r>
      <w:r>
        <w:rPr>
          <w:rFonts w:hint="eastAsia"/>
        </w:rPr>
        <w:t>、第十八条</w:t>
      </w:r>
      <w:r>
        <w:rPr>
          <w:rFonts w:hint="eastAsia"/>
        </w:rPr>
        <w:t>(</w:t>
      </w:r>
      <w:r>
        <w:rPr>
          <w:rFonts w:hint="eastAsia"/>
        </w:rPr>
        <w:t>不得妨碍条约目标及宗旨之义务</w:t>
      </w:r>
      <w:r>
        <w:rPr>
          <w:rFonts w:hint="eastAsia"/>
        </w:rPr>
        <w:t>)</w:t>
      </w:r>
      <w:r>
        <w:rPr>
          <w:rFonts w:hint="eastAsia"/>
        </w:rPr>
        <w:t>、第二十四条</w:t>
      </w:r>
      <w:r>
        <w:rPr>
          <w:rFonts w:hint="eastAsia"/>
        </w:rPr>
        <w:t>(</w:t>
      </w:r>
      <w:r>
        <w:rPr>
          <w:rFonts w:hint="eastAsia"/>
        </w:rPr>
        <w:t>生效</w:t>
      </w:r>
      <w:r>
        <w:rPr>
          <w:rFonts w:hint="eastAsia"/>
        </w:rPr>
        <w:t>)</w:t>
      </w:r>
      <w:r>
        <w:rPr>
          <w:rFonts w:hint="eastAsia"/>
        </w:rPr>
        <w:t>、第二十六条</w:t>
      </w:r>
      <w:r>
        <w:rPr>
          <w:rFonts w:hint="eastAsia"/>
        </w:rPr>
        <w:t>(</w:t>
      </w:r>
      <w:r>
        <w:rPr>
          <w:rFonts w:hint="eastAsia"/>
        </w:rPr>
        <w:t>条约必须遵守</w:t>
      </w:r>
      <w:r>
        <w:rPr>
          <w:rFonts w:hint="eastAsia"/>
        </w:rPr>
        <w:t>)</w:t>
      </w:r>
      <w:r>
        <w:rPr>
          <w:rFonts w:hint="eastAsia"/>
        </w:rPr>
        <w:t>和第二十七条</w:t>
      </w:r>
      <w:r>
        <w:rPr>
          <w:rFonts w:hint="eastAsia"/>
        </w:rPr>
        <w:t>(</w:t>
      </w:r>
      <w:r>
        <w:rPr>
          <w:rFonts w:hint="eastAsia"/>
        </w:rPr>
        <w:t>国内法与条约之遵守</w:t>
      </w:r>
      <w:r>
        <w:rPr>
          <w:rFonts w:hint="eastAsia"/>
        </w:rPr>
        <w:t>)</w:t>
      </w:r>
      <w:r>
        <w:rPr>
          <w:rFonts w:hint="eastAsia"/>
        </w:rPr>
        <w:t>。选择这些条款是因为这些条款天生与暂时适用存在密切联系。关于国家之间、国家与国际组织之间或国际组织相互之间暂时适用的问题，特别报告员说，秘书处的备忘录显然表明，各国认为</w:t>
      </w:r>
      <w:r>
        <w:rPr>
          <w:rFonts w:hint="eastAsia"/>
        </w:rPr>
        <w:t>1969</w:t>
      </w:r>
      <w:r>
        <w:rPr>
          <w:rFonts w:hint="eastAsia"/>
        </w:rPr>
        <w:t>年《维也纳公约》采用的措辞是站得住脚的。不过，特别报告员重申，他认为分析</w:t>
      </w:r>
      <w:r>
        <w:rPr>
          <w:rFonts w:hint="eastAsia"/>
        </w:rPr>
        <w:t>1969</w:t>
      </w:r>
      <w:r>
        <w:rPr>
          <w:rFonts w:hint="eastAsia"/>
        </w:rPr>
        <w:t>年《维也纳公约》第二十五条是否体现了习惯国际法不会影响到对本专题采取的总体方针。</w:t>
      </w:r>
    </w:p>
    <w:p w:rsidR="00DB3DD4" w:rsidRDefault="00DB3DD4" w:rsidP="00DB3DD4">
      <w:pPr>
        <w:pStyle w:val="SingleTxt"/>
      </w:pPr>
      <w:r>
        <w:rPr>
          <w:rFonts w:hint="eastAsia"/>
        </w:rPr>
        <w:t xml:space="preserve">255.  </w:t>
      </w:r>
      <w:r>
        <w:rPr>
          <w:rFonts w:hint="eastAsia"/>
        </w:rPr>
        <w:t>特别报告员报告的第四章侧重于几个方面：</w:t>
      </w:r>
      <w:r>
        <w:rPr>
          <w:rFonts w:hint="eastAsia"/>
        </w:rPr>
        <w:t xml:space="preserve">(1) </w:t>
      </w:r>
      <w:r>
        <w:rPr>
          <w:rFonts w:hint="eastAsia"/>
        </w:rPr>
        <w:t>通过条约暂时适用建立起来的国际组织或国际制度；</w:t>
      </w:r>
      <w:r>
        <w:rPr>
          <w:rFonts w:hint="eastAsia"/>
        </w:rPr>
        <w:t xml:space="preserve">(2) </w:t>
      </w:r>
      <w:r>
        <w:rPr>
          <w:rFonts w:hint="eastAsia"/>
        </w:rPr>
        <w:t>国际组织内部或在国际组织主持下召开的外交会议上</w:t>
      </w:r>
      <w:r>
        <w:rPr>
          <w:rFonts w:hint="eastAsia"/>
        </w:rPr>
        <w:lastRenderedPageBreak/>
        <w:t>谈判达成的条约的暂时适用；</w:t>
      </w:r>
      <w:r>
        <w:rPr>
          <w:rFonts w:hint="eastAsia"/>
        </w:rPr>
        <w:t xml:space="preserve">(3) </w:t>
      </w:r>
      <w:r>
        <w:rPr>
          <w:rFonts w:hint="eastAsia"/>
        </w:rPr>
        <w:t>国际组织为缔约方的条约的暂时适用。关于国际组织或国际制度的建立，特别报告员澄清说，他指的是通过条约建立起来、在条约适用方面发挥重大作用的国际组织，即使本意上并没有要使这些组织成为完全正式的国际组织。关于在国际组织内部或在国际组织主持下召开的外交会议上谈判达成的条约的暂时适用，特别报告员特别提到了全面禁止核试验条约组织</w:t>
      </w:r>
      <w:r>
        <w:rPr>
          <w:rFonts w:hint="eastAsia"/>
        </w:rPr>
        <w:t>(</w:t>
      </w:r>
      <w:r>
        <w:rPr>
          <w:rFonts w:hint="eastAsia"/>
        </w:rPr>
        <w:t>禁核试组织</w:t>
      </w:r>
      <w:r>
        <w:rPr>
          <w:rFonts w:hint="eastAsia"/>
        </w:rPr>
        <w:t>)</w:t>
      </w:r>
      <w:r>
        <w:rPr>
          <w:rFonts w:hint="eastAsia"/>
        </w:rPr>
        <w:t>的设立。虽然公约尚未生效，但禁核试组织已经以过渡形式运作了将近二十年。特别报告员还提到，在西非经济共同体主持下谈判的条约有五十多项，其中很大一部分都作出了暂时适用条约的规定。他请委员会考虑是否有可能研究区域性国际组织暂时适用条约的实践。</w:t>
      </w:r>
    </w:p>
    <w:p w:rsidR="00DB3DD4" w:rsidRDefault="00DB3DD4" w:rsidP="00DB3DD4">
      <w:pPr>
        <w:pStyle w:val="SingleTxt"/>
      </w:pPr>
      <w:r>
        <w:rPr>
          <w:rFonts w:hint="eastAsia"/>
        </w:rPr>
        <w:t xml:space="preserve">256.  </w:t>
      </w:r>
      <w:r>
        <w:rPr>
          <w:rFonts w:hint="eastAsia"/>
        </w:rPr>
        <w:t>他认为，委员会面前的任务是为希望暂时适用条约的国家制定一套准则，他建议委员会，也可考虑在这些准则的范围之内拟订示范条款，为谈判国提供指导。他指出，关于条约暂时适用的六条准则草案是三次报告的审议结果，这三次报告应相互参照阅读。起草准则草案的出发点是</w:t>
      </w:r>
      <w:r>
        <w:rPr>
          <w:rFonts w:hint="eastAsia"/>
        </w:rPr>
        <w:t>1969</w:t>
      </w:r>
      <w:r>
        <w:rPr>
          <w:rFonts w:hint="eastAsia"/>
        </w:rPr>
        <w:t>年和</w:t>
      </w:r>
      <w:r>
        <w:rPr>
          <w:rFonts w:hint="eastAsia"/>
        </w:rPr>
        <w:t>1986</w:t>
      </w:r>
      <w:r>
        <w:rPr>
          <w:rFonts w:hint="eastAsia"/>
        </w:rPr>
        <w:t>年《维也纳公约》第二十五条。</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Pr>
          <w:rFonts w:hint="eastAsia"/>
        </w:rPr>
        <w:tab/>
        <w:t>辩论摘要</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一般评论</w:t>
      </w: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257.  </w:t>
      </w:r>
      <w:r>
        <w:rPr>
          <w:rFonts w:hint="eastAsia"/>
        </w:rPr>
        <w:t>委员们普遍认为，关于国家加入条约的方式</w:t>
      </w:r>
      <w:r>
        <w:rPr>
          <w:rFonts w:hint="eastAsia"/>
        </w:rPr>
        <w:t>(</w:t>
      </w:r>
      <w:r>
        <w:rPr>
          <w:rFonts w:hint="eastAsia"/>
        </w:rPr>
        <w:t>无论是否暂时加入</w:t>
      </w:r>
      <w:r>
        <w:rPr>
          <w:rFonts w:hint="eastAsia"/>
        </w:rPr>
        <w:t>)</w:t>
      </w:r>
      <w:r>
        <w:rPr>
          <w:rFonts w:hint="eastAsia"/>
        </w:rPr>
        <w:t>的国内法律和实践存在很大差异，即使可以分门别类，也很可能对确定国际法下的相关规则没有帮助。还有人告诫说，根据国内法接受还是不接受、以及在何种程度上接受或不接受条约的暂时适用对国家进行分类，需要慎重从事。有委员指出，在有些国家的法律制度中，是否可以暂时适用条约一直有争议。</w:t>
      </w:r>
    </w:p>
    <w:p w:rsidR="00DB3DD4" w:rsidRDefault="00DB3DD4" w:rsidP="00DB3DD4">
      <w:pPr>
        <w:pStyle w:val="SingleTxt"/>
      </w:pPr>
      <w:r>
        <w:rPr>
          <w:rFonts w:hint="eastAsia"/>
        </w:rPr>
        <w:t xml:space="preserve">258.  </w:t>
      </w:r>
      <w:r>
        <w:rPr>
          <w:rFonts w:hint="eastAsia"/>
        </w:rPr>
        <w:t>还有一些委员认为，国内规则不可忽视。应该分析关于同意暂时适用之前所适用程序的不同国内法和实践，可帮助更深入地了解各国如何看待暂时适用作为一种法律现象所具有的性质。例如，各国在实践中对第二十五条的解释是否看似表明，作为国际法事项，国家只有在国内法规定的情况下才能诉诸第二十五条，这一点值得评估。还有人指出，委员会首先必须就</w:t>
      </w:r>
      <w:r>
        <w:rPr>
          <w:rFonts w:hint="eastAsia"/>
        </w:rPr>
        <w:t>1969</w:t>
      </w:r>
      <w:r>
        <w:rPr>
          <w:rFonts w:hint="eastAsia"/>
        </w:rPr>
        <w:t>年《维也纳公约》第四十六条</w:t>
      </w:r>
      <w:r>
        <w:rPr>
          <w:rFonts w:hint="eastAsia"/>
        </w:rPr>
        <w:t>(</w:t>
      </w:r>
      <w:r>
        <w:rPr>
          <w:rFonts w:hint="eastAsia"/>
        </w:rPr>
        <w:t>国内法关于缔约权限之规定</w:t>
      </w:r>
      <w:r>
        <w:rPr>
          <w:rFonts w:hint="eastAsia"/>
        </w:rPr>
        <w:t>)</w:t>
      </w:r>
      <w:r>
        <w:rPr>
          <w:rFonts w:hint="eastAsia"/>
        </w:rPr>
        <w:t>是否适用于条约的暂时适用采取立场。有的委员说，国内法与国际法之间的互动可能采取两种不同的形式。首先，国内法的规定可以涉及国家对于暂时适用条约表示同意的程序或条件。第二，某项允许暂时适用的条约的有关规定有时也会参考国内实体法。</w:t>
      </w:r>
    </w:p>
    <w:p w:rsidR="00DB3DD4" w:rsidRDefault="00DB3DD4" w:rsidP="00DB3DD4">
      <w:pPr>
        <w:pStyle w:val="SingleTxt"/>
      </w:pPr>
      <w:r>
        <w:rPr>
          <w:rFonts w:hint="eastAsia"/>
        </w:rPr>
        <w:t xml:space="preserve">259.  </w:t>
      </w:r>
      <w:r>
        <w:rPr>
          <w:rFonts w:hint="eastAsia"/>
        </w:rPr>
        <w:t>委员会的一些委员指出，虽然</w:t>
      </w:r>
      <w:r>
        <w:rPr>
          <w:rFonts w:hint="eastAsia"/>
        </w:rPr>
        <w:t>1969</w:t>
      </w:r>
      <w:r>
        <w:rPr>
          <w:rFonts w:hint="eastAsia"/>
        </w:rPr>
        <w:t>年《维也纳公约》第二十五条是条约暂时适用这一法律制度的依据，但是并未回答与条约暂时适用有关的所有问题。有人指出，委员会应当就以下问题为国家提供指导：哪些国家可以商定条约的暂时适用</w:t>
      </w:r>
      <w:r>
        <w:rPr>
          <w:rFonts w:hint="eastAsia"/>
        </w:rPr>
        <w:t>(</w:t>
      </w:r>
      <w:r>
        <w:rPr>
          <w:rFonts w:hint="eastAsia"/>
        </w:rPr>
        <w:t>只有谈判国，还是也包括其他国家</w:t>
      </w:r>
      <w:r>
        <w:rPr>
          <w:rFonts w:hint="eastAsia"/>
        </w:rPr>
        <w:t>)</w:t>
      </w:r>
      <w:r>
        <w:rPr>
          <w:rFonts w:hint="eastAsia"/>
        </w:rPr>
        <w:t>；暂时适用协议是否必须具有法律约束力；暂时适用协议是否可以采取默认或暗示的形式。还有人指出，委员会应当就国际法还有哪些其他规则</w:t>
      </w:r>
      <w:r w:rsidRPr="00954933">
        <w:rPr>
          <w:rFonts w:hint="eastAsia"/>
          <w:spacing w:val="-50"/>
        </w:rPr>
        <w:t>―</w:t>
      </w:r>
      <w:r>
        <w:rPr>
          <w:rFonts w:hint="eastAsia"/>
        </w:rPr>
        <w:t>―例如关于责任和继承的规则</w:t>
      </w:r>
      <w:r w:rsidRPr="00954933">
        <w:rPr>
          <w:rFonts w:hint="eastAsia"/>
          <w:spacing w:val="-50"/>
        </w:rPr>
        <w:t>―</w:t>
      </w:r>
      <w:r>
        <w:rPr>
          <w:rFonts w:hint="eastAsia"/>
        </w:rPr>
        <w:t>―适用于暂时适用的条约，为国家提供指导。</w:t>
      </w:r>
    </w:p>
    <w:p w:rsidR="00DB3DD4" w:rsidRDefault="00DB3DD4" w:rsidP="00DB3DD4">
      <w:pPr>
        <w:pStyle w:val="SingleTxt"/>
      </w:pPr>
      <w:r>
        <w:rPr>
          <w:rFonts w:hint="eastAsia"/>
        </w:rPr>
        <w:lastRenderedPageBreak/>
        <w:t xml:space="preserve">260.  </w:t>
      </w:r>
      <w:r>
        <w:rPr>
          <w:rFonts w:hint="eastAsia"/>
        </w:rPr>
        <w:t>委员们普遍同意，条约的暂时适用具有法律效果，并产生了权利和义务。不过，请特别报告员进一步论证他的结论，即暂时适用的法律效果与条约生效后的法律效果相同，不能事后因条约适用的暂时性而对这类法律效果提出质疑。并不完全清楚的是，暂时适用是否与条约生效产生完全相同的效果。提出了若干可能性。一种解决办法是，将暂时适用与</w:t>
      </w:r>
      <w:r>
        <w:rPr>
          <w:rFonts w:hint="eastAsia"/>
        </w:rPr>
        <w:t>1969</w:t>
      </w:r>
      <w:r>
        <w:rPr>
          <w:rFonts w:hint="eastAsia"/>
        </w:rPr>
        <w:t>年《维也纳公约》第七十条下的条约终止制度作比较。另一种可能性是，援引</w:t>
      </w:r>
      <w:r>
        <w:rPr>
          <w:rFonts w:hint="eastAsia"/>
        </w:rPr>
        <w:t>1969</w:t>
      </w:r>
      <w:r>
        <w:rPr>
          <w:rFonts w:hint="eastAsia"/>
        </w:rPr>
        <w:t>年《维也纳公约》关于条约失效之后果的规定</w:t>
      </w:r>
      <w:r>
        <w:rPr>
          <w:rFonts w:hint="eastAsia"/>
        </w:rPr>
        <w:t>(</w:t>
      </w:r>
      <w:r>
        <w:rPr>
          <w:rFonts w:hint="eastAsia"/>
        </w:rPr>
        <w:t>第六十九条</w:t>
      </w:r>
      <w:r>
        <w:rPr>
          <w:rFonts w:hint="eastAsia"/>
        </w:rPr>
        <w:t>)</w:t>
      </w:r>
      <w:r>
        <w:rPr>
          <w:rFonts w:hint="eastAsia"/>
        </w:rPr>
        <w:t>，在这种情况下，出于善意实施的行为可对条约缔约方具有约束力。另外有人认为，暂时适用的法律效果虽然在实践中可能与条约生效后的法律效果相同，但暂时适用只是临时性的，仅对同意暂时适用条约的国家才具有法律效果，而且只有条约中同意暂时适用的部分才具有这样的效果。另外有意见说，特别报告员还可以处理这两种制度的终止和暂停程序是否相同的问题。</w:t>
      </w:r>
    </w:p>
    <w:p w:rsidR="00DB3DD4" w:rsidRDefault="00DB3DD4" w:rsidP="00DB3DD4">
      <w:pPr>
        <w:pStyle w:val="SingleTxt"/>
      </w:pPr>
      <w:r>
        <w:rPr>
          <w:rFonts w:hint="eastAsia"/>
        </w:rPr>
        <w:t xml:space="preserve">261.  </w:t>
      </w:r>
      <w:r>
        <w:rPr>
          <w:rFonts w:hint="eastAsia"/>
        </w:rPr>
        <w:t>特别报告员提出，暂时适用条约的法律效果与条约生效的效果相同。委员们对特别报告员的这一评价表示赞同。有人指出，国家不能以条约暂时适用为借口，说它不能接受暂时适用该条约的义务产生的某些效果的有效性。因此，</w:t>
      </w:r>
      <w:r>
        <w:rPr>
          <w:rFonts w:hint="eastAsia"/>
        </w:rPr>
        <w:t>1969</w:t>
      </w:r>
      <w:r>
        <w:rPr>
          <w:rFonts w:hint="eastAsia"/>
        </w:rPr>
        <w:t>年《维也纳公约》第二十六条中“条约必须遵守”的规则适用于暂时适用的条约。与违反已生效条约的情况一样，违反暂时适用的条约也会触发不法行为国际责任适用规则的执行。另有看法认为，已生效条约与暂时适用的条约之间的区别与其说是实质性的，不如说是程序性的，只不过暂时适用更容易开始和结束。一些委员指出，</w:t>
      </w:r>
      <w:r>
        <w:rPr>
          <w:rFonts w:hint="eastAsia"/>
        </w:rPr>
        <w:t>1969</w:t>
      </w:r>
      <w:r>
        <w:rPr>
          <w:rFonts w:hint="eastAsia"/>
        </w:rPr>
        <w:t>年《维也纳公约》第二十七条也适用于暂时适用的条约。</w:t>
      </w:r>
    </w:p>
    <w:p w:rsidR="00DB3DD4" w:rsidRDefault="00DB3DD4" w:rsidP="00DB3DD4">
      <w:pPr>
        <w:pStyle w:val="SingleTxt"/>
      </w:pPr>
      <w:r>
        <w:rPr>
          <w:rFonts w:hint="eastAsia"/>
        </w:rPr>
        <w:t xml:space="preserve">262.  </w:t>
      </w:r>
      <w:r>
        <w:rPr>
          <w:rFonts w:hint="eastAsia"/>
        </w:rPr>
        <w:t>关于报告中提到的叙利亚通过单方面声明暂时适用《化学武器公约》的例子，有些委员认为，除非特别报告员认为当事方对叙利亚单方面声明保持沉默或不作为即证明同意，否则这不属于</w:t>
      </w:r>
      <w:r>
        <w:rPr>
          <w:rFonts w:hint="eastAsia"/>
        </w:rPr>
        <w:t>1969</w:t>
      </w:r>
      <w:r>
        <w:rPr>
          <w:rFonts w:hint="eastAsia"/>
        </w:rPr>
        <w:t>年《维也纳公约》第二十五条下严格意义的暂时适用。如果保持沉默或不作为即证明同意，那么就需要对第二十五条中“以其他方式协议如此办理”一语作进一步分析，以便确定以沉默或不作为为形式的默认是否能代表同意暂时适用条约。另一种看法认为，由于保存人已经把叙利亚暂时适用的声明通知缔约各国，对这一决定没有提出反对，因此，当事各方已经默示同意了条约的暂时适用。</w:t>
      </w:r>
    </w:p>
    <w:p w:rsidR="00DB3DD4" w:rsidRDefault="00DB3DD4" w:rsidP="00DB3DD4">
      <w:pPr>
        <w:pStyle w:val="SingleTxt"/>
      </w:pPr>
      <w:r>
        <w:rPr>
          <w:rFonts w:hint="eastAsia"/>
        </w:rPr>
        <w:t xml:space="preserve">263.  </w:t>
      </w:r>
      <w:r>
        <w:rPr>
          <w:rFonts w:hint="eastAsia"/>
        </w:rPr>
        <w:t>至于今后的工作，建议特别报告员把重点放在终止和暂停暂时适用的法律制度和模式上。例如，不妨了解一项条约的暂时适用可能在多大程度上因为同样暂时适用该条约的另一缔约方的违约行为而暂停或终止，或在多大程度上因为不确定条约是否会最终生效而暂停或终止。有委员表示，暂时适用的无限期延续可能引起不希望看到的后果，特别是因为可以对暂时适用采用第二十五条第二款规定的简化的终止方式。</w:t>
      </w:r>
    </w:p>
    <w:p w:rsidR="00DB3DD4" w:rsidRDefault="00DB3DD4" w:rsidP="00DB3DD4">
      <w:pPr>
        <w:pStyle w:val="SingleTxt"/>
      </w:pPr>
      <w:r>
        <w:rPr>
          <w:rFonts w:hint="eastAsia"/>
        </w:rPr>
        <w:t xml:space="preserve">264.  </w:t>
      </w:r>
      <w:r>
        <w:rPr>
          <w:rFonts w:hint="eastAsia"/>
        </w:rPr>
        <w:t>还有人建议特别报告员争取找出经常暂时适用的条约类型和条约规定，并且弄清是否有某些类型的条约对暂时适用采用类似的处理办法。同样，暂时适用的受益方也被看作是值得讨论的问题。此外，还建议特别报告员分析用来调整所承担义务以符合国内法或将遵守国内法作为暂时适用的条件的限制性条款。</w:t>
      </w:r>
    </w:p>
    <w:p w:rsidR="00DB3DD4" w:rsidRDefault="00DB3DD4" w:rsidP="00DB3DD4">
      <w:pPr>
        <w:pStyle w:val="SingleTxt"/>
      </w:pPr>
      <w:r>
        <w:rPr>
          <w:rFonts w:hint="eastAsia"/>
        </w:rPr>
        <w:lastRenderedPageBreak/>
        <w:t xml:space="preserve">265.  </w:t>
      </w:r>
      <w:r>
        <w:rPr>
          <w:rFonts w:hint="eastAsia"/>
        </w:rPr>
        <w:t>一些委员赞成值得起草示范条款的意见，结合准则草案，这可能对各国和国际组织具有实际重要性。但是，还有一些委员建议特别报告员不要拟定关于条约暂时适用的示范条款，鉴于各国法律制度不同，这可能是一项繁复的工作。</w:t>
      </w:r>
      <w:r>
        <w:rPr>
          <w:rFonts w:hint="eastAsia"/>
        </w:rPr>
        <w:t xml:space="preserve"> </w:t>
      </w:r>
    </w:p>
    <w:p w:rsidR="00DB3DD4" w:rsidRPr="00954933" w:rsidRDefault="00DB3DD4" w:rsidP="00DB3DD4">
      <w:pPr>
        <w:pStyle w:val="SingleTxt"/>
        <w:spacing w:after="0" w:line="120" w:lineRule="exact"/>
        <w:rPr>
          <w:sz w:val="10"/>
        </w:rPr>
      </w:pPr>
    </w:p>
    <w:p w:rsidR="00DB3DD4" w:rsidRDefault="00DB3DD4" w:rsidP="00DB3DD4">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与1969年《维也纳公约》其他规定的关系</w:t>
      </w: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266.  </w:t>
      </w:r>
      <w:r>
        <w:rPr>
          <w:rFonts w:hint="eastAsia"/>
        </w:rPr>
        <w:t>报告对于</w:t>
      </w:r>
      <w:r>
        <w:rPr>
          <w:rFonts w:hint="eastAsia"/>
        </w:rPr>
        <w:t>1969</w:t>
      </w:r>
      <w:r>
        <w:rPr>
          <w:rFonts w:hint="eastAsia"/>
        </w:rPr>
        <w:t>年《维也纳公约》第二十五条与该《公约》其他规定的关系所作的处理受到了欢迎。有意见指出，</w:t>
      </w:r>
      <w:r>
        <w:rPr>
          <w:rFonts w:hint="eastAsia"/>
        </w:rPr>
        <w:t>1969</w:t>
      </w:r>
      <w:r>
        <w:rPr>
          <w:rFonts w:hint="eastAsia"/>
        </w:rPr>
        <w:t>年《维也纳公约》的其他一些规定也具有相关性。例如，这种意见认为，第六十条就是相关的，因为实质性违反暂时适用的条约可能导致暂时适用的暂停或终止。但另有意见认为，第六十条对暂时适用的条约是否会以同样方式发生作用值得怀疑。关于与第二十六条的关系，有意见指出，可以用“条约必须遵守”规则解释单方面终止暂时适用可能造成的情况。</w:t>
      </w:r>
    </w:p>
    <w:p w:rsidR="00DB3DD4" w:rsidRDefault="00DB3DD4" w:rsidP="00DB3DD4">
      <w:pPr>
        <w:pStyle w:val="SingleTxt"/>
      </w:pPr>
      <w:r>
        <w:rPr>
          <w:rFonts w:hint="eastAsia"/>
        </w:rPr>
        <w:t xml:space="preserve">267.  </w:t>
      </w:r>
      <w:r>
        <w:rPr>
          <w:rFonts w:hint="eastAsia"/>
        </w:rPr>
        <w:t>另一种看法是，没有必要扩大第二十五条与条约法其他规则之间关系的考察范围，对该条与</w:t>
      </w:r>
      <w:r>
        <w:rPr>
          <w:rFonts w:hint="eastAsia"/>
        </w:rPr>
        <w:t>1969</w:t>
      </w:r>
      <w:r>
        <w:rPr>
          <w:rFonts w:hint="eastAsia"/>
        </w:rPr>
        <w:t>年《维也纳公约》第十九条和第四十六条的关系也开展研究，因为重点最好放在说明对某个特定国家而言，暂时适用的条约与已经生效的条约有什么区别。</w:t>
      </w:r>
    </w:p>
    <w:p w:rsidR="00DB3DD4" w:rsidRPr="00954933" w:rsidRDefault="00DB3DD4" w:rsidP="00DB3DD4">
      <w:pPr>
        <w:pStyle w:val="SingleTxt"/>
        <w:spacing w:after="0" w:line="120" w:lineRule="exact"/>
        <w:rPr>
          <w:sz w:val="10"/>
        </w:rPr>
      </w:pPr>
    </w:p>
    <w:p w:rsidR="00DB3DD4" w:rsidRDefault="00DB3DD4" w:rsidP="00DB3DD4">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有国际组织参加的条约的暂时适用</w:t>
      </w: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268.  </w:t>
      </w:r>
      <w:r>
        <w:rPr>
          <w:rFonts w:hint="eastAsia"/>
        </w:rPr>
        <w:t>有些委员在发言中对</w:t>
      </w:r>
      <w:r>
        <w:rPr>
          <w:rFonts w:hint="eastAsia"/>
        </w:rPr>
        <w:t>1986</w:t>
      </w:r>
      <w:r>
        <w:rPr>
          <w:rFonts w:hint="eastAsia"/>
        </w:rPr>
        <w:t>年《维也纳公约》整个体现的是习惯国际法这种说法表示怀疑。不过，有人指出，声称</w:t>
      </w:r>
      <w:r>
        <w:rPr>
          <w:rFonts w:hint="eastAsia"/>
        </w:rPr>
        <w:t>1969</w:t>
      </w:r>
      <w:r>
        <w:rPr>
          <w:rFonts w:hint="eastAsia"/>
        </w:rPr>
        <w:t>年《维也纳公约》第二十五条以及或许还有</w:t>
      </w:r>
      <w:r>
        <w:rPr>
          <w:rFonts w:hint="eastAsia"/>
        </w:rPr>
        <w:t>1986</w:t>
      </w:r>
      <w:r>
        <w:rPr>
          <w:rFonts w:hint="eastAsia"/>
        </w:rPr>
        <w:t>年《维也纳公约》第二十五条体现了习惯国际法的一条规则是可能的。不过，特别报告员需要在今后的报告中进一步分析这个问题，才有可能得出任何此类结论。</w:t>
      </w:r>
    </w:p>
    <w:p w:rsidR="00DB3DD4" w:rsidRDefault="00DB3DD4" w:rsidP="00DB3DD4">
      <w:pPr>
        <w:pStyle w:val="SingleTxt"/>
      </w:pPr>
      <w:r>
        <w:rPr>
          <w:rFonts w:hint="eastAsia"/>
        </w:rPr>
        <w:t xml:space="preserve">269.  </w:t>
      </w:r>
      <w:r>
        <w:rPr>
          <w:rFonts w:hint="eastAsia"/>
        </w:rPr>
        <w:t>有意见认为，一项条约，即使是在国际组织之内或在国际组织主持下举行的外交会议上谈判产生，但缔结条约是有关国家的行为，而不是国际组织的行为。</w:t>
      </w:r>
    </w:p>
    <w:p w:rsidR="00DB3DD4" w:rsidRDefault="00DB3DD4" w:rsidP="00DB3DD4">
      <w:pPr>
        <w:pStyle w:val="SingleTxt"/>
      </w:pPr>
      <w:r>
        <w:rPr>
          <w:rFonts w:hint="eastAsia"/>
        </w:rPr>
        <w:t xml:space="preserve">270.  </w:t>
      </w:r>
      <w:r>
        <w:rPr>
          <w:rFonts w:hint="eastAsia"/>
        </w:rPr>
        <w:t>另有意见认为，有国际组织参加的条约的暂时适用是不同的。这种安排更为复杂，因为其设计往往是要确保所涉组织的成员和组织本身尽可能广泛地同时加入。有人认为，国际组织过去或现在是否认为暂时适用是一种有用的机制，以及这一机制是否被纳入了它们的组成规则，值得研究。</w:t>
      </w:r>
    </w:p>
    <w:p w:rsidR="00DB3DD4" w:rsidRDefault="00DB3DD4" w:rsidP="00DB3DD4">
      <w:pPr>
        <w:pStyle w:val="SingleTxt"/>
      </w:pPr>
      <w:r>
        <w:rPr>
          <w:rFonts w:hint="eastAsia"/>
        </w:rPr>
        <w:t xml:space="preserve">271.  </w:t>
      </w:r>
      <w:r>
        <w:rPr>
          <w:rFonts w:hint="eastAsia"/>
        </w:rPr>
        <w:t>还建议特别报告员审视可能有特别形式暂时适用的其他类条约。例如，总部协定一般不是永久性的，往往是针对国际组织在所涉国家内举行的某个具体会议或活动而商定。鉴于这一性质，这类协定需要立即付诸实施，因此通常包含暂时适用的规定。</w:t>
      </w:r>
    </w:p>
    <w:p w:rsidR="00DB3DD4" w:rsidRDefault="00DB3DD4" w:rsidP="00DB3DD4">
      <w:pPr>
        <w:pStyle w:val="SingleTxt"/>
      </w:pPr>
      <w:r>
        <w:rPr>
          <w:rFonts w:hint="eastAsia"/>
        </w:rPr>
        <w:t xml:space="preserve">272.  </w:t>
      </w:r>
      <w:r>
        <w:rPr>
          <w:rFonts w:hint="eastAsia"/>
        </w:rPr>
        <w:t>一些委员指出，不妨先研究国家缔结的条约的暂时适用问题，再审议有国际组织参加的条约的暂时适用问题。</w:t>
      </w:r>
    </w:p>
    <w:p w:rsidR="00DB3DD4" w:rsidRPr="00954933" w:rsidRDefault="00DB3DD4" w:rsidP="00DB3DD4">
      <w:pPr>
        <w:pStyle w:val="SingleTxt"/>
        <w:spacing w:after="0" w:line="120" w:lineRule="exact"/>
        <w:rPr>
          <w:sz w:val="10"/>
        </w:rPr>
      </w:pPr>
    </w:p>
    <w:p w:rsidR="00DB3DD4" w:rsidRDefault="00DB3DD4" w:rsidP="00786309">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(d)</w:t>
      </w:r>
      <w:r>
        <w:rPr>
          <w:rFonts w:hint="eastAsia"/>
        </w:rPr>
        <w:tab/>
        <w:t>关于准则草案的评论</w:t>
      </w: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273.  </w:t>
      </w:r>
      <w:r>
        <w:rPr>
          <w:rFonts w:hint="eastAsia"/>
        </w:rPr>
        <w:t>委员们总体上支持特别报告员出于为各国和国际组织提供一项实用工具的目的拟订准则草案的做法。但有些委员认为，特别报告员拟议的准则草案最好以结论</w:t>
      </w:r>
      <w:r>
        <w:rPr>
          <w:rFonts w:hint="eastAsia"/>
        </w:rPr>
        <w:lastRenderedPageBreak/>
        <w:t>草案的形式提出。另一种一般性意见是，把国家缔结的条约与有国际组织参加的条约分开处理会更好。</w:t>
      </w:r>
    </w:p>
    <w:p w:rsidR="00DB3DD4" w:rsidRDefault="00DB3DD4" w:rsidP="00DB3DD4">
      <w:pPr>
        <w:pStyle w:val="SingleTxt"/>
      </w:pPr>
      <w:r>
        <w:rPr>
          <w:rFonts w:hint="eastAsia"/>
        </w:rPr>
        <w:t xml:space="preserve">274.  </w:t>
      </w:r>
      <w:r>
        <w:rPr>
          <w:rFonts w:hint="eastAsia"/>
        </w:rPr>
        <w:t>关于准则草案</w:t>
      </w:r>
      <w:r>
        <w:rPr>
          <w:rFonts w:hint="eastAsia"/>
        </w:rPr>
        <w:t xml:space="preserve">1, </w:t>
      </w:r>
      <w:r>
        <w:rPr>
          <w:rFonts w:hint="eastAsia"/>
        </w:rPr>
        <w:t>提出了若干起草建议，以便使这条规定更符合</w:t>
      </w:r>
      <w:r>
        <w:rPr>
          <w:rFonts w:hint="eastAsia"/>
        </w:rPr>
        <w:t>1969</w:t>
      </w:r>
      <w:r>
        <w:rPr>
          <w:rFonts w:hint="eastAsia"/>
        </w:rPr>
        <w:t>年《维也纳公约》第二十五条。例如，有人指出，提到前提是国内法不禁止暂时适用似乎不符合第二十五条，需要删除，因为意味着国家可以援引国内法逃避暂时适用条约的义务。还有人建议，这条准则草案可以与关于准则草案范围的另外一条相结合。</w:t>
      </w:r>
    </w:p>
    <w:p w:rsidR="00DB3DD4" w:rsidRDefault="00DB3DD4" w:rsidP="00DB3DD4">
      <w:pPr>
        <w:pStyle w:val="SingleTxt"/>
      </w:pPr>
      <w:r>
        <w:rPr>
          <w:rFonts w:hint="eastAsia"/>
        </w:rPr>
        <w:t xml:space="preserve">275.  </w:t>
      </w:r>
      <w:r>
        <w:rPr>
          <w:rFonts w:hint="eastAsia"/>
        </w:rPr>
        <w:t>关于准则草案</w:t>
      </w:r>
      <w:r>
        <w:rPr>
          <w:rFonts w:hint="eastAsia"/>
        </w:rPr>
        <w:t>2</w:t>
      </w:r>
      <w:r>
        <w:rPr>
          <w:rFonts w:hint="eastAsia"/>
        </w:rPr>
        <w:t>，有人建议澄清关于国际组织通过决议的提法。有人指出，在很多情况下，决议与规定暂时适用的协议不可同日而语。还有人建议，可以提到协议的其他形式，如换函或外交照会。另一种看法认为，可以就谈判国或缔约国默认第三国暂时适用条约的可能性，作出更加明确的规定。</w:t>
      </w:r>
    </w:p>
    <w:p w:rsidR="00DB3DD4" w:rsidRDefault="00DB3DD4" w:rsidP="00DB3DD4">
      <w:pPr>
        <w:pStyle w:val="SingleTxt"/>
      </w:pPr>
      <w:r>
        <w:rPr>
          <w:rFonts w:hint="eastAsia"/>
        </w:rPr>
        <w:t xml:space="preserve">276.  </w:t>
      </w:r>
      <w:r>
        <w:rPr>
          <w:rFonts w:hint="eastAsia"/>
        </w:rPr>
        <w:t>关于准则草案</w:t>
      </w:r>
      <w:r>
        <w:rPr>
          <w:rFonts w:hint="eastAsia"/>
        </w:rPr>
        <w:t xml:space="preserve">3, </w:t>
      </w:r>
      <w:r>
        <w:rPr>
          <w:rFonts w:hint="eastAsia"/>
        </w:rPr>
        <w:t>除其他外，建议简化这条规定，并提及暂时适用只在条约对有关当事方生效之前发生。有人建议，表示同意的方式与暂时适用的开始时间可分别列入两条准则草案。</w:t>
      </w:r>
    </w:p>
    <w:p w:rsidR="00DB3DD4" w:rsidRDefault="00DB3DD4" w:rsidP="00DB3DD4">
      <w:pPr>
        <w:pStyle w:val="SingleTxt"/>
      </w:pPr>
      <w:r>
        <w:rPr>
          <w:rFonts w:hint="eastAsia"/>
        </w:rPr>
        <w:t xml:space="preserve">277.  </w:t>
      </w:r>
      <w:r>
        <w:rPr>
          <w:rFonts w:hint="eastAsia"/>
        </w:rPr>
        <w:t>有建议认为，准则草案</w:t>
      </w:r>
      <w:r>
        <w:rPr>
          <w:rFonts w:hint="eastAsia"/>
        </w:rPr>
        <w:t>4</w:t>
      </w:r>
      <w:r>
        <w:rPr>
          <w:rFonts w:hint="eastAsia"/>
        </w:rPr>
        <w:t>中的“法律效果”一语应予以澄清，并进一步拟订这一规定，因为这是准则草案的关键规定。例如，可以考虑暂时适用是涉及整个条约还是仅涉及部分条款。另一种可能是，说明条约暂时适用的法律效果在暂时适用终止之后可以继续。还有人建议，这条规定的起草可以参考</w:t>
      </w:r>
      <w:r>
        <w:rPr>
          <w:rFonts w:hint="eastAsia"/>
        </w:rPr>
        <w:t>1969</w:t>
      </w:r>
      <w:r>
        <w:rPr>
          <w:rFonts w:hint="eastAsia"/>
        </w:rPr>
        <w:t>年《维也纳公约》第二十六条的措辞，可以具体说明条约的暂时适用不会引起条约内容的改变。</w:t>
      </w:r>
    </w:p>
    <w:p w:rsidR="00DB3DD4" w:rsidRDefault="00DB3DD4" w:rsidP="00DB3DD4">
      <w:pPr>
        <w:pStyle w:val="SingleTxt"/>
      </w:pPr>
      <w:r>
        <w:rPr>
          <w:rFonts w:hint="eastAsia"/>
        </w:rPr>
        <w:t xml:space="preserve">278.  </w:t>
      </w:r>
      <w:r>
        <w:rPr>
          <w:rFonts w:hint="eastAsia"/>
        </w:rPr>
        <w:t>关于准则草案</w:t>
      </w:r>
      <w:r>
        <w:rPr>
          <w:rFonts w:hint="eastAsia"/>
        </w:rPr>
        <w:t xml:space="preserve">5, </w:t>
      </w:r>
      <w:r>
        <w:rPr>
          <w:rFonts w:hint="eastAsia"/>
        </w:rPr>
        <w:t>有人建议说明暂时适用产生的义务的效果取决于国家在同意暂时适用时作出的规定。另外，需要考虑到条约生效所指的对象，是条约本身生效，还是对国家生效。有意见认为，如果是多边条约生效，暂时适用就仅对批准或者加入条约的国家而终止。但是，暂时适用对尚未批准或加入条约的任何国家都将继续，直至条约对这类国家生效。还有人认为，准则草案可以承认就暂时适用的终止规定具体条件的可能性。</w:t>
      </w:r>
    </w:p>
    <w:p w:rsidR="00DB3DD4" w:rsidRDefault="00DB3DD4" w:rsidP="00DB3DD4">
      <w:pPr>
        <w:pStyle w:val="SingleTxt"/>
      </w:pPr>
      <w:r>
        <w:rPr>
          <w:rFonts w:hint="eastAsia"/>
        </w:rPr>
        <w:t xml:space="preserve">279.  </w:t>
      </w:r>
      <w:r>
        <w:rPr>
          <w:rFonts w:hint="eastAsia"/>
        </w:rPr>
        <w:t>一些委员对是否需要准则草案</w:t>
      </w:r>
      <w:r>
        <w:rPr>
          <w:rFonts w:hint="eastAsia"/>
        </w:rPr>
        <w:t>6</w:t>
      </w:r>
      <w:r>
        <w:rPr>
          <w:rFonts w:hint="eastAsia"/>
        </w:rPr>
        <w:t>表示怀疑，另一些委员则表示有必要。有意见指出，准则草案漏掉了一个问题，即根据条约法，单方面暂停或终止暂时适用是否构成国际法之下的不法行为，从而触发关于国家对国际不法行为的责任的国际法规则。</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3.</w:t>
      </w:r>
      <w:r>
        <w:rPr>
          <w:rFonts w:hint="eastAsia"/>
        </w:rPr>
        <w:tab/>
        <w:t>特别报告员的总结</w:t>
      </w:r>
    </w:p>
    <w:p w:rsidR="00DB3DD4" w:rsidRPr="00954933" w:rsidRDefault="00DB3DD4" w:rsidP="00DB3DD4">
      <w:pPr>
        <w:pStyle w:val="SingleTxt"/>
        <w:spacing w:after="0" w:line="120" w:lineRule="exact"/>
        <w:rPr>
          <w:sz w:val="10"/>
        </w:rPr>
      </w:pPr>
    </w:p>
    <w:p w:rsidR="00DB3DD4" w:rsidRPr="00954933" w:rsidRDefault="00DB3DD4" w:rsidP="00DB3DD4">
      <w:pPr>
        <w:pStyle w:val="SingleTxt"/>
        <w:spacing w:after="0" w:line="120" w:lineRule="exact"/>
        <w:rPr>
          <w:sz w:val="10"/>
        </w:rPr>
      </w:pPr>
    </w:p>
    <w:p w:rsidR="00DB3DD4" w:rsidRDefault="00DB3DD4" w:rsidP="00DB3DD4">
      <w:pPr>
        <w:pStyle w:val="SingleTxt"/>
      </w:pPr>
      <w:r>
        <w:rPr>
          <w:rFonts w:hint="eastAsia"/>
        </w:rPr>
        <w:t xml:space="preserve">280.  </w:t>
      </w:r>
      <w:r>
        <w:rPr>
          <w:rFonts w:hint="eastAsia"/>
        </w:rPr>
        <w:t>特别报告员指出，</w:t>
      </w:r>
      <w:r>
        <w:rPr>
          <w:rFonts w:hint="eastAsia"/>
        </w:rPr>
        <w:t>1969</w:t>
      </w:r>
      <w:r>
        <w:rPr>
          <w:rFonts w:hint="eastAsia"/>
        </w:rPr>
        <w:t>年《维也纳公约》第二十五条是委员会审议本专题的出发点。只有在证明有利于弄清暂时适用的法律后果的情况下，审议才可以超出该条的范围。他认为，暂时适用的主要受益方是条约本身，因为它在没有生效的情况下就得到了适用。此外，那些可以参与暂时适用的谈判国也是潜在受益方。</w:t>
      </w:r>
    </w:p>
    <w:p w:rsidR="00DB3DD4" w:rsidRDefault="00DB3DD4" w:rsidP="00DB3DD4">
      <w:pPr>
        <w:pStyle w:val="SingleTxt"/>
      </w:pPr>
      <w:r>
        <w:rPr>
          <w:rFonts w:hint="eastAsia"/>
        </w:rPr>
        <w:t xml:space="preserve">281.  </w:t>
      </w:r>
      <w:r>
        <w:rPr>
          <w:rFonts w:hint="eastAsia"/>
        </w:rPr>
        <w:t>特别报告员说，委员会内的大多数意见都不赞成对有关暂时适用的国内法开展比较研究。同时，他提到，他继续收到成员国提交的关于其实践的材料，其中不可避免地包含这些国家国内法所采取的基本立场的信息。尽管如此，这与他表示的</w:t>
      </w:r>
      <w:r>
        <w:rPr>
          <w:rFonts w:hint="eastAsia"/>
        </w:rPr>
        <w:lastRenderedPageBreak/>
        <w:t>不作比较分析的意向并不矛盾，因为国家的国际实践才是重点。为了打消任何疑虑，他可以接受删除准则草案</w:t>
      </w:r>
      <w:r>
        <w:rPr>
          <w:rFonts w:hint="eastAsia"/>
        </w:rPr>
        <w:t>1</w:t>
      </w:r>
      <w:r>
        <w:rPr>
          <w:rFonts w:hint="eastAsia"/>
        </w:rPr>
        <w:t>中提到国内法的部分，而在相应的评注中讨论这个问题。</w:t>
      </w:r>
    </w:p>
    <w:p w:rsidR="00DB3DD4" w:rsidRDefault="00DB3DD4" w:rsidP="00DB3DD4">
      <w:pPr>
        <w:pStyle w:val="SingleTxt"/>
      </w:pPr>
      <w:r>
        <w:rPr>
          <w:rFonts w:hint="eastAsia"/>
        </w:rPr>
        <w:t xml:space="preserve">282.  </w:t>
      </w:r>
      <w:r>
        <w:rPr>
          <w:rFonts w:hint="eastAsia"/>
        </w:rPr>
        <w:t>关于假如不确定条约最终是否生效，或假如暂时适用时间过久，条约的暂时适用也可终止的说法，特别报告员表示不同意。他认为，单纯以条约生效的不可预测性为由终止暂时适用是不可行的。另外，第二十五条也没有对暂时适用的终止施加任何此类限制。</w:t>
      </w:r>
    </w:p>
    <w:p w:rsidR="00122297" w:rsidRDefault="00DB3DD4" w:rsidP="00DB3DD4">
      <w:pPr>
        <w:pStyle w:val="SingleTxt"/>
      </w:pPr>
      <w:r>
        <w:rPr>
          <w:rFonts w:hint="eastAsia"/>
        </w:rPr>
        <w:t xml:space="preserve">283.  </w:t>
      </w:r>
      <w:r>
        <w:rPr>
          <w:rFonts w:hint="eastAsia"/>
        </w:rPr>
        <w:t>他表示打算在下次报告中审议暂时适用的终止及其法律制度的问题，同时对</w:t>
      </w:r>
      <w:r>
        <w:rPr>
          <w:rFonts w:hint="eastAsia"/>
        </w:rPr>
        <w:t>1969</w:t>
      </w:r>
      <w:r>
        <w:rPr>
          <w:rFonts w:hint="eastAsia"/>
        </w:rPr>
        <w:t>年《维也纳公约》与暂时适用有关的其他条款，包括第十九条、第四十六条和第六十条进行研究。</w:t>
      </w:r>
    </w:p>
    <w:p w:rsidR="00122297" w:rsidRDefault="00122297">
      <w:pPr>
        <w:spacing w:line="240" w:lineRule="auto"/>
        <w:jc w:val="left"/>
      </w:pPr>
      <w:r>
        <w:br w:type="page"/>
      </w:r>
    </w:p>
    <w:p w:rsidR="00955333" w:rsidRPr="00955333" w:rsidRDefault="00955333" w:rsidP="0095533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22297" w:rsidRDefault="00955333" w:rsidP="0078630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122297">
        <w:rPr>
          <w:rFonts w:hint="eastAsia"/>
        </w:rPr>
        <w:t>第十二章</w:t>
      </w:r>
      <w:r w:rsidR="00122297">
        <w:br/>
      </w:r>
      <w:r w:rsidR="00122297">
        <w:rPr>
          <w:rFonts w:hint="eastAsia"/>
        </w:rPr>
        <w:t>委员会的其他决定和结论</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F13E8" w:rsidRPr="001F13E8" w:rsidRDefault="001F13E8" w:rsidP="001F13E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F13E8" w:rsidRPr="001F13E8" w:rsidRDefault="001F13E8" w:rsidP="001F13E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22297" w:rsidRDefault="00122297" w:rsidP="0078630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委员会的方案、程序和工作方法以及文件</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284.  </w:t>
      </w:r>
      <w:r>
        <w:rPr>
          <w:rFonts w:hint="eastAsia"/>
        </w:rPr>
        <w:t>在</w:t>
      </w:r>
      <w:r>
        <w:rPr>
          <w:rFonts w:hint="eastAsia"/>
        </w:rPr>
        <w:t>2015</w:t>
      </w:r>
      <w:r>
        <w:rPr>
          <w:rFonts w:hint="eastAsia"/>
        </w:rPr>
        <w:t>年</w:t>
      </w:r>
      <w:r>
        <w:rPr>
          <w:rFonts w:hint="eastAsia"/>
        </w:rPr>
        <w:t>5</w:t>
      </w:r>
      <w:r>
        <w:rPr>
          <w:rFonts w:hint="eastAsia"/>
        </w:rPr>
        <w:t>月</w:t>
      </w:r>
      <w:r>
        <w:rPr>
          <w:rFonts w:hint="eastAsia"/>
        </w:rPr>
        <w:t>8</w:t>
      </w:r>
      <w:r>
        <w:rPr>
          <w:rFonts w:hint="eastAsia"/>
        </w:rPr>
        <w:t>日第</w:t>
      </w:r>
      <w:r>
        <w:rPr>
          <w:rFonts w:hint="eastAsia"/>
        </w:rPr>
        <w:t>3248</w:t>
      </w:r>
      <w:r>
        <w:rPr>
          <w:rFonts w:hint="eastAsia"/>
        </w:rPr>
        <w:t>次会议上，委员会设立了本届会议规划组。</w:t>
      </w:r>
      <w:r w:rsidRPr="003F1277">
        <w:rPr>
          <w:rStyle w:val="a3"/>
        </w:rPr>
        <w:footnoteReference w:id="396"/>
      </w:r>
    </w:p>
    <w:p w:rsidR="00122297" w:rsidRDefault="00122297" w:rsidP="00122297">
      <w:pPr>
        <w:pStyle w:val="SingleTxt"/>
      </w:pPr>
      <w:r>
        <w:rPr>
          <w:rFonts w:hint="eastAsia"/>
        </w:rPr>
        <w:t xml:space="preserve">285.  </w:t>
      </w:r>
      <w:r>
        <w:rPr>
          <w:rFonts w:hint="eastAsia"/>
        </w:rPr>
        <w:t>规划组举行了三次会议。规划组收到的文件有：题为“委员会的其他决定和结论”的大会第六十九届会议第六委员会讨论情况专题摘要第一节；大会</w:t>
      </w:r>
      <w:r>
        <w:rPr>
          <w:rFonts w:hint="eastAsia"/>
        </w:rPr>
        <w:t>2014</w:t>
      </w:r>
      <w:r>
        <w:rPr>
          <w:rFonts w:hint="eastAsia"/>
        </w:rPr>
        <w:t>年</w:t>
      </w:r>
      <w:r>
        <w:rPr>
          <w:rFonts w:hint="eastAsia"/>
        </w:rPr>
        <w:t>12</w:t>
      </w:r>
      <w:r>
        <w:rPr>
          <w:rFonts w:hint="eastAsia"/>
        </w:rPr>
        <w:t>月</w:t>
      </w:r>
      <w:r>
        <w:rPr>
          <w:rFonts w:hint="eastAsia"/>
        </w:rPr>
        <w:t>10</w:t>
      </w:r>
      <w:r>
        <w:rPr>
          <w:rFonts w:hint="eastAsia"/>
        </w:rPr>
        <w:t>日关于国际法委员会第六十六届会议工作报告的第</w:t>
      </w:r>
      <w:r>
        <w:rPr>
          <w:rFonts w:hint="eastAsia"/>
        </w:rPr>
        <w:t>69/118</w:t>
      </w:r>
      <w:r>
        <w:rPr>
          <w:rFonts w:hint="eastAsia"/>
        </w:rPr>
        <w:t>号决议；大会</w:t>
      </w:r>
      <w:r>
        <w:rPr>
          <w:rFonts w:hint="eastAsia"/>
        </w:rPr>
        <w:t>2014</w:t>
      </w:r>
      <w:r>
        <w:rPr>
          <w:rFonts w:hint="eastAsia"/>
        </w:rPr>
        <w:t>年</w:t>
      </w:r>
      <w:r>
        <w:rPr>
          <w:rFonts w:hint="eastAsia"/>
        </w:rPr>
        <w:t>12</w:t>
      </w:r>
      <w:r>
        <w:rPr>
          <w:rFonts w:hint="eastAsia"/>
        </w:rPr>
        <w:t>月</w:t>
      </w:r>
      <w:r>
        <w:rPr>
          <w:rFonts w:hint="eastAsia"/>
        </w:rPr>
        <w:t>10</w:t>
      </w:r>
      <w:r>
        <w:rPr>
          <w:rFonts w:hint="eastAsia"/>
        </w:rPr>
        <w:t>日关于国内和国际法治的第</w:t>
      </w:r>
      <w:r>
        <w:rPr>
          <w:rFonts w:hint="eastAsia"/>
        </w:rPr>
        <w:t>69/123</w:t>
      </w:r>
      <w:r>
        <w:rPr>
          <w:rFonts w:hint="eastAsia"/>
        </w:rPr>
        <w:t>号决议。</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78630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Pr>
          <w:rFonts w:hint="eastAsia"/>
        </w:rPr>
        <w:tab/>
        <w:t>将新专题列入委员会工作方案</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286.  </w:t>
      </w:r>
      <w:r>
        <w:rPr>
          <w:rFonts w:hint="eastAsia"/>
        </w:rPr>
        <w:t>在</w:t>
      </w:r>
      <w:r>
        <w:rPr>
          <w:rFonts w:hint="eastAsia"/>
        </w:rPr>
        <w:t>2015</w:t>
      </w:r>
      <w:r>
        <w:rPr>
          <w:rFonts w:hint="eastAsia"/>
        </w:rPr>
        <w:t>年</w:t>
      </w:r>
      <w:r>
        <w:rPr>
          <w:rFonts w:hint="eastAsia"/>
        </w:rPr>
        <w:t>5</w:t>
      </w:r>
      <w:r>
        <w:rPr>
          <w:rFonts w:hint="eastAsia"/>
        </w:rPr>
        <w:t>月</w:t>
      </w:r>
      <w:r>
        <w:rPr>
          <w:rFonts w:hint="eastAsia"/>
        </w:rPr>
        <w:t>27</w:t>
      </w:r>
      <w:r>
        <w:rPr>
          <w:rFonts w:hint="eastAsia"/>
        </w:rPr>
        <w:t>日第</w:t>
      </w:r>
      <w:r>
        <w:rPr>
          <w:rFonts w:hint="eastAsia"/>
        </w:rPr>
        <w:t>3257</w:t>
      </w:r>
      <w:r>
        <w:rPr>
          <w:rFonts w:hint="eastAsia"/>
        </w:rPr>
        <w:t>次会议上，委员会决定将“强制法”专题列入工作方案并任命迪雷·特拉迪先生为该专题特别报告员。</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Pr>
          <w:rFonts w:hint="eastAsia"/>
        </w:rPr>
        <w:tab/>
        <w:t>长期工作方案工作组</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287.  </w:t>
      </w:r>
      <w:r>
        <w:rPr>
          <w:rFonts w:hint="eastAsia"/>
        </w:rPr>
        <w:t>在</w:t>
      </w:r>
      <w:r>
        <w:rPr>
          <w:rFonts w:hint="eastAsia"/>
        </w:rPr>
        <w:t>2015</w:t>
      </w:r>
      <w:r>
        <w:rPr>
          <w:rFonts w:hint="eastAsia"/>
        </w:rPr>
        <w:t>年</w:t>
      </w:r>
      <w:r>
        <w:rPr>
          <w:rFonts w:hint="eastAsia"/>
        </w:rPr>
        <w:t>5</w:t>
      </w:r>
      <w:r>
        <w:rPr>
          <w:rFonts w:hint="eastAsia"/>
        </w:rPr>
        <w:t>月</w:t>
      </w:r>
      <w:r>
        <w:rPr>
          <w:rFonts w:hint="eastAsia"/>
        </w:rPr>
        <w:t>11</w:t>
      </w:r>
      <w:r>
        <w:rPr>
          <w:rFonts w:hint="eastAsia"/>
        </w:rPr>
        <w:t>日第一次会议上，规划组决定为本届会议重新设立长期工作方案工作组，由唐纳德·麦克雷先生担任主席。工作组主席在规划组</w:t>
      </w:r>
      <w:r>
        <w:rPr>
          <w:rFonts w:hint="eastAsia"/>
        </w:rPr>
        <w:t>2015</w:t>
      </w:r>
      <w:r>
        <w:rPr>
          <w:rFonts w:hint="eastAsia"/>
        </w:rPr>
        <w:t>年</w:t>
      </w:r>
      <w:r>
        <w:rPr>
          <w:rFonts w:hint="eastAsia"/>
        </w:rPr>
        <w:t>7</w:t>
      </w:r>
      <w:r>
        <w:rPr>
          <w:rFonts w:hint="eastAsia"/>
        </w:rPr>
        <w:t>月</w:t>
      </w:r>
      <w:r>
        <w:rPr>
          <w:rFonts w:hint="eastAsia"/>
        </w:rPr>
        <w:t>30</w:t>
      </w:r>
      <w:r>
        <w:rPr>
          <w:rFonts w:hint="eastAsia"/>
        </w:rPr>
        <w:t>日第三次会议上就工作组在本届会议期间的工作向规划组作了口头报告。</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3.</w:t>
      </w:r>
      <w:r>
        <w:rPr>
          <w:rFonts w:hint="eastAsia"/>
        </w:rPr>
        <w:tab/>
        <w:t>审议大会2014年12月10日关于国内和国际法治的第69/123号决议</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288.  </w:t>
      </w:r>
      <w:r>
        <w:rPr>
          <w:rFonts w:hint="eastAsia"/>
        </w:rPr>
        <w:t>大会</w:t>
      </w:r>
      <w:r>
        <w:rPr>
          <w:rFonts w:hint="eastAsia"/>
        </w:rPr>
        <w:t>2014</w:t>
      </w:r>
      <w:r>
        <w:rPr>
          <w:rFonts w:hint="eastAsia"/>
        </w:rPr>
        <w:t>年</w:t>
      </w:r>
      <w:r>
        <w:rPr>
          <w:rFonts w:hint="eastAsia"/>
        </w:rPr>
        <w:t>12</w:t>
      </w:r>
      <w:r>
        <w:rPr>
          <w:rFonts w:hint="eastAsia"/>
        </w:rPr>
        <w:t>月</w:t>
      </w:r>
      <w:r>
        <w:rPr>
          <w:rFonts w:hint="eastAsia"/>
        </w:rPr>
        <w:t>10</w:t>
      </w:r>
      <w:r>
        <w:rPr>
          <w:rFonts w:hint="eastAsia"/>
        </w:rPr>
        <w:t>日关于国内和国际法治的第</w:t>
      </w:r>
      <w:r>
        <w:rPr>
          <w:rFonts w:hint="eastAsia"/>
        </w:rPr>
        <w:t>69/123</w:t>
      </w:r>
      <w:r>
        <w:rPr>
          <w:rFonts w:hint="eastAsia"/>
        </w:rPr>
        <w:t>号决议特别重申，请委员会在提交大会的报告中就其在促进法治方面的作用作出评论。自第六十届会议</w:t>
      </w:r>
      <w:r>
        <w:rPr>
          <w:rFonts w:hint="eastAsia"/>
        </w:rPr>
        <w:t>(2008</w:t>
      </w:r>
      <w:r>
        <w:rPr>
          <w:rFonts w:hint="eastAsia"/>
        </w:rPr>
        <w:t>年</w:t>
      </w:r>
      <w:r>
        <w:rPr>
          <w:rFonts w:hint="eastAsia"/>
        </w:rPr>
        <w:t>)</w:t>
      </w:r>
      <w:r>
        <w:rPr>
          <w:rFonts w:hint="eastAsia"/>
        </w:rPr>
        <w:t>以来，委员会每年均对其在促进法治方面的作用作出评论。委员会指出，</w:t>
      </w:r>
      <w:r>
        <w:rPr>
          <w:rFonts w:hint="eastAsia"/>
        </w:rPr>
        <w:t>2008</w:t>
      </w:r>
      <w:r>
        <w:rPr>
          <w:rFonts w:hint="eastAsia"/>
        </w:rPr>
        <w:t>年报告</w:t>
      </w:r>
      <w:r>
        <w:rPr>
          <w:rFonts w:hint="eastAsia"/>
        </w:rPr>
        <w:t>(A/63/10)</w:t>
      </w:r>
      <w:r>
        <w:rPr>
          <w:rFonts w:hint="eastAsia"/>
        </w:rPr>
        <w:t>第</w:t>
      </w:r>
      <w:r>
        <w:rPr>
          <w:rFonts w:hint="eastAsia"/>
        </w:rPr>
        <w:t>341</w:t>
      </w:r>
      <w:r>
        <w:rPr>
          <w:rFonts w:hint="eastAsia"/>
        </w:rPr>
        <w:t>至</w:t>
      </w:r>
      <w:r>
        <w:rPr>
          <w:rFonts w:hint="eastAsia"/>
        </w:rPr>
        <w:t>346</w:t>
      </w:r>
      <w:r>
        <w:rPr>
          <w:rFonts w:hint="eastAsia"/>
        </w:rPr>
        <w:t>段所载的评论依然适用，并重申了后来各届会议上所作的评论。</w:t>
      </w:r>
      <w:r w:rsidRPr="003F1277">
        <w:rPr>
          <w:rStyle w:val="a3"/>
        </w:rPr>
        <w:footnoteReference w:id="397"/>
      </w:r>
    </w:p>
    <w:p w:rsidR="00122297" w:rsidRDefault="00122297" w:rsidP="00122297">
      <w:pPr>
        <w:pStyle w:val="SingleTxt"/>
      </w:pPr>
      <w:r>
        <w:rPr>
          <w:rFonts w:hint="eastAsia"/>
        </w:rPr>
        <w:lastRenderedPageBreak/>
        <w:t xml:space="preserve">289.  </w:t>
      </w:r>
      <w:r>
        <w:rPr>
          <w:rFonts w:hint="eastAsia"/>
        </w:rPr>
        <w:t>委员会回顾，法治是其工作的精髓。委员会的宗旨，一如其《章程》第</w:t>
      </w:r>
      <w:r>
        <w:rPr>
          <w:rFonts w:hint="eastAsia"/>
        </w:rPr>
        <w:t>1</w:t>
      </w:r>
      <w:r>
        <w:rPr>
          <w:rFonts w:hint="eastAsia"/>
        </w:rPr>
        <w:t>条所规定的，是促进国际法的逐渐发展及其编纂。</w:t>
      </w:r>
    </w:p>
    <w:p w:rsidR="00122297" w:rsidRDefault="00122297" w:rsidP="00122297">
      <w:pPr>
        <w:pStyle w:val="SingleTxt"/>
      </w:pPr>
      <w:r>
        <w:rPr>
          <w:rFonts w:hint="eastAsia"/>
        </w:rPr>
        <w:t xml:space="preserve">290.  </w:t>
      </w:r>
      <w:r>
        <w:rPr>
          <w:rFonts w:hint="eastAsia"/>
        </w:rPr>
        <w:t>委员会在其所有工作中都铭记法治原则，充分意识到在国家层面实施国际法的重要性，并以在国际层面促进尊重法治为追求的目标。</w:t>
      </w:r>
    </w:p>
    <w:p w:rsidR="00122297" w:rsidRDefault="00122297" w:rsidP="00122297">
      <w:pPr>
        <w:pStyle w:val="SingleTxt"/>
      </w:pPr>
      <w:r>
        <w:rPr>
          <w:rFonts w:hint="eastAsia"/>
        </w:rPr>
        <w:t xml:space="preserve">291.  </w:t>
      </w:r>
      <w:r>
        <w:rPr>
          <w:rFonts w:hint="eastAsia"/>
        </w:rPr>
        <w:t>委员会在履行其关于国际法逐渐发展及其编纂的任务的同时，将继续在适当时考虑到法治即为一项治理原则，考虑到人权对于法治具有根本意义，正如《联合国宪章》第十三条和《国内和国际的法治问题大会高级别会议宣言》</w:t>
      </w:r>
      <w:r w:rsidRPr="003F1277">
        <w:rPr>
          <w:rStyle w:val="a3"/>
        </w:rPr>
        <w:footnoteReference w:id="398"/>
      </w:r>
      <w:r>
        <w:rPr>
          <w:rFonts w:hint="eastAsia"/>
        </w:rPr>
        <w:t xml:space="preserve"> </w:t>
      </w:r>
      <w:r>
        <w:rPr>
          <w:rFonts w:hint="eastAsia"/>
        </w:rPr>
        <w:t>所反映的那样。</w:t>
      </w:r>
    </w:p>
    <w:p w:rsidR="00122297" w:rsidRDefault="00122297" w:rsidP="00122297">
      <w:pPr>
        <w:pStyle w:val="SingleTxt"/>
      </w:pPr>
      <w:r>
        <w:rPr>
          <w:rFonts w:hint="eastAsia"/>
        </w:rPr>
        <w:t xml:space="preserve">292.  </w:t>
      </w:r>
      <w:r>
        <w:rPr>
          <w:rFonts w:hint="eastAsia"/>
        </w:rPr>
        <w:t>在其目前的工作当中，委员会意识到“法治与联合国三大支柱</w:t>
      </w:r>
      <w:r>
        <w:rPr>
          <w:rFonts w:hint="eastAsia"/>
        </w:rPr>
        <w:t>(</w:t>
      </w:r>
      <w:r>
        <w:rPr>
          <w:rFonts w:hint="eastAsia"/>
        </w:rPr>
        <w:t>和平与安全、发展、人权</w:t>
      </w:r>
      <w:r>
        <w:rPr>
          <w:rFonts w:hint="eastAsia"/>
        </w:rPr>
        <w:t>)</w:t>
      </w:r>
      <w:r>
        <w:rPr>
          <w:rFonts w:hint="eastAsia"/>
        </w:rPr>
        <w:t>之间的相互关系”，</w:t>
      </w:r>
      <w:r w:rsidRPr="003F1277">
        <w:rPr>
          <w:rStyle w:val="a3"/>
        </w:rPr>
        <w:footnoteReference w:id="399"/>
      </w:r>
      <w:r>
        <w:rPr>
          <w:rFonts w:hint="eastAsia"/>
        </w:rPr>
        <w:t xml:space="preserve"> </w:t>
      </w:r>
      <w:r>
        <w:rPr>
          <w:rFonts w:hint="eastAsia"/>
        </w:rPr>
        <w:t>不会顾此失彼。在履行其关于国际法的逐渐发展和编纂的任务时，委员会意识到法治当前面临的挑战。</w:t>
      </w:r>
    </w:p>
    <w:p w:rsidR="00122297" w:rsidRDefault="00122297" w:rsidP="00122297">
      <w:pPr>
        <w:pStyle w:val="SingleTxt"/>
      </w:pPr>
      <w:r>
        <w:rPr>
          <w:rFonts w:hint="eastAsia"/>
        </w:rPr>
        <w:t xml:space="preserve">293.  </w:t>
      </w:r>
      <w:r>
        <w:rPr>
          <w:rFonts w:hint="eastAsia"/>
        </w:rPr>
        <w:t>在本届会议过程中，委员会继续为法治作出自己的贡献，尤其是通过围绕下列专题开展工作：“保护大气层”、“危害人类罪”、“习惯国际法的识别”、“与条约解释相关的嗣后协定和嗣后惯例”、“与武装冲突有关的环境保护”、“国家官员的外国刑事管辖豁免”、“条约的暂时适用”以及“最惠国待遇条款”。此外，委员会任命了一位负责“强制法”专题的特别报告员。</w:t>
      </w:r>
    </w:p>
    <w:p w:rsidR="00122297" w:rsidRDefault="00122297" w:rsidP="00122297">
      <w:pPr>
        <w:pStyle w:val="SingleTxt"/>
      </w:pPr>
      <w:r>
        <w:rPr>
          <w:rFonts w:hint="eastAsia"/>
        </w:rPr>
        <w:t xml:space="preserve">294.  </w:t>
      </w:r>
      <w:r>
        <w:rPr>
          <w:rFonts w:hint="eastAsia"/>
        </w:rPr>
        <w:t>委员会注意到，大会已请各会员国重点就“多边条约进程对促进和推进法治的作用”发表评论。</w:t>
      </w:r>
      <w:r w:rsidRPr="003F1277">
        <w:rPr>
          <w:rStyle w:val="a3"/>
        </w:rPr>
        <w:footnoteReference w:id="400"/>
      </w:r>
      <w:r>
        <w:rPr>
          <w:rFonts w:hint="eastAsia"/>
        </w:rPr>
        <w:t xml:space="preserve"> </w:t>
      </w:r>
      <w:r>
        <w:rPr>
          <w:rFonts w:hint="eastAsia"/>
        </w:rPr>
        <w:t>委员会希望回顾委员会围绕不同专题开展过的工作。在依《章程》第</w:t>
      </w:r>
      <w:r>
        <w:rPr>
          <w:rFonts w:hint="eastAsia"/>
        </w:rPr>
        <w:t>16</w:t>
      </w:r>
      <w:r>
        <w:rPr>
          <w:rFonts w:hint="eastAsia"/>
        </w:rPr>
        <w:t>条和第</w:t>
      </w:r>
      <w:r>
        <w:rPr>
          <w:rFonts w:hint="eastAsia"/>
        </w:rPr>
        <w:t>23</w:t>
      </w:r>
      <w:r>
        <w:rPr>
          <w:rFonts w:hint="eastAsia"/>
        </w:rPr>
        <w:t>条所提建议的基础上，这些专题已成为多边条约进程所处理的对象，如关于国家及其财产管辖豁免的条款草案</w:t>
      </w:r>
      <w:r>
        <w:rPr>
          <w:rFonts w:hint="eastAsia"/>
        </w:rPr>
        <w:t>(2001</w:t>
      </w:r>
      <w:r>
        <w:rPr>
          <w:rFonts w:hint="eastAsia"/>
        </w:rPr>
        <w:t>年</w:t>
      </w:r>
      <w:r>
        <w:rPr>
          <w:rFonts w:hint="eastAsia"/>
        </w:rPr>
        <w:t>)</w:t>
      </w:r>
      <w:r>
        <w:rPr>
          <w:rFonts w:hint="eastAsia"/>
        </w:rPr>
        <w:t>、危害人类和平与安全治罪法草案</w:t>
      </w:r>
      <w:r>
        <w:rPr>
          <w:rFonts w:hint="eastAsia"/>
        </w:rPr>
        <w:t>(1996</w:t>
      </w:r>
      <w:r>
        <w:rPr>
          <w:rFonts w:hint="eastAsia"/>
        </w:rPr>
        <w:t>年</w:t>
      </w:r>
      <w:r>
        <w:rPr>
          <w:rFonts w:hint="eastAsia"/>
        </w:rPr>
        <w:t>)</w:t>
      </w:r>
      <w:r>
        <w:rPr>
          <w:rFonts w:hint="eastAsia"/>
        </w:rPr>
        <w:t>、国际刑事法院规约草案</w:t>
      </w:r>
      <w:r>
        <w:rPr>
          <w:rFonts w:hint="eastAsia"/>
        </w:rPr>
        <w:t>(1994</w:t>
      </w:r>
      <w:r>
        <w:rPr>
          <w:rFonts w:hint="eastAsia"/>
        </w:rPr>
        <w:t>年</w:t>
      </w:r>
      <w:r>
        <w:rPr>
          <w:rFonts w:hint="eastAsia"/>
        </w:rPr>
        <w:t>)</w:t>
      </w:r>
      <w:r>
        <w:rPr>
          <w:rFonts w:hint="eastAsia"/>
        </w:rPr>
        <w:t>和非航行水道法条款草案</w:t>
      </w:r>
      <w:r>
        <w:rPr>
          <w:rFonts w:hint="eastAsia"/>
        </w:rPr>
        <w:t>(1994</w:t>
      </w:r>
      <w:r>
        <w:rPr>
          <w:rFonts w:hint="eastAsia"/>
        </w:rPr>
        <w:t>年</w:t>
      </w:r>
      <w:r>
        <w:rPr>
          <w:rFonts w:hint="eastAsia"/>
        </w:rPr>
        <w:t>)</w:t>
      </w:r>
      <w:r>
        <w:rPr>
          <w:rFonts w:hint="eastAsia"/>
        </w:rPr>
        <w:t>。委员会还提请注意最近围绕不同专题开展的工作，其中包括：</w:t>
      </w:r>
    </w:p>
    <w:p w:rsidR="00122297" w:rsidRDefault="00122297" w:rsidP="00122297">
      <w:pPr>
        <w:pStyle w:val="SingleTxt"/>
        <w:ind w:left="1701"/>
      </w:pPr>
      <w:r>
        <w:rPr>
          <w:rFonts w:hint="eastAsia"/>
        </w:rPr>
        <w:t>•</w:t>
      </w:r>
      <w:r>
        <w:rPr>
          <w:rFonts w:hint="eastAsia"/>
        </w:rPr>
        <w:tab/>
      </w:r>
      <w:r>
        <w:rPr>
          <w:rFonts w:hint="eastAsia"/>
        </w:rPr>
        <w:t>关于国家对国际不法行为的责任的条款草案，</w:t>
      </w:r>
      <w:r>
        <w:rPr>
          <w:rFonts w:hint="eastAsia"/>
        </w:rPr>
        <w:t>2001</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关于预防危险活动的跨界损害的条款草案，</w:t>
      </w:r>
      <w:r>
        <w:rPr>
          <w:rFonts w:hint="eastAsia"/>
        </w:rPr>
        <w:t>2001</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关于外交保护的条款草案，</w:t>
      </w:r>
      <w:r>
        <w:rPr>
          <w:rFonts w:hint="eastAsia"/>
        </w:rPr>
        <w:t>2006</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跨界含水层法条款草案，</w:t>
      </w:r>
      <w:r>
        <w:rPr>
          <w:rFonts w:hint="eastAsia"/>
        </w:rPr>
        <w:t>2008</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武装冲突对条约的影响条款草案，</w:t>
      </w:r>
      <w:r>
        <w:rPr>
          <w:rFonts w:hint="eastAsia"/>
        </w:rPr>
        <w:t>2011</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关于国际组织责任的条款草案，</w:t>
      </w:r>
      <w:r>
        <w:rPr>
          <w:rFonts w:hint="eastAsia"/>
        </w:rPr>
        <w:t>2011</w:t>
      </w:r>
      <w:r>
        <w:rPr>
          <w:rFonts w:hint="eastAsia"/>
        </w:rPr>
        <w:t>年</w:t>
      </w:r>
    </w:p>
    <w:p w:rsidR="00122297" w:rsidRDefault="00122297" w:rsidP="00122297">
      <w:pPr>
        <w:pStyle w:val="SingleTxt"/>
        <w:ind w:left="1701"/>
      </w:pPr>
      <w:r>
        <w:rPr>
          <w:rFonts w:hint="eastAsia"/>
        </w:rPr>
        <w:t>•</w:t>
      </w:r>
      <w:r>
        <w:rPr>
          <w:rFonts w:hint="eastAsia"/>
        </w:rPr>
        <w:tab/>
      </w:r>
      <w:r>
        <w:rPr>
          <w:rFonts w:hint="eastAsia"/>
        </w:rPr>
        <w:t>关于驱逐外国人的条款草案，</w:t>
      </w:r>
      <w:r>
        <w:rPr>
          <w:rFonts w:hint="eastAsia"/>
        </w:rPr>
        <w:t>2014</w:t>
      </w:r>
      <w:r>
        <w:rPr>
          <w:rFonts w:hint="eastAsia"/>
        </w:rPr>
        <w:t>年</w:t>
      </w:r>
    </w:p>
    <w:p w:rsidR="00122297" w:rsidRDefault="00122297" w:rsidP="00122297">
      <w:pPr>
        <w:pStyle w:val="SingleTxt"/>
      </w:pPr>
      <w:r>
        <w:rPr>
          <w:rFonts w:hint="eastAsia"/>
        </w:rPr>
        <w:lastRenderedPageBreak/>
        <w:tab/>
      </w:r>
      <w:r>
        <w:rPr>
          <w:rFonts w:hint="eastAsia"/>
        </w:rPr>
        <w:t>此外，委员会回顾了《对条约的保留实践指南》</w:t>
      </w:r>
      <w:r>
        <w:rPr>
          <w:rFonts w:hint="eastAsia"/>
        </w:rPr>
        <w:t>(2011</w:t>
      </w:r>
      <w:r>
        <w:rPr>
          <w:rFonts w:hint="eastAsia"/>
        </w:rPr>
        <w:t>年</w:t>
      </w:r>
      <w:r>
        <w:rPr>
          <w:rFonts w:hint="eastAsia"/>
        </w:rPr>
        <w:t>)</w:t>
      </w:r>
      <w:r>
        <w:rPr>
          <w:rFonts w:hint="eastAsia"/>
        </w:rPr>
        <w:t>。</w:t>
      </w:r>
    </w:p>
    <w:p w:rsidR="00122297" w:rsidRDefault="00122297" w:rsidP="00122297">
      <w:pPr>
        <w:pStyle w:val="SingleTxt"/>
      </w:pPr>
      <w:r>
        <w:rPr>
          <w:rFonts w:hint="eastAsia"/>
        </w:rPr>
        <w:t xml:space="preserve">295.  </w:t>
      </w:r>
      <w:r>
        <w:rPr>
          <w:rFonts w:hint="eastAsia"/>
        </w:rPr>
        <w:t>委员会重申在其全部活动中致力于促进法治。</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4.</w:t>
      </w:r>
      <w:r>
        <w:rPr>
          <w:rFonts w:hint="eastAsia"/>
        </w:rPr>
        <w:tab/>
        <w:t>审议大会2014年12月10日关于国际法委员会第六十六届会议工作报告的第69/118号决议第10至13段</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296.  </w:t>
      </w:r>
      <w:r>
        <w:rPr>
          <w:rFonts w:hint="eastAsia"/>
        </w:rPr>
        <w:t>委员会注意到大会第</w:t>
      </w:r>
      <w:r>
        <w:rPr>
          <w:rFonts w:hint="eastAsia"/>
        </w:rPr>
        <w:t>69/118</w:t>
      </w:r>
      <w:r>
        <w:rPr>
          <w:rFonts w:hint="eastAsia"/>
        </w:rPr>
        <w:t>号决议第</w:t>
      </w:r>
      <w:r>
        <w:rPr>
          <w:rFonts w:hint="eastAsia"/>
        </w:rPr>
        <w:t>10</w:t>
      </w:r>
      <w:r>
        <w:rPr>
          <w:rFonts w:hint="eastAsia"/>
        </w:rPr>
        <w:t>至第</w:t>
      </w:r>
      <w:r>
        <w:rPr>
          <w:rFonts w:hint="eastAsia"/>
        </w:rPr>
        <w:t>13</w:t>
      </w:r>
      <w:r>
        <w:rPr>
          <w:rFonts w:hint="eastAsia"/>
        </w:rPr>
        <w:t>段，其中大会欢迎委员会努力改进工作方法，并鼓励它继续这样做；回顾委员会设在联合国日内瓦办事处；注意到委员会正在考虑今后在纽约举行一部分会议的可能性，强调为此目的委员会必须考虑到估计费用、相关行政因素、组织因素和其他因素，并促请委员会周全审议在纽约举行第六十八届会议的一部分会议的可行性；决定在不妨碍上述审议的产出的前提下，在大会第七十届会议期间再度审议委员会第六十三届会议工作报告第</w:t>
      </w:r>
      <w:r>
        <w:rPr>
          <w:rFonts w:hint="eastAsia"/>
        </w:rPr>
        <w:t>388</w:t>
      </w:r>
      <w:r>
        <w:rPr>
          <w:rFonts w:hint="eastAsia"/>
        </w:rPr>
        <w:t>段中的建议。</w:t>
      </w:r>
    </w:p>
    <w:p w:rsidR="00122297" w:rsidRDefault="00122297" w:rsidP="00122297">
      <w:pPr>
        <w:pStyle w:val="SingleTxt"/>
      </w:pPr>
      <w:r>
        <w:rPr>
          <w:rFonts w:hint="eastAsia"/>
        </w:rPr>
        <w:t xml:space="preserve">297.  </w:t>
      </w:r>
      <w:r>
        <w:rPr>
          <w:rFonts w:hint="eastAsia"/>
        </w:rPr>
        <w:t>委员会回顾，委员会第六十三届会议在讨论其与第六委员会的关系时，表示希望考虑每个五年期在纽约举行半届会议的可能性，以便委员会与第六委员会的代表直接接触。委员会还回顾，委员会此前曾在其所在地以外多次举行会议。委员会特别指出，在召开联合国关于设立国际刑事法院的全权代表外交会议的总体安排下，委员会第五十届会议第一期会议于</w:t>
      </w:r>
      <w:r>
        <w:rPr>
          <w:rFonts w:hint="eastAsia"/>
        </w:rPr>
        <w:t>1998</w:t>
      </w:r>
      <w:r>
        <w:rPr>
          <w:rFonts w:hint="eastAsia"/>
        </w:rPr>
        <w:t>年</w:t>
      </w:r>
      <w:r>
        <w:rPr>
          <w:rFonts w:hint="eastAsia"/>
        </w:rPr>
        <w:t>4</w:t>
      </w:r>
      <w:r>
        <w:rPr>
          <w:rFonts w:hint="eastAsia"/>
        </w:rPr>
        <w:t>月</w:t>
      </w:r>
      <w:r>
        <w:rPr>
          <w:rFonts w:hint="eastAsia"/>
        </w:rPr>
        <w:t>20</w:t>
      </w:r>
      <w:r>
        <w:rPr>
          <w:rFonts w:hint="eastAsia"/>
        </w:rPr>
        <w:t>日至</w:t>
      </w:r>
      <w:r>
        <w:rPr>
          <w:rFonts w:hint="eastAsia"/>
        </w:rPr>
        <w:t>6</w:t>
      </w:r>
      <w:r>
        <w:rPr>
          <w:rFonts w:hint="eastAsia"/>
        </w:rPr>
        <w:t>月</w:t>
      </w:r>
      <w:r>
        <w:rPr>
          <w:rFonts w:hint="eastAsia"/>
        </w:rPr>
        <w:t>12</w:t>
      </w:r>
      <w:r>
        <w:rPr>
          <w:rFonts w:hint="eastAsia"/>
        </w:rPr>
        <w:t>日在联合国日内瓦办事处的委员会所在地举行，而第二期会议于</w:t>
      </w:r>
      <w:r>
        <w:rPr>
          <w:rFonts w:hint="eastAsia"/>
        </w:rPr>
        <w:t>1998</w:t>
      </w:r>
      <w:r>
        <w:rPr>
          <w:rFonts w:hint="eastAsia"/>
        </w:rPr>
        <w:t>年</w:t>
      </w:r>
      <w:r>
        <w:rPr>
          <w:rFonts w:hint="eastAsia"/>
        </w:rPr>
        <w:t>7</w:t>
      </w:r>
      <w:r>
        <w:rPr>
          <w:rFonts w:hint="eastAsia"/>
        </w:rPr>
        <w:t>月</w:t>
      </w:r>
      <w:r>
        <w:rPr>
          <w:rFonts w:hint="eastAsia"/>
        </w:rPr>
        <w:t>27</w:t>
      </w:r>
      <w:r>
        <w:rPr>
          <w:rFonts w:hint="eastAsia"/>
        </w:rPr>
        <w:t>日至</w:t>
      </w:r>
      <w:r>
        <w:rPr>
          <w:rFonts w:hint="eastAsia"/>
        </w:rPr>
        <w:t>8</w:t>
      </w:r>
      <w:r>
        <w:rPr>
          <w:rFonts w:hint="eastAsia"/>
        </w:rPr>
        <w:t>月</w:t>
      </w:r>
      <w:r>
        <w:rPr>
          <w:rFonts w:hint="eastAsia"/>
        </w:rPr>
        <w:t>14</w:t>
      </w:r>
      <w:r>
        <w:rPr>
          <w:rFonts w:hint="eastAsia"/>
        </w:rPr>
        <w:t>日在纽约联合国总部举行。</w:t>
      </w:r>
    </w:p>
    <w:p w:rsidR="00F433A5" w:rsidRDefault="00122297" w:rsidP="001F13E8">
      <w:pPr>
        <w:pStyle w:val="SingleTxt"/>
      </w:pPr>
      <w:r>
        <w:rPr>
          <w:rFonts w:hint="eastAsia"/>
        </w:rPr>
        <w:t xml:space="preserve">298.  </w:t>
      </w:r>
      <w:r>
        <w:rPr>
          <w:rFonts w:hint="eastAsia"/>
        </w:rPr>
        <w:t>委员会根据秘书处提供的关于估计费用以及相关行政因素、组织因素和其他因素</w:t>
      </w:r>
      <w:r>
        <w:rPr>
          <w:rFonts w:hint="eastAsia"/>
        </w:rPr>
        <w:t>(</w:t>
      </w:r>
      <w:r>
        <w:rPr>
          <w:rFonts w:hint="eastAsia"/>
        </w:rPr>
        <w:t>包括本五年期最后一年的预计工作量</w:t>
      </w:r>
      <w:r>
        <w:rPr>
          <w:rFonts w:hint="eastAsia"/>
        </w:rPr>
        <w:t>)</w:t>
      </w:r>
      <w:r>
        <w:rPr>
          <w:rFonts w:hint="eastAsia"/>
        </w:rPr>
        <w:t>的信息，审议了委员会在纽约举行第六十八届会议的一部分的可行性。结合掌握的所有因素，委员会得出的结论是，委员会在纽约举行第六十八届会议的一部分不可行，因为这会造成不必要的混乱。但委员会确认，委员会希望考虑下个五年期在纽约举行半届会议。应在规划委员会下个五年期的未来届会时预先考虑到这种可能性。在这方面，委员会指出，可以在下个五年期第一年</w:t>
      </w:r>
      <w:r>
        <w:rPr>
          <w:rFonts w:hint="eastAsia"/>
        </w:rPr>
        <w:t>(2017</w:t>
      </w:r>
      <w:r>
        <w:rPr>
          <w:rFonts w:hint="eastAsia"/>
        </w:rPr>
        <w:t>年</w:t>
      </w:r>
      <w:r>
        <w:rPr>
          <w:rFonts w:hint="eastAsia"/>
        </w:rPr>
        <w:t>)</w:t>
      </w:r>
      <w:r>
        <w:rPr>
          <w:rFonts w:hint="eastAsia"/>
        </w:rPr>
        <w:t>或第二年</w:t>
      </w:r>
      <w:r>
        <w:rPr>
          <w:rFonts w:hint="eastAsia"/>
        </w:rPr>
        <w:t>(2018</w:t>
      </w:r>
      <w:r>
        <w:rPr>
          <w:rFonts w:hint="eastAsia"/>
        </w:rPr>
        <w:t>年</w:t>
      </w:r>
      <w:r>
        <w:rPr>
          <w:rFonts w:hint="eastAsia"/>
        </w:rPr>
        <w:t>)</w:t>
      </w:r>
      <w:r>
        <w:rPr>
          <w:rFonts w:hint="eastAsia"/>
        </w:rPr>
        <w:t>的届会第一期会议上预先考虑这种会议安排，同时应考虑到估计费用以及相关行政因素、组织因素和其他因素。委员会根据所掌握的信息，建议基于委员会第七十届会议</w:t>
      </w:r>
      <w:r>
        <w:rPr>
          <w:rFonts w:hint="eastAsia"/>
        </w:rPr>
        <w:t>(2018</w:t>
      </w:r>
      <w:r>
        <w:rPr>
          <w:rFonts w:hint="eastAsia"/>
        </w:rPr>
        <w:t>年</w:t>
      </w:r>
      <w:r>
        <w:rPr>
          <w:rFonts w:hint="eastAsia"/>
        </w:rPr>
        <w:t>)</w:t>
      </w:r>
      <w:r>
        <w:rPr>
          <w:rFonts w:hint="eastAsia"/>
        </w:rPr>
        <w:t>第一期会议将在纽约联合国总部举行的假设，开展筹备工作和做出估计。因此，委员会请秘书处为此作出必要安排，以便委员会在</w:t>
      </w:r>
      <w:r>
        <w:rPr>
          <w:rFonts w:hint="eastAsia"/>
        </w:rPr>
        <w:t>2016</w:t>
      </w:r>
      <w:r>
        <w:rPr>
          <w:rFonts w:hint="eastAsia"/>
        </w:rPr>
        <w:t>年第六十八届会议上做出适当决定。</w:t>
      </w:r>
    </w:p>
    <w:p w:rsidR="001F13E8" w:rsidRPr="001F13E8" w:rsidRDefault="001F13E8" w:rsidP="001F13E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F13E8" w:rsidRPr="001F13E8" w:rsidRDefault="001F13E8" w:rsidP="001F13E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5.</w:t>
      </w:r>
      <w:r>
        <w:rPr>
          <w:rFonts w:hint="eastAsia"/>
        </w:rPr>
        <w:tab/>
        <w:t>酬金</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299.  </w:t>
      </w:r>
      <w:r>
        <w:rPr>
          <w:rFonts w:hint="eastAsia"/>
        </w:rPr>
        <w:t>委员会重申了对大会通过</w:t>
      </w:r>
      <w:r>
        <w:rPr>
          <w:rFonts w:hint="eastAsia"/>
        </w:rPr>
        <w:t>2002</w:t>
      </w:r>
      <w:r>
        <w:rPr>
          <w:rFonts w:hint="eastAsia"/>
        </w:rPr>
        <w:t>年</w:t>
      </w:r>
      <w:r>
        <w:rPr>
          <w:rFonts w:hint="eastAsia"/>
        </w:rPr>
        <w:t>3</w:t>
      </w:r>
      <w:r>
        <w:rPr>
          <w:rFonts w:hint="eastAsia"/>
        </w:rPr>
        <w:t>月</w:t>
      </w:r>
      <w:r>
        <w:rPr>
          <w:rFonts w:hint="eastAsia"/>
        </w:rPr>
        <w:t>27</w:t>
      </w:r>
      <w:r>
        <w:rPr>
          <w:rFonts w:hint="eastAsia"/>
        </w:rPr>
        <w:t>日第</w:t>
      </w:r>
      <w:r>
        <w:rPr>
          <w:rFonts w:hint="eastAsia"/>
        </w:rPr>
        <w:t>56/272</w:t>
      </w:r>
      <w:r>
        <w:rPr>
          <w:rFonts w:hint="eastAsia"/>
        </w:rPr>
        <w:t>号决议所引起的酬金问题的意见，委员会以前的报告表明了这些意见。</w:t>
      </w:r>
      <w:r w:rsidRPr="003F1277">
        <w:rPr>
          <w:rStyle w:val="a3"/>
        </w:rPr>
        <w:footnoteReference w:id="401"/>
      </w:r>
      <w:r>
        <w:rPr>
          <w:rFonts w:hint="eastAsia"/>
        </w:rPr>
        <w:t xml:space="preserve"> </w:t>
      </w:r>
      <w:r>
        <w:rPr>
          <w:rFonts w:hint="eastAsia"/>
        </w:rPr>
        <w:t>委员会强调，第</w:t>
      </w:r>
      <w:r>
        <w:rPr>
          <w:rFonts w:hint="eastAsia"/>
        </w:rPr>
        <w:t>56/272</w:t>
      </w:r>
      <w:r>
        <w:rPr>
          <w:rFonts w:hint="eastAsia"/>
        </w:rPr>
        <w:t>号决议尤其影响到特别报告员，因为该决议缩减了对他们研究工作的支持。</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6.</w:t>
      </w:r>
      <w:r>
        <w:rPr>
          <w:rFonts w:hint="eastAsia"/>
        </w:rPr>
        <w:tab/>
        <w:t>文件和出版物</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300.  </w:t>
      </w:r>
      <w:r>
        <w:rPr>
          <w:rFonts w:hint="eastAsia"/>
        </w:rPr>
        <w:t>委员会再次确认，秘书处编写的法律出版物对委员会工作特别有用并很有价值。</w:t>
      </w:r>
      <w:r w:rsidRPr="003F1277">
        <w:rPr>
          <w:rStyle w:val="a3"/>
        </w:rPr>
        <w:footnoteReference w:id="402"/>
      </w:r>
      <w:r>
        <w:rPr>
          <w:rFonts w:hint="eastAsia"/>
        </w:rPr>
        <w:t xml:space="preserve"> </w:t>
      </w:r>
      <w:r>
        <w:rPr>
          <w:rFonts w:hint="eastAsia"/>
        </w:rPr>
        <w:t>委员会回顾，十多年来，编纂司通过非常成功的桌面出版计划，得以大幅度加快出版物的印发，极大地提高了这些出版物的及时性和对委员会工作的作用。委员会再次遗憾地表示，该计划因资源不足受到缩减，而且有可能终止，本届会议因此没有分发任何新的法律出版物。委员会重申，继续执行该计划对于确保及时以各正式语文印发这些出版物、特别是《国际法委员会的工作》，十分关键。委员会再次重申，编纂司编写的法律出版物对其工作特别有用并很有价值，而且再次请求编纂司继续为其提供这些出版物。</w:t>
      </w:r>
    </w:p>
    <w:p w:rsidR="00122297" w:rsidRDefault="00122297" w:rsidP="00122297">
      <w:pPr>
        <w:pStyle w:val="SingleTxt"/>
      </w:pPr>
      <w:r>
        <w:rPr>
          <w:rFonts w:hint="eastAsia"/>
        </w:rPr>
        <w:t xml:space="preserve">301.  </w:t>
      </w:r>
      <w:r>
        <w:rPr>
          <w:rFonts w:hint="eastAsia"/>
        </w:rPr>
        <w:t>委员会满意地重申，委员会的简要记录是国际法逐渐发展和编纂过程中的重要准备工作文件，将不受任意的篇幅限制。委员会满意地注意到，</w:t>
      </w:r>
      <w:r>
        <w:rPr>
          <w:rFonts w:hint="eastAsia"/>
        </w:rPr>
        <w:t>2013</w:t>
      </w:r>
      <w:r>
        <w:rPr>
          <w:rFonts w:hint="eastAsia"/>
        </w:rPr>
        <w:t>年届会开始实行简化委员会简要记录处理程序的试验性措施，使得临时记录可以更快地发给委员会委员作及时更正，而且迅速印发。委员会还对新工作方法能够更合理地利用资源表示欢迎，并要求秘书处继续努力，方便各语文简要记录定本的编制，而又不会影响其完整性。</w:t>
      </w:r>
    </w:p>
    <w:p w:rsidR="00122297" w:rsidRDefault="00122297" w:rsidP="00122297">
      <w:pPr>
        <w:pStyle w:val="SingleTxt"/>
      </w:pPr>
      <w:r>
        <w:rPr>
          <w:rFonts w:hint="eastAsia"/>
        </w:rPr>
        <w:t xml:space="preserve">302.  </w:t>
      </w:r>
      <w:r>
        <w:rPr>
          <w:rFonts w:hint="eastAsia"/>
        </w:rPr>
        <w:t>委员会感谢日内瓦和纽约参与文件处理的各个部门经常在时间紧迫的情况下及时高效地处理委员会的文件。委员会指出，这种及时高效的处理为委员会顺利开展工作做出了贡献。</w:t>
      </w:r>
    </w:p>
    <w:p w:rsidR="00122297" w:rsidRDefault="00122297" w:rsidP="00122297">
      <w:pPr>
        <w:pStyle w:val="SingleTxt"/>
      </w:pPr>
      <w:r>
        <w:rPr>
          <w:rFonts w:hint="eastAsia"/>
        </w:rPr>
        <w:t xml:space="preserve">303.  </w:t>
      </w:r>
      <w:r>
        <w:rPr>
          <w:rFonts w:hint="eastAsia"/>
        </w:rPr>
        <w:t>委员会表示赞赏联合国日内瓦办事处图书馆十分高效有力地向委员们提供了协助。</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7.</w:t>
      </w:r>
      <w:r>
        <w:rPr>
          <w:rFonts w:hint="eastAsia"/>
        </w:rPr>
        <w:tab/>
        <w:t>《国际法委员会年鉴》</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304.  </w:t>
      </w:r>
      <w:r>
        <w:rPr>
          <w:rFonts w:hint="eastAsia"/>
        </w:rPr>
        <w:t>委员会重申，《国际法委员会年鉴》对于了解委员会在逐渐发展和编纂国际法以及加强国际关系中法治方面的工作具有关键意义。委员会注意到，大会第</w:t>
      </w:r>
      <w:r>
        <w:rPr>
          <w:rFonts w:hint="eastAsia"/>
        </w:rPr>
        <w:t>69/118</w:t>
      </w:r>
      <w:r>
        <w:rPr>
          <w:rFonts w:hint="eastAsia"/>
        </w:rPr>
        <w:t>号决议赞赏有关国家政府为帮助解决《年鉴》工作积压问题的信托基金自愿捐款，并鼓励各方进一步为该基金捐款。</w:t>
      </w:r>
    </w:p>
    <w:p w:rsidR="00122297" w:rsidRDefault="00122297" w:rsidP="00122297">
      <w:pPr>
        <w:pStyle w:val="SingleTxt"/>
      </w:pPr>
      <w:r>
        <w:rPr>
          <w:rFonts w:hint="eastAsia"/>
        </w:rPr>
        <w:t xml:space="preserve">305.  </w:t>
      </w:r>
      <w:r>
        <w:rPr>
          <w:rFonts w:hint="eastAsia"/>
        </w:rPr>
        <w:t>委员会建议大会如在第</w:t>
      </w:r>
      <w:r>
        <w:rPr>
          <w:rFonts w:hint="eastAsia"/>
        </w:rPr>
        <w:t>69/118</w:t>
      </w:r>
      <w:r>
        <w:rPr>
          <w:rFonts w:hint="eastAsia"/>
        </w:rPr>
        <w:t>号决议中所说，对过去几年在减少所有六种语文版《年鉴》积压工作方面取得显著进展表示满意，并欢迎联合国日内瓦办事处会</w:t>
      </w:r>
      <w:r>
        <w:rPr>
          <w:rFonts w:hint="eastAsia"/>
        </w:rPr>
        <w:lastRenderedPageBreak/>
        <w:t>议管理司、特别是其编辑科作出努力，切实执行大会要求减少积压工作的有关决议；鼓励会议管理司继续向编辑科提供一切必要支持，推动《年鉴》的相关工作。</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8.</w:t>
      </w:r>
      <w:r>
        <w:rPr>
          <w:rFonts w:hint="eastAsia"/>
        </w:rPr>
        <w:tab/>
        <w:t>编纂司的协助</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306.  </w:t>
      </w:r>
      <w:r>
        <w:rPr>
          <w:rFonts w:hint="eastAsia"/>
        </w:rPr>
        <w:t>委员会表示赞赏秘书处编纂司在向委员会提供实质性服务方面给予的宝贵协助，特别是一直向特别报告员提供协助，并应委员会的要求，就目前审议的议题的各方面编写深入的研究报告。</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9.</w:t>
      </w:r>
      <w:r>
        <w:rPr>
          <w:rFonts w:hint="eastAsia"/>
        </w:rPr>
        <w:tab/>
        <w:t>网站</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307.  </w:t>
      </w:r>
      <w:r>
        <w:rPr>
          <w:rFonts w:hint="eastAsia"/>
        </w:rPr>
        <w:t>委员会表示深为赞赏秘书处为国际法委员会建立了新的网站，并吁请其继续更新和管理网站。</w:t>
      </w:r>
      <w:r w:rsidRPr="003F1277">
        <w:rPr>
          <w:rStyle w:val="a3"/>
        </w:rPr>
        <w:footnoteReference w:id="403"/>
      </w:r>
      <w:r>
        <w:rPr>
          <w:rFonts w:hint="eastAsia"/>
        </w:rPr>
        <w:t xml:space="preserve"> </w:t>
      </w:r>
      <w:r>
        <w:rPr>
          <w:rFonts w:hint="eastAsia"/>
        </w:rPr>
        <w:t>委员会重申，这个网站以及由编纂司维护的其他网站</w:t>
      </w:r>
      <w:r w:rsidRPr="003F1277">
        <w:rPr>
          <w:rStyle w:val="a3"/>
        </w:rPr>
        <w:footnoteReference w:id="404"/>
      </w:r>
      <w:r>
        <w:rPr>
          <w:rFonts w:hint="eastAsia"/>
        </w:rPr>
        <w:t xml:space="preserve"> </w:t>
      </w:r>
      <w:r>
        <w:rPr>
          <w:rFonts w:hint="eastAsia"/>
        </w:rPr>
        <w:t>是委员会和研究委员会工作的广大学者的宝贵资源，有助于全面加强国际法的教学、研究、传播以及对国际法的广泛理解。委员会欣见，关于委员会工作的网站还介绍了委员会议程上各个专题的现状，并收录了经过编辑的委员会简要记录样本。委员会还感谢秘书处顺利完成了俄文版委员会《年鉴》的电子化并将其放入网站。</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10.</w:t>
      </w:r>
      <w:r>
        <w:rPr>
          <w:rFonts w:hint="eastAsia"/>
        </w:rPr>
        <w:tab/>
        <w:t>联合国国际法视听图书馆</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308.  </w:t>
      </w:r>
      <w:r>
        <w:rPr>
          <w:rFonts w:hint="eastAsia"/>
        </w:rPr>
        <w:t>委员会赞赏地指出，联合国国际法视听图书馆对于增进对国际法、联合国在该领域的工作、包括国际法委员会工作的了解，意义非凡。</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委员会第六十八届会议的日期和地点</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309.  </w:t>
      </w:r>
      <w:r>
        <w:rPr>
          <w:rFonts w:hint="eastAsia"/>
        </w:rPr>
        <w:t>委员会建议，委员会第六十八届会议于</w:t>
      </w:r>
      <w:r>
        <w:rPr>
          <w:rFonts w:hint="eastAsia"/>
        </w:rPr>
        <w:t>2016</w:t>
      </w:r>
      <w:r>
        <w:rPr>
          <w:rFonts w:hint="eastAsia"/>
        </w:rPr>
        <w:t>年</w:t>
      </w:r>
      <w:r>
        <w:rPr>
          <w:rFonts w:hint="eastAsia"/>
        </w:rPr>
        <w:t>5</w:t>
      </w:r>
      <w:r>
        <w:rPr>
          <w:rFonts w:hint="eastAsia"/>
        </w:rPr>
        <w:t>月</w:t>
      </w:r>
      <w:r>
        <w:rPr>
          <w:rFonts w:hint="eastAsia"/>
        </w:rPr>
        <w:t>2</w:t>
      </w:r>
      <w:r>
        <w:rPr>
          <w:rFonts w:hint="eastAsia"/>
        </w:rPr>
        <w:t>日至</w:t>
      </w:r>
      <w:r>
        <w:rPr>
          <w:rFonts w:hint="eastAsia"/>
        </w:rPr>
        <w:t>6</w:t>
      </w:r>
      <w:r>
        <w:rPr>
          <w:rFonts w:hint="eastAsia"/>
        </w:rPr>
        <w:t>月</w:t>
      </w:r>
      <w:r>
        <w:rPr>
          <w:rFonts w:hint="eastAsia"/>
        </w:rPr>
        <w:t>10</w:t>
      </w:r>
      <w:r>
        <w:rPr>
          <w:rFonts w:hint="eastAsia"/>
        </w:rPr>
        <w:t>日和</w:t>
      </w:r>
      <w:r>
        <w:rPr>
          <w:rFonts w:hint="eastAsia"/>
        </w:rPr>
        <w:t>7</w:t>
      </w:r>
      <w:r>
        <w:rPr>
          <w:rFonts w:hint="eastAsia"/>
        </w:rPr>
        <w:t>月</w:t>
      </w:r>
      <w:r>
        <w:rPr>
          <w:rFonts w:hint="eastAsia"/>
        </w:rPr>
        <w:t>4</w:t>
      </w:r>
      <w:r>
        <w:rPr>
          <w:rFonts w:hint="eastAsia"/>
        </w:rPr>
        <w:t>日至</w:t>
      </w:r>
      <w:r>
        <w:rPr>
          <w:rFonts w:hint="eastAsia"/>
        </w:rPr>
        <w:t>8</w:t>
      </w:r>
      <w:r>
        <w:rPr>
          <w:rFonts w:hint="eastAsia"/>
        </w:rPr>
        <w:t>月</w:t>
      </w:r>
      <w:r>
        <w:rPr>
          <w:rFonts w:hint="eastAsia"/>
        </w:rPr>
        <w:t>12</w:t>
      </w:r>
      <w:r>
        <w:rPr>
          <w:rFonts w:hint="eastAsia"/>
        </w:rPr>
        <w:t>日在日内瓦举行。</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向委员会秘书表示感谢</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F13E8" w:rsidRDefault="00122297" w:rsidP="00F433A5">
      <w:pPr>
        <w:pStyle w:val="SingleTxt"/>
      </w:pPr>
      <w:r>
        <w:rPr>
          <w:rFonts w:hint="eastAsia"/>
        </w:rPr>
        <w:t xml:space="preserve">310.  </w:t>
      </w:r>
      <w:r>
        <w:rPr>
          <w:rFonts w:hint="eastAsia"/>
        </w:rPr>
        <w:t>在</w:t>
      </w:r>
      <w:r>
        <w:rPr>
          <w:rFonts w:hint="eastAsia"/>
        </w:rPr>
        <w:t>2015</w:t>
      </w:r>
      <w:r>
        <w:rPr>
          <w:rFonts w:hint="eastAsia"/>
        </w:rPr>
        <w:t>年</w:t>
      </w:r>
      <w:r>
        <w:rPr>
          <w:rFonts w:hint="eastAsia"/>
        </w:rPr>
        <w:t>6</w:t>
      </w:r>
      <w:r>
        <w:rPr>
          <w:rFonts w:hint="eastAsia"/>
        </w:rPr>
        <w:t>月</w:t>
      </w:r>
      <w:r>
        <w:rPr>
          <w:rFonts w:hint="eastAsia"/>
        </w:rPr>
        <w:t>5</w:t>
      </w:r>
      <w:r>
        <w:rPr>
          <w:rFonts w:hint="eastAsia"/>
        </w:rPr>
        <w:t>日第</w:t>
      </w:r>
      <w:r>
        <w:rPr>
          <w:rFonts w:hint="eastAsia"/>
        </w:rPr>
        <w:t>3263</w:t>
      </w:r>
      <w:r>
        <w:rPr>
          <w:rFonts w:hint="eastAsia"/>
        </w:rPr>
        <w:t>次会议上，委员会向乔治·科伦济斯先生表示感谢。科伦济斯先生自</w:t>
      </w:r>
      <w:r>
        <w:rPr>
          <w:rFonts w:hint="eastAsia"/>
        </w:rPr>
        <w:t>2013</w:t>
      </w:r>
      <w:r>
        <w:rPr>
          <w:rFonts w:hint="eastAsia"/>
        </w:rPr>
        <w:t>年起担任委员会秘书，工作卓越，本届会议期间退休。委员会对科伦济斯先生为委员会的工作及国际法的编纂和逐渐发展做出的杰出贡献表示感谢；对他的敬业精神、献身于公共服务的精神和为国际法努力不懈的精神表示赞赏；并祝他今后一切顺利。</w:t>
      </w:r>
      <w:r w:rsidR="001F13E8">
        <w:br/>
      </w:r>
    </w:p>
    <w:p w:rsidR="001F13E8" w:rsidRDefault="001F13E8">
      <w:pPr>
        <w:spacing w:line="240" w:lineRule="auto"/>
        <w:jc w:val="left"/>
      </w:pPr>
      <w:r>
        <w:br w:type="page"/>
      </w:r>
    </w:p>
    <w:p w:rsidR="00122297" w:rsidRPr="00D55A10" w:rsidRDefault="00122297" w:rsidP="00122297">
      <w:pPr>
        <w:pStyle w:val="SingleTxt"/>
        <w:spacing w:after="0" w:line="120" w:lineRule="exact"/>
        <w:rPr>
          <w:sz w:val="10"/>
        </w:rPr>
      </w:pPr>
    </w:p>
    <w:p w:rsidR="00122297" w:rsidRDefault="00122297" w:rsidP="00955333">
      <w:pPr>
        <w:pStyle w:val="H1"/>
        <w:keepNext w:val="0"/>
        <w:keepLines w:val="0"/>
        <w:widowControl w:val="0"/>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rPr>
          <w:rFonts w:hint="eastAsia"/>
        </w:rPr>
        <w:tab/>
        <w:t>D.</w:t>
      </w:r>
      <w:r>
        <w:rPr>
          <w:rFonts w:hint="eastAsia"/>
        </w:rPr>
        <w:tab/>
        <w:t>与其他机构的合作</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955333">
      <w:pPr>
        <w:pStyle w:val="SingleTxt"/>
        <w:widowControl w:val="0"/>
      </w:pPr>
      <w:r>
        <w:rPr>
          <w:rFonts w:hint="eastAsia"/>
        </w:rPr>
        <w:t xml:space="preserve">311.  </w:t>
      </w:r>
      <w:r w:rsidRPr="00B0298A">
        <w:rPr>
          <w:rFonts w:hint="eastAsia"/>
          <w:spacing w:val="2"/>
        </w:rPr>
        <w:t>国际法院院长龙尼·亚伯拉罕法官在委员会</w:t>
      </w:r>
      <w:r w:rsidRPr="00B0298A">
        <w:rPr>
          <w:rFonts w:hint="eastAsia"/>
          <w:spacing w:val="2"/>
        </w:rPr>
        <w:t>2015</w:t>
      </w:r>
      <w:r w:rsidRPr="00B0298A">
        <w:rPr>
          <w:rFonts w:hint="eastAsia"/>
          <w:spacing w:val="2"/>
        </w:rPr>
        <w:t>年</w:t>
      </w:r>
      <w:r w:rsidRPr="00B0298A">
        <w:rPr>
          <w:rFonts w:hint="eastAsia"/>
          <w:spacing w:val="2"/>
        </w:rPr>
        <w:t>7</w:t>
      </w:r>
      <w:r w:rsidRPr="00B0298A">
        <w:rPr>
          <w:rFonts w:hint="eastAsia"/>
          <w:spacing w:val="2"/>
        </w:rPr>
        <w:t>月</w:t>
      </w:r>
      <w:r w:rsidRPr="00B0298A">
        <w:rPr>
          <w:rFonts w:hint="eastAsia"/>
          <w:spacing w:val="2"/>
        </w:rPr>
        <w:t>22</w:t>
      </w:r>
      <w:r w:rsidRPr="00B0298A">
        <w:rPr>
          <w:rFonts w:hint="eastAsia"/>
          <w:spacing w:val="2"/>
        </w:rPr>
        <w:t>日第</w:t>
      </w:r>
      <w:r w:rsidRPr="00B0298A">
        <w:rPr>
          <w:rFonts w:hint="eastAsia"/>
          <w:spacing w:val="2"/>
        </w:rPr>
        <w:t>3274</w:t>
      </w:r>
      <w:r w:rsidRPr="00B0298A">
        <w:rPr>
          <w:rFonts w:hint="eastAsia"/>
          <w:spacing w:val="2"/>
        </w:rPr>
        <w:t>次会议上发言</w:t>
      </w:r>
      <w:r>
        <w:rPr>
          <w:rFonts w:hint="eastAsia"/>
        </w:rPr>
        <w:t>，通报了国际法院最近的司法活动。</w:t>
      </w:r>
      <w:r w:rsidRPr="003F1277">
        <w:rPr>
          <w:rStyle w:val="a3"/>
        </w:rPr>
        <w:footnoteReference w:id="405"/>
      </w:r>
      <w:r>
        <w:rPr>
          <w:rFonts w:hint="eastAsia"/>
        </w:rPr>
        <w:t xml:space="preserve"> </w:t>
      </w:r>
      <w:r>
        <w:rPr>
          <w:rFonts w:hint="eastAsia"/>
        </w:rPr>
        <w:t>随后交换了意见。</w:t>
      </w:r>
    </w:p>
    <w:p w:rsidR="00122297" w:rsidRDefault="00122297" w:rsidP="00122297">
      <w:pPr>
        <w:pStyle w:val="SingleTxt"/>
      </w:pPr>
      <w:r>
        <w:rPr>
          <w:rFonts w:hint="eastAsia"/>
        </w:rPr>
        <w:t xml:space="preserve">312.  </w:t>
      </w:r>
      <w:r>
        <w:rPr>
          <w:rFonts w:hint="eastAsia"/>
        </w:rPr>
        <w:t>亚非法律协商组织秘书长拉赫马特·穆罕默德先生代表该组织出席了委员会本届会议，并在</w:t>
      </w:r>
      <w:r>
        <w:rPr>
          <w:rFonts w:hint="eastAsia"/>
        </w:rPr>
        <w:t>2015</w:t>
      </w:r>
      <w:r>
        <w:rPr>
          <w:rFonts w:hint="eastAsia"/>
        </w:rPr>
        <w:t>年</w:t>
      </w:r>
      <w:r>
        <w:rPr>
          <w:rFonts w:hint="eastAsia"/>
        </w:rPr>
        <w:t>5</w:t>
      </w:r>
      <w:r>
        <w:rPr>
          <w:rFonts w:hint="eastAsia"/>
        </w:rPr>
        <w:t>月</w:t>
      </w:r>
      <w:r>
        <w:rPr>
          <w:rFonts w:hint="eastAsia"/>
        </w:rPr>
        <w:t>13</w:t>
      </w:r>
      <w:r>
        <w:rPr>
          <w:rFonts w:hint="eastAsia"/>
        </w:rPr>
        <w:t>日第</w:t>
      </w:r>
      <w:r>
        <w:rPr>
          <w:rFonts w:hint="eastAsia"/>
        </w:rPr>
        <w:t>3250</w:t>
      </w:r>
      <w:r>
        <w:rPr>
          <w:rFonts w:hint="eastAsia"/>
        </w:rPr>
        <w:t>次会议上发言。</w:t>
      </w:r>
      <w:r w:rsidRPr="003F1277">
        <w:rPr>
          <w:rStyle w:val="a3"/>
        </w:rPr>
        <w:footnoteReference w:id="406"/>
      </w:r>
      <w:r>
        <w:rPr>
          <w:rFonts w:hint="eastAsia"/>
        </w:rPr>
        <w:t xml:space="preserve"> </w:t>
      </w:r>
      <w:r>
        <w:rPr>
          <w:rFonts w:hint="eastAsia"/>
        </w:rPr>
        <w:t>他向委员会通报了该组织目前的活动，概述了该组织于</w:t>
      </w:r>
      <w:r>
        <w:rPr>
          <w:rFonts w:hint="eastAsia"/>
        </w:rPr>
        <w:t>2015</w:t>
      </w:r>
      <w:r>
        <w:rPr>
          <w:rFonts w:hint="eastAsia"/>
        </w:rPr>
        <w:t>年</w:t>
      </w:r>
      <w:r>
        <w:rPr>
          <w:rFonts w:hint="eastAsia"/>
        </w:rPr>
        <w:t>4</w:t>
      </w:r>
      <w:r>
        <w:rPr>
          <w:rFonts w:hint="eastAsia"/>
        </w:rPr>
        <w:t>月</w:t>
      </w:r>
      <w:r>
        <w:rPr>
          <w:rFonts w:hint="eastAsia"/>
        </w:rPr>
        <w:t>13</w:t>
      </w:r>
      <w:r>
        <w:rPr>
          <w:rFonts w:hint="eastAsia"/>
        </w:rPr>
        <w:t>日至</w:t>
      </w:r>
      <w:r>
        <w:rPr>
          <w:rFonts w:hint="eastAsia"/>
        </w:rPr>
        <w:t>17</w:t>
      </w:r>
      <w:r>
        <w:rPr>
          <w:rFonts w:hint="eastAsia"/>
        </w:rPr>
        <w:t>日在北京举行的第五十四届年度会议对委员会工作方案所列“习惯国际法的识别”、“驱逐外国人”、“保护大气层”和“国家官员的外国刑事管辖豁免”等四个专题的审议情况。随后交换了意见。</w:t>
      </w:r>
    </w:p>
    <w:p w:rsidR="00122297" w:rsidRDefault="00122297" w:rsidP="00122297">
      <w:pPr>
        <w:pStyle w:val="SingleTxt"/>
      </w:pPr>
      <w:r>
        <w:rPr>
          <w:rFonts w:hint="eastAsia"/>
        </w:rPr>
        <w:t xml:space="preserve">313.  </w:t>
      </w:r>
      <w:r>
        <w:rPr>
          <w:rFonts w:hint="eastAsia"/>
        </w:rPr>
        <w:t>美洲司法委员会副主席</w:t>
      </w:r>
      <w:r>
        <w:rPr>
          <w:rFonts w:hint="eastAsia"/>
        </w:rPr>
        <w:t>Carlos Mata Prates</w:t>
      </w:r>
      <w:r>
        <w:rPr>
          <w:rFonts w:hint="eastAsia"/>
        </w:rPr>
        <w:t>先生代表该组织出席了委员会本届会议，并在</w:t>
      </w:r>
      <w:r>
        <w:rPr>
          <w:rFonts w:hint="eastAsia"/>
        </w:rPr>
        <w:t>2015</w:t>
      </w:r>
      <w:r>
        <w:rPr>
          <w:rFonts w:hint="eastAsia"/>
        </w:rPr>
        <w:t>年</w:t>
      </w:r>
      <w:r>
        <w:rPr>
          <w:rFonts w:hint="eastAsia"/>
        </w:rPr>
        <w:t>7</w:t>
      </w:r>
      <w:r>
        <w:rPr>
          <w:rFonts w:hint="eastAsia"/>
        </w:rPr>
        <w:t>月</w:t>
      </w:r>
      <w:r>
        <w:rPr>
          <w:rFonts w:hint="eastAsia"/>
        </w:rPr>
        <w:t>7</w:t>
      </w:r>
      <w:r>
        <w:rPr>
          <w:rFonts w:hint="eastAsia"/>
        </w:rPr>
        <w:t>日第</w:t>
      </w:r>
      <w:r>
        <w:rPr>
          <w:rFonts w:hint="eastAsia"/>
        </w:rPr>
        <w:t>3265</w:t>
      </w:r>
      <w:r>
        <w:rPr>
          <w:rFonts w:hint="eastAsia"/>
        </w:rPr>
        <w:t>次会议上发言。</w:t>
      </w:r>
      <w:r w:rsidRPr="003F1277">
        <w:rPr>
          <w:rStyle w:val="a3"/>
        </w:rPr>
        <w:footnoteReference w:id="407"/>
      </w:r>
      <w:r>
        <w:rPr>
          <w:rFonts w:hint="eastAsia"/>
        </w:rPr>
        <w:t xml:space="preserve"> </w:t>
      </w:r>
      <w:r>
        <w:rPr>
          <w:rFonts w:hint="eastAsia"/>
        </w:rPr>
        <w:t>他概述了该委员会</w:t>
      </w:r>
      <w:r>
        <w:rPr>
          <w:rFonts w:hint="eastAsia"/>
        </w:rPr>
        <w:t>2014/2015</w:t>
      </w:r>
      <w:r>
        <w:rPr>
          <w:rFonts w:hint="eastAsia"/>
        </w:rPr>
        <w:t>年就其处理的种种法律问题开展的活动。随后交换了意见。</w:t>
      </w:r>
    </w:p>
    <w:p w:rsidR="00122297" w:rsidRDefault="00122297" w:rsidP="00122297">
      <w:pPr>
        <w:pStyle w:val="SingleTxt"/>
      </w:pPr>
      <w:r>
        <w:rPr>
          <w:rFonts w:hint="eastAsia"/>
        </w:rPr>
        <w:t xml:space="preserve">314.  </w:t>
      </w:r>
      <w:r>
        <w:rPr>
          <w:rFonts w:hint="eastAsia"/>
        </w:rPr>
        <w:t>国际公法法律顾问委员会主席</w:t>
      </w:r>
      <w:r>
        <w:rPr>
          <w:rFonts w:hint="eastAsia"/>
        </w:rPr>
        <w:t>Paul Rietjens</w:t>
      </w:r>
      <w:r>
        <w:rPr>
          <w:rFonts w:hint="eastAsia"/>
        </w:rPr>
        <w:t>先生和国际公法司司长兼法律咨</w:t>
      </w:r>
      <w:r w:rsidRPr="00B0298A">
        <w:rPr>
          <w:rFonts w:hint="eastAsia"/>
          <w:spacing w:val="-2"/>
        </w:rPr>
        <w:t>询和国际公法局条约处处长</w:t>
      </w:r>
      <w:r w:rsidRPr="00B0298A">
        <w:rPr>
          <w:rFonts w:hint="eastAsia"/>
          <w:spacing w:val="-2"/>
        </w:rPr>
        <w:t>Marta Requena</w:t>
      </w:r>
      <w:r w:rsidRPr="00B0298A">
        <w:rPr>
          <w:rFonts w:hint="eastAsia"/>
          <w:spacing w:val="-2"/>
        </w:rPr>
        <w:t>女士代表欧洲委员会的国际公法法律顾问委员会出席了委员会本届会议，并都在</w:t>
      </w:r>
      <w:r w:rsidRPr="00B0298A">
        <w:rPr>
          <w:rFonts w:hint="eastAsia"/>
          <w:spacing w:val="-2"/>
        </w:rPr>
        <w:t>2015</w:t>
      </w:r>
      <w:r w:rsidRPr="00B0298A">
        <w:rPr>
          <w:rFonts w:hint="eastAsia"/>
          <w:spacing w:val="-2"/>
        </w:rPr>
        <w:t>年</w:t>
      </w:r>
      <w:r w:rsidRPr="00B0298A">
        <w:rPr>
          <w:rFonts w:hint="eastAsia"/>
          <w:spacing w:val="-2"/>
        </w:rPr>
        <w:t>7</w:t>
      </w:r>
      <w:r w:rsidRPr="00B0298A">
        <w:rPr>
          <w:rFonts w:hint="eastAsia"/>
          <w:spacing w:val="-2"/>
        </w:rPr>
        <w:t>月</w:t>
      </w:r>
      <w:r w:rsidRPr="00B0298A">
        <w:rPr>
          <w:rFonts w:hint="eastAsia"/>
          <w:spacing w:val="-2"/>
        </w:rPr>
        <w:t>10</w:t>
      </w:r>
      <w:r w:rsidRPr="00B0298A">
        <w:rPr>
          <w:rFonts w:hint="eastAsia"/>
          <w:spacing w:val="-2"/>
        </w:rPr>
        <w:t>日第</w:t>
      </w:r>
      <w:r w:rsidRPr="00B0298A">
        <w:rPr>
          <w:rFonts w:hint="eastAsia"/>
          <w:spacing w:val="-2"/>
        </w:rPr>
        <w:t>3268</w:t>
      </w:r>
      <w:r w:rsidRPr="00B0298A">
        <w:rPr>
          <w:rFonts w:hint="eastAsia"/>
          <w:spacing w:val="-2"/>
        </w:rPr>
        <w:t>次会议上发言。</w:t>
      </w:r>
      <w:r w:rsidRPr="003F1277">
        <w:rPr>
          <w:rStyle w:val="a3"/>
          <w:spacing w:val="-2"/>
        </w:rPr>
        <w:footnoteReference w:id="408"/>
      </w:r>
      <w:r w:rsidRPr="00B0298A">
        <w:rPr>
          <w:rFonts w:hint="eastAsia"/>
          <w:spacing w:val="-2"/>
        </w:rPr>
        <w:t xml:space="preserve"> </w:t>
      </w:r>
      <w:r>
        <w:rPr>
          <w:rFonts w:hint="eastAsia"/>
        </w:rPr>
        <w:t>他们着重介绍了国际公法法律顾问委员会目前在国际公法领域开展的工作，以及欧洲委员会目前的活动。随后交换了意见。</w:t>
      </w:r>
    </w:p>
    <w:p w:rsidR="00122297" w:rsidRDefault="00122297" w:rsidP="00122297">
      <w:pPr>
        <w:pStyle w:val="SingleTxt"/>
      </w:pPr>
      <w:r>
        <w:rPr>
          <w:rFonts w:hint="eastAsia"/>
        </w:rPr>
        <w:t xml:space="preserve">315.  </w:t>
      </w:r>
      <w:r>
        <w:rPr>
          <w:rFonts w:hint="eastAsia"/>
        </w:rPr>
        <w:t>非洲联盟国际法委员会委员</w:t>
      </w:r>
      <w:r>
        <w:rPr>
          <w:rFonts w:hint="eastAsia"/>
        </w:rPr>
        <w:t>Solo Kholisani</w:t>
      </w:r>
      <w:r>
        <w:rPr>
          <w:rFonts w:hint="eastAsia"/>
        </w:rPr>
        <w:t>法官和</w:t>
      </w:r>
      <w:r>
        <w:rPr>
          <w:rFonts w:hint="eastAsia"/>
        </w:rPr>
        <w:t>Ebenezer Appreku</w:t>
      </w:r>
      <w:r>
        <w:rPr>
          <w:rFonts w:hint="eastAsia"/>
        </w:rPr>
        <w:t>先生以及非洲联盟国际法委员会秘书</w:t>
      </w:r>
      <w:r>
        <w:rPr>
          <w:rFonts w:hint="eastAsia"/>
        </w:rPr>
        <w:t>Mourad Ben-Dhiab</w:t>
      </w:r>
      <w:r>
        <w:rPr>
          <w:rFonts w:hint="eastAsia"/>
        </w:rPr>
        <w:t>先生代表非洲联盟国际法委员会出席了委员会本届会议。</w:t>
      </w:r>
      <w:r>
        <w:rPr>
          <w:rFonts w:hint="eastAsia"/>
        </w:rPr>
        <w:t>Solo Kholisani</w:t>
      </w:r>
      <w:r>
        <w:rPr>
          <w:rFonts w:hint="eastAsia"/>
        </w:rPr>
        <w:t>法官和</w:t>
      </w:r>
      <w:r>
        <w:rPr>
          <w:rFonts w:hint="eastAsia"/>
        </w:rPr>
        <w:t>Ebenezer Appreku</w:t>
      </w:r>
      <w:r>
        <w:rPr>
          <w:rFonts w:hint="eastAsia"/>
        </w:rPr>
        <w:t>先生在</w:t>
      </w:r>
      <w:r>
        <w:rPr>
          <w:rFonts w:hint="eastAsia"/>
        </w:rPr>
        <w:t>2015</w:t>
      </w:r>
      <w:r>
        <w:rPr>
          <w:rFonts w:hint="eastAsia"/>
        </w:rPr>
        <w:t>年</w:t>
      </w:r>
      <w:r>
        <w:rPr>
          <w:rFonts w:hint="eastAsia"/>
        </w:rPr>
        <w:t>7</w:t>
      </w:r>
      <w:r>
        <w:rPr>
          <w:rFonts w:hint="eastAsia"/>
        </w:rPr>
        <w:t>月</w:t>
      </w:r>
      <w:r>
        <w:rPr>
          <w:rFonts w:hint="eastAsia"/>
        </w:rPr>
        <w:t>23</w:t>
      </w:r>
      <w:r>
        <w:rPr>
          <w:rFonts w:hint="eastAsia"/>
        </w:rPr>
        <w:t>日第</w:t>
      </w:r>
      <w:r>
        <w:rPr>
          <w:rFonts w:hint="eastAsia"/>
        </w:rPr>
        <w:t>3276</w:t>
      </w:r>
      <w:r>
        <w:rPr>
          <w:rFonts w:hint="eastAsia"/>
        </w:rPr>
        <w:t>次会议上发了言。</w:t>
      </w:r>
      <w:r w:rsidRPr="003F1277">
        <w:rPr>
          <w:rStyle w:val="a3"/>
        </w:rPr>
        <w:footnoteReference w:id="409"/>
      </w:r>
      <w:r>
        <w:rPr>
          <w:rFonts w:hint="eastAsia"/>
        </w:rPr>
        <w:t xml:space="preserve"> </w:t>
      </w:r>
      <w:r>
        <w:rPr>
          <w:rFonts w:hint="eastAsia"/>
        </w:rPr>
        <w:t>他们概述了非洲联盟国际法委员会的活动。随后交换了意见。</w:t>
      </w:r>
    </w:p>
    <w:p w:rsidR="00122297" w:rsidRDefault="00122297" w:rsidP="00122297">
      <w:pPr>
        <w:pStyle w:val="SingleTxt"/>
      </w:pPr>
      <w:r>
        <w:rPr>
          <w:rFonts w:hint="eastAsia"/>
        </w:rPr>
        <w:t xml:space="preserve">316.  </w:t>
      </w:r>
      <w:r>
        <w:rPr>
          <w:rFonts w:hint="eastAsia"/>
        </w:rPr>
        <w:t>联合国人权事务高级专员扎伊德·拉阿德·侯赛因先生在委员会</w:t>
      </w:r>
      <w:r>
        <w:rPr>
          <w:rFonts w:hint="eastAsia"/>
        </w:rPr>
        <w:t>2015</w:t>
      </w:r>
      <w:r>
        <w:rPr>
          <w:rFonts w:hint="eastAsia"/>
        </w:rPr>
        <w:t>年</w:t>
      </w:r>
      <w:r>
        <w:rPr>
          <w:rFonts w:hint="eastAsia"/>
        </w:rPr>
        <w:t>7</w:t>
      </w:r>
      <w:r>
        <w:rPr>
          <w:rFonts w:hint="eastAsia"/>
        </w:rPr>
        <w:t>月</w:t>
      </w:r>
      <w:r>
        <w:rPr>
          <w:rFonts w:hint="eastAsia"/>
        </w:rPr>
        <w:t>21</w:t>
      </w:r>
      <w:r>
        <w:rPr>
          <w:rFonts w:hint="eastAsia"/>
        </w:rPr>
        <w:t>日第</w:t>
      </w:r>
      <w:r>
        <w:rPr>
          <w:rFonts w:hint="eastAsia"/>
        </w:rPr>
        <w:t>3272</w:t>
      </w:r>
      <w:r>
        <w:rPr>
          <w:rFonts w:hint="eastAsia"/>
        </w:rPr>
        <w:t>次会议上发了言。</w:t>
      </w:r>
      <w:r w:rsidRPr="003F1277">
        <w:rPr>
          <w:rStyle w:val="a3"/>
        </w:rPr>
        <w:footnoteReference w:id="410"/>
      </w:r>
      <w:r>
        <w:rPr>
          <w:rFonts w:hint="eastAsia"/>
        </w:rPr>
        <w:t xml:space="preserve"> </w:t>
      </w:r>
      <w:r>
        <w:rPr>
          <w:rFonts w:hint="eastAsia"/>
        </w:rPr>
        <w:t>他概述了人权高专办在人权领域开展的活动和关注的一些问题，并评论了委员会工作方案所列的一些专题，即“危害人类罪”和“国家官员的外国刑事管辖豁免”。随后交换了意见。</w:t>
      </w:r>
    </w:p>
    <w:p w:rsidR="00122297" w:rsidRDefault="00122297" w:rsidP="00122297">
      <w:pPr>
        <w:pStyle w:val="SingleTxt"/>
      </w:pPr>
      <w:r>
        <w:rPr>
          <w:rFonts w:hint="eastAsia"/>
        </w:rPr>
        <w:t>317.  2015</w:t>
      </w:r>
      <w:r>
        <w:rPr>
          <w:rFonts w:hint="eastAsia"/>
        </w:rPr>
        <w:t>年</w:t>
      </w:r>
      <w:r>
        <w:rPr>
          <w:rFonts w:hint="eastAsia"/>
        </w:rPr>
        <w:t>7</w:t>
      </w:r>
      <w:r>
        <w:rPr>
          <w:rFonts w:hint="eastAsia"/>
        </w:rPr>
        <w:t>月</w:t>
      </w:r>
      <w:r>
        <w:rPr>
          <w:rFonts w:hint="eastAsia"/>
        </w:rPr>
        <w:t>9</w:t>
      </w:r>
      <w:r>
        <w:rPr>
          <w:rFonts w:hint="eastAsia"/>
        </w:rPr>
        <w:t>日，委员会委员与红十字国际委员会</w:t>
      </w:r>
      <w:r>
        <w:rPr>
          <w:rFonts w:hint="eastAsia"/>
        </w:rPr>
        <w:t>(</w:t>
      </w:r>
      <w:r>
        <w:rPr>
          <w:rFonts w:hint="eastAsia"/>
        </w:rPr>
        <w:t>红十字会</w:t>
      </w:r>
      <w:r>
        <w:rPr>
          <w:rFonts w:hint="eastAsia"/>
        </w:rPr>
        <w:t>)</w:t>
      </w:r>
      <w:r>
        <w:rPr>
          <w:rFonts w:hint="eastAsia"/>
        </w:rPr>
        <w:t>就共同关心的问题非正式地交换了意见。介绍了国际红十字和红新月运动第</w:t>
      </w:r>
      <w:r>
        <w:rPr>
          <w:rFonts w:hint="eastAsia"/>
        </w:rPr>
        <w:t>32</w:t>
      </w:r>
      <w:r>
        <w:rPr>
          <w:rFonts w:hint="eastAsia"/>
        </w:rPr>
        <w:t>届国际会议的筹备情况以及红十字会更新其对日内瓦四公约及附加议定书所作评注的情况。还介绍</w:t>
      </w:r>
      <w:r>
        <w:rPr>
          <w:rFonts w:hint="eastAsia"/>
        </w:rPr>
        <w:lastRenderedPageBreak/>
        <w:t>了委员会工作方案所列各专题，包括“与条约解释相关的嗣后协定和嗣后惯例”和“危害人类罪”。</w:t>
      </w:r>
      <w:r w:rsidRPr="003F1277">
        <w:rPr>
          <w:rStyle w:val="a3"/>
        </w:rPr>
        <w:footnoteReference w:id="411"/>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95533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right="1259" w:hanging="1264"/>
      </w:pPr>
      <w:r>
        <w:rPr>
          <w:rFonts w:hint="eastAsia"/>
        </w:rPr>
        <w:tab/>
        <w:t>E.</w:t>
      </w:r>
      <w:r>
        <w:rPr>
          <w:rFonts w:hint="eastAsia"/>
        </w:rPr>
        <w:tab/>
        <w:t>出席大会第七十届会议的代表</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318.  </w:t>
      </w:r>
      <w:r>
        <w:rPr>
          <w:rFonts w:hint="eastAsia"/>
        </w:rPr>
        <w:t>委员会决定由主席纳林德·辛格先生代表委员会出席大会第七十届会议。</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Pr="00B0298A" w:rsidRDefault="00122297" w:rsidP="0012229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F.</w:t>
      </w:r>
      <w:r>
        <w:rPr>
          <w:rFonts w:hint="eastAsia"/>
        </w:rPr>
        <w:tab/>
        <w:t>国际法讲习班</w:t>
      </w:r>
    </w:p>
    <w:p w:rsidR="00122297" w:rsidRPr="00D55A10" w:rsidRDefault="00122297" w:rsidP="00122297">
      <w:pPr>
        <w:pStyle w:val="SingleTxt"/>
        <w:spacing w:after="0" w:line="120" w:lineRule="exact"/>
        <w:rPr>
          <w:sz w:val="10"/>
        </w:rPr>
      </w:pPr>
    </w:p>
    <w:p w:rsidR="00122297" w:rsidRPr="00D55A10" w:rsidRDefault="00122297" w:rsidP="00122297">
      <w:pPr>
        <w:pStyle w:val="SingleTxt"/>
        <w:spacing w:after="0" w:line="120" w:lineRule="exact"/>
        <w:rPr>
          <w:sz w:val="10"/>
        </w:rPr>
      </w:pPr>
    </w:p>
    <w:p w:rsidR="00122297" w:rsidRDefault="00122297" w:rsidP="00122297">
      <w:pPr>
        <w:pStyle w:val="SingleTxt"/>
      </w:pPr>
      <w:r>
        <w:rPr>
          <w:rFonts w:hint="eastAsia"/>
        </w:rPr>
        <w:t xml:space="preserve">319.  </w:t>
      </w:r>
      <w:r>
        <w:rPr>
          <w:rFonts w:hint="eastAsia"/>
        </w:rPr>
        <w:t>依照大会第</w:t>
      </w:r>
      <w:r>
        <w:rPr>
          <w:rFonts w:hint="eastAsia"/>
        </w:rPr>
        <w:t>69/118</w:t>
      </w:r>
      <w:r>
        <w:rPr>
          <w:rFonts w:hint="eastAsia"/>
        </w:rPr>
        <w:t>号决议，在国际法委员会本届会议期间，第五十一届国际法讲习班于</w:t>
      </w:r>
      <w:r>
        <w:rPr>
          <w:rFonts w:hint="eastAsia"/>
        </w:rPr>
        <w:t>2015</w:t>
      </w:r>
      <w:r>
        <w:rPr>
          <w:rFonts w:hint="eastAsia"/>
        </w:rPr>
        <w:t>年</w:t>
      </w:r>
      <w:r>
        <w:rPr>
          <w:rFonts w:hint="eastAsia"/>
        </w:rPr>
        <w:t>7</w:t>
      </w:r>
      <w:r>
        <w:rPr>
          <w:rFonts w:hint="eastAsia"/>
        </w:rPr>
        <w:t>月</w:t>
      </w:r>
      <w:r>
        <w:rPr>
          <w:rFonts w:hint="eastAsia"/>
        </w:rPr>
        <w:t>6</w:t>
      </w:r>
      <w:r>
        <w:rPr>
          <w:rFonts w:hint="eastAsia"/>
        </w:rPr>
        <w:t>日至</w:t>
      </w:r>
      <w:r>
        <w:rPr>
          <w:rFonts w:hint="eastAsia"/>
        </w:rPr>
        <w:t>24</w:t>
      </w:r>
      <w:r>
        <w:rPr>
          <w:rFonts w:hint="eastAsia"/>
        </w:rPr>
        <w:t>日在万国宫举行。讲习班的对象是专长于国际法的年轻法学家、年轻教师以及在其本国公务员系统任职的从事学术或外交工作的政府官员。</w:t>
      </w:r>
    </w:p>
    <w:p w:rsidR="00122297" w:rsidRDefault="00122297" w:rsidP="00122297">
      <w:pPr>
        <w:pStyle w:val="SingleTxt"/>
      </w:pPr>
      <w:r>
        <w:rPr>
          <w:rFonts w:hint="eastAsia"/>
        </w:rPr>
        <w:t xml:space="preserve">320.  </w:t>
      </w:r>
      <w:r>
        <w:rPr>
          <w:rFonts w:hint="eastAsia"/>
        </w:rPr>
        <w:t>代表所有区域集团的</w:t>
      </w:r>
      <w:r>
        <w:rPr>
          <w:rFonts w:hint="eastAsia"/>
        </w:rPr>
        <w:t>24</w:t>
      </w:r>
      <w:r>
        <w:rPr>
          <w:rFonts w:hint="eastAsia"/>
        </w:rPr>
        <w:t>名不同国籍的学员参加了这届讲习班。</w:t>
      </w:r>
      <w:r w:rsidRPr="003F1277">
        <w:rPr>
          <w:rStyle w:val="a3"/>
        </w:rPr>
        <w:footnoteReference w:id="412"/>
      </w:r>
      <w:r>
        <w:rPr>
          <w:rFonts w:hint="eastAsia"/>
        </w:rPr>
        <w:t xml:space="preserve"> </w:t>
      </w:r>
      <w:r>
        <w:rPr>
          <w:rFonts w:hint="eastAsia"/>
        </w:rPr>
        <w:t>学员们列席了委员会的全体会议，参加了特别安排的专题演讲和关于特定专题的工作组。</w:t>
      </w:r>
    </w:p>
    <w:p w:rsidR="00122297" w:rsidRDefault="00122297" w:rsidP="00122297">
      <w:pPr>
        <w:pStyle w:val="SingleTxt"/>
      </w:pPr>
      <w:r>
        <w:rPr>
          <w:rFonts w:hint="eastAsia"/>
        </w:rPr>
        <w:t xml:space="preserve">321.  </w:t>
      </w:r>
      <w:r>
        <w:rPr>
          <w:rFonts w:hint="eastAsia"/>
        </w:rPr>
        <w:t>讲习班由委员会主席纳林德·辛格先生主持开幕，联合国日内瓦办事处高级法律顾问马库斯·施密特先生负责讲习班的行政管理、组织事宜和活动的进行。日内瓦大学负责保证讲习班的科学协调。日内瓦大学国际法专家维托利奥·曼内蒂先生担任协调员，法律助理</w:t>
      </w:r>
      <w:r>
        <w:rPr>
          <w:rFonts w:hint="eastAsia"/>
        </w:rPr>
        <w:t>Yusra Suedi</w:t>
      </w:r>
      <w:r>
        <w:rPr>
          <w:rFonts w:hint="eastAsia"/>
        </w:rPr>
        <w:t>女士和联合国日内瓦办事处法律联络处实习生</w:t>
      </w:r>
      <w:r>
        <w:rPr>
          <w:rFonts w:hint="eastAsia"/>
        </w:rPr>
        <w:t>Cami Schwab</w:t>
      </w:r>
      <w:r>
        <w:rPr>
          <w:rFonts w:hint="eastAsia"/>
        </w:rPr>
        <w:t>女士从旁协助。</w:t>
      </w:r>
    </w:p>
    <w:p w:rsidR="00122297" w:rsidRDefault="00122297" w:rsidP="00122297">
      <w:pPr>
        <w:pStyle w:val="SingleTxt"/>
      </w:pPr>
      <w:r w:rsidRPr="00592D64">
        <w:rPr>
          <w:rFonts w:hint="eastAsia"/>
          <w:spacing w:val="2"/>
        </w:rPr>
        <w:t xml:space="preserve">322.  </w:t>
      </w:r>
      <w:r w:rsidRPr="00592D64">
        <w:rPr>
          <w:rFonts w:hint="eastAsia"/>
          <w:spacing w:val="2"/>
        </w:rPr>
        <w:t>委员会下列委员作了演讲：埃内斯特·彼得里奇先生：“国际法委员会的工作”；</w:t>
      </w:r>
      <w:r>
        <w:rPr>
          <w:rFonts w:hint="eastAsia"/>
        </w:rPr>
        <w:t>迪雷·特拉迪先生：“强制法”；帕维尔·斯图尔马先生：“与国家责任有关的国家继承”；康塞普西翁·埃斯科瓦尔·埃尔南德斯女士：“国家官员的外国刑事管辖豁免”；村濑信也先生：“保护大气层”；格奥尔格·诺尔特先生：“与条约解释相关的嗣后协定和嗣后惯例”；迈克尔·伍德先生：“习惯国际法的识别”；玛丽·雅各布松女士：“与武装冲突有关的环境保护”；肖恩·墨菲先生：“危害人类罪”。</w:t>
      </w:r>
    </w:p>
    <w:p w:rsidR="00122297" w:rsidRDefault="00122297" w:rsidP="00122297">
      <w:pPr>
        <w:pStyle w:val="SingleTxt"/>
      </w:pPr>
      <w:r>
        <w:rPr>
          <w:rFonts w:hint="eastAsia"/>
        </w:rPr>
        <w:lastRenderedPageBreak/>
        <w:t xml:space="preserve">323.  </w:t>
      </w:r>
      <w:r>
        <w:rPr>
          <w:rFonts w:hint="eastAsia"/>
        </w:rPr>
        <w:t>讲习班学员参加了六场外部会议。他们参加了日内瓦大学与日内瓦水枢纽合办的一次研讨会，主题是“国际水法：执行问题”。下列人士在会上演讲：</w:t>
      </w:r>
      <w:r>
        <w:rPr>
          <w:rFonts w:hint="eastAsia"/>
        </w:rPr>
        <w:t>Danae Azaria</w:t>
      </w:r>
      <w:r>
        <w:rPr>
          <w:rFonts w:hint="eastAsia"/>
        </w:rPr>
        <w:t>女士</w:t>
      </w:r>
      <w:r>
        <w:rPr>
          <w:rFonts w:hint="eastAsia"/>
        </w:rPr>
        <w:t>(</w:t>
      </w:r>
      <w:r>
        <w:rPr>
          <w:rFonts w:hint="eastAsia"/>
        </w:rPr>
        <w:t>伦敦大学学院讲师</w:t>
      </w:r>
      <w:r>
        <w:rPr>
          <w:rFonts w:hint="eastAsia"/>
        </w:rPr>
        <w:t>)</w:t>
      </w:r>
      <w:r>
        <w:rPr>
          <w:rFonts w:hint="eastAsia"/>
        </w:rPr>
        <w:t>、</w:t>
      </w:r>
      <w:r>
        <w:rPr>
          <w:rFonts w:hint="eastAsia"/>
        </w:rPr>
        <w:t>Laurence Boisson de Chazournes</w:t>
      </w:r>
      <w:r>
        <w:rPr>
          <w:rFonts w:hint="eastAsia"/>
        </w:rPr>
        <w:t>教授</w:t>
      </w:r>
      <w:r>
        <w:rPr>
          <w:rFonts w:hint="eastAsia"/>
        </w:rPr>
        <w:t>(</w:t>
      </w:r>
      <w:r>
        <w:rPr>
          <w:rFonts w:hint="eastAsia"/>
        </w:rPr>
        <w:t>日内瓦大学</w:t>
      </w:r>
      <w:r>
        <w:rPr>
          <w:rFonts w:hint="eastAsia"/>
        </w:rPr>
        <w:t>)</w:t>
      </w:r>
      <w:r>
        <w:rPr>
          <w:rFonts w:hint="eastAsia"/>
        </w:rPr>
        <w:t>、卢修斯·卡弗利施先生</w:t>
      </w:r>
      <w:r>
        <w:rPr>
          <w:rFonts w:hint="eastAsia"/>
        </w:rPr>
        <w:t>(</w:t>
      </w:r>
      <w:r>
        <w:rPr>
          <w:rFonts w:hint="eastAsia"/>
        </w:rPr>
        <w:t>国际法委员会委员</w:t>
      </w:r>
      <w:r>
        <w:rPr>
          <w:rFonts w:hint="eastAsia"/>
        </w:rPr>
        <w:t>)</w:t>
      </w:r>
      <w:r>
        <w:rPr>
          <w:rFonts w:hint="eastAsia"/>
        </w:rPr>
        <w:t>、莫里斯·卡姆托先生</w:t>
      </w:r>
      <w:r>
        <w:rPr>
          <w:rFonts w:hint="eastAsia"/>
        </w:rPr>
        <w:t>(</w:t>
      </w:r>
      <w:r>
        <w:rPr>
          <w:rFonts w:hint="eastAsia"/>
        </w:rPr>
        <w:t>国际法委员会委员</w:t>
      </w:r>
      <w:r>
        <w:rPr>
          <w:rFonts w:hint="eastAsia"/>
        </w:rPr>
        <w:t>)</w:t>
      </w:r>
      <w:r>
        <w:rPr>
          <w:rFonts w:hint="eastAsia"/>
        </w:rPr>
        <w:t>、</w:t>
      </w:r>
      <w:r>
        <w:rPr>
          <w:rFonts w:hint="eastAsia"/>
        </w:rPr>
        <w:t>Attila Tanzi</w:t>
      </w:r>
      <w:r>
        <w:rPr>
          <w:rFonts w:hint="eastAsia"/>
        </w:rPr>
        <w:t>教授</w:t>
      </w:r>
      <w:r>
        <w:rPr>
          <w:rFonts w:hint="eastAsia"/>
        </w:rPr>
        <w:t>(</w:t>
      </w:r>
      <w:r>
        <w:rPr>
          <w:rFonts w:hint="eastAsia"/>
        </w:rPr>
        <w:t>意大利博洛尼亚大学</w:t>
      </w:r>
      <w:r>
        <w:rPr>
          <w:rFonts w:hint="eastAsia"/>
        </w:rPr>
        <w:t>)</w:t>
      </w:r>
      <w:r>
        <w:rPr>
          <w:rFonts w:hint="eastAsia"/>
        </w:rPr>
        <w:t>、</w:t>
      </w:r>
      <w:r>
        <w:rPr>
          <w:rFonts w:hint="eastAsia"/>
        </w:rPr>
        <w:t>Christina Leb</w:t>
      </w:r>
      <w:r>
        <w:rPr>
          <w:rFonts w:hint="eastAsia"/>
        </w:rPr>
        <w:t>女士</w:t>
      </w:r>
      <w:r>
        <w:rPr>
          <w:rFonts w:hint="eastAsia"/>
        </w:rPr>
        <w:t>(</w:t>
      </w:r>
      <w:r>
        <w:rPr>
          <w:rFonts w:hint="eastAsia"/>
        </w:rPr>
        <w:t>世界银行</w:t>
      </w:r>
      <w:r>
        <w:rPr>
          <w:rFonts w:hint="eastAsia"/>
        </w:rPr>
        <w:t>)</w:t>
      </w:r>
      <w:r>
        <w:rPr>
          <w:rFonts w:hint="eastAsia"/>
        </w:rPr>
        <w:t>、</w:t>
      </w:r>
      <w:r>
        <w:rPr>
          <w:rFonts w:hint="eastAsia"/>
        </w:rPr>
        <w:t>Marco Sass</w:t>
      </w:r>
      <w:r w:rsidRPr="00E3365C">
        <w:rPr>
          <w:rFonts w:asciiTheme="majorBidi" w:hAnsiTheme="majorBidi" w:cstheme="majorBidi"/>
        </w:rPr>
        <w:t>òli</w:t>
      </w:r>
      <w:r>
        <w:rPr>
          <w:rFonts w:hint="eastAsia"/>
        </w:rPr>
        <w:t>教授</w:t>
      </w:r>
      <w:r>
        <w:rPr>
          <w:rFonts w:hint="eastAsia"/>
        </w:rPr>
        <w:t>(</w:t>
      </w:r>
      <w:r>
        <w:rPr>
          <w:rFonts w:hint="eastAsia"/>
        </w:rPr>
        <w:t>日内瓦大学</w:t>
      </w:r>
      <w:r>
        <w:rPr>
          <w:rFonts w:hint="eastAsia"/>
        </w:rPr>
        <w:t>)</w:t>
      </w:r>
      <w:r>
        <w:rPr>
          <w:rFonts w:hint="eastAsia"/>
        </w:rPr>
        <w:t>和</w:t>
      </w:r>
      <w:r>
        <w:rPr>
          <w:rFonts w:hint="eastAsia"/>
        </w:rPr>
        <w:t>Mara Tignino</w:t>
      </w:r>
      <w:r>
        <w:rPr>
          <w:rFonts w:hint="eastAsia"/>
        </w:rPr>
        <w:t>女士</w:t>
      </w:r>
      <w:r>
        <w:rPr>
          <w:rFonts w:hint="eastAsia"/>
        </w:rPr>
        <w:t>(</w:t>
      </w:r>
      <w:r>
        <w:rPr>
          <w:rFonts w:hint="eastAsia"/>
        </w:rPr>
        <w:t>日内瓦大学</w:t>
      </w:r>
      <w:r>
        <w:rPr>
          <w:rFonts w:hint="eastAsia"/>
        </w:rPr>
        <w:t>)</w:t>
      </w:r>
      <w:r>
        <w:rPr>
          <w:rFonts w:hint="eastAsia"/>
        </w:rPr>
        <w:t>。研讨会结束后，日内瓦水枢纽举行了招待会。在国际劳工组织举行了一次关于“国际行政法庭”的特别会议，由劳工组织行政法庭书记官长</w:t>
      </w:r>
      <w:r>
        <w:rPr>
          <w:rFonts w:hint="eastAsia"/>
        </w:rPr>
        <w:t>Drazen Petrovic</w:t>
      </w:r>
      <w:r>
        <w:rPr>
          <w:rFonts w:hint="eastAsia"/>
        </w:rPr>
        <w:t>先生主持。讲习班学员还参加了一个介绍会，由联合国难民事务高级专员高级法律顾问</w:t>
      </w:r>
      <w:r>
        <w:rPr>
          <w:rFonts w:hint="eastAsia"/>
        </w:rPr>
        <w:t>Cornelis Wouters</w:t>
      </w:r>
      <w:r>
        <w:rPr>
          <w:rFonts w:hint="eastAsia"/>
        </w:rPr>
        <w:t>先生介绍“国际难民法”。他们还应日内瓦国际和发展研究院的邀请，参加了一年一度的</w:t>
      </w:r>
      <w:r>
        <w:rPr>
          <w:rFonts w:hint="eastAsia"/>
        </w:rPr>
        <w:t>Lalive</w:t>
      </w:r>
      <w:r>
        <w:rPr>
          <w:rFonts w:hint="eastAsia"/>
        </w:rPr>
        <w:t>讲座。演讲人是肖恩·墨菲先生，题目是“正在兴起的趋势：《海洋法》下争端的解决”。在参观了国际电信联盟</w:t>
      </w:r>
      <w:r>
        <w:rPr>
          <w:rFonts w:hint="eastAsia"/>
        </w:rPr>
        <w:t>(</w:t>
      </w:r>
      <w:r>
        <w:rPr>
          <w:rFonts w:hint="eastAsia"/>
        </w:rPr>
        <w:t>电联</w:t>
      </w:r>
      <w:r>
        <w:rPr>
          <w:rFonts w:hint="eastAsia"/>
        </w:rPr>
        <w:t>)</w:t>
      </w:r>
      <w:r>
        <w:rPr>
          <w:rFonts w:hint="eastAsia"/>
        </w:rPr>
        <w:t>博物馆之后，电联法律干事</w:t>
      </w:r>
      <w:r>
        <w:rPr>
          <w:rFonts w:hint="eastAsia"/>
        </w:rPr>
        <w:t>Nikos Volanis</w:t>
      </w:r>
      <w:r>
        <w:rPr>
          <w:rFonts w:hint="eastAsia"/>
        </w:rPr>
        <w:t>先生还在电联作了简要介绍。最后，在世界卫生组织举行了一次特别会议，由首席法务官</w:t>
      </w:r>
      <w:r>
        <w:rPr>
          <w:rFonts w:hint="eastAsia"/>
        </w:rPr>
        <w:t>Steven A. Solomon</w:t>
      </w:r>
      <w:r>
        <w:rPr>
          <w:rFonts w:hint="eastAsia"/>
        </w:rPr>
        <w:t>先生和协理法律干事</w:t>
      </w:r>
      <w:r>
        <w:rPr>
          <w:rFonts w:hint="eastAsia"/>
        </w:rPr>
        <w:t>Jakob Quirin</w:t>
      </w:r>
      <w:r>
        <w:rPr>
          <w:rFonts w:hint="eastAsia"/>
        </w:rPr>
        <w:t>先生介绍“国际法和卫生”。</w:t>
      </w:r>
    </w:p>
    <w:p w:rsidR="00122297" w:rsidRDefault="00122297" w:rsidP="00122297">
      <w:pPr>
        <w:pStyle w:val="SingleTxt"/>
      </w:pPr>
      <w:r>
        <w:rPr>
          <w:rFonts w:hint="eastAsia"/>
        </w:rPr>
        <w:t xml:space="preserve">324.  </w:t>
      </w:r>
      <w:r>
        <w:rPr>
          <w:rFonts w:hint="eastAsia"/>
        </w:rPr>
        <w:t>围绕“强制法”和“与国家责任有关的国家继承”组织了两个讲习班工作组。每名参加讲习班的学员都被分配到其中一个工作组。两位国际法委员会委员迪雷·特拉迪先生和帕维尔·斯图尔马先生为工作组提供了督导和指导。每个工作组写了一份报告，并在讲习班最后一次工作会议上介绍了报告结论。报告已编辑成册，发给所有学员和委员会委员。</w:t>
      </w:r>
    </w:p>
    <w:p w:rsidR="00122297" w:rsidRDefault="00122297" w:rsidP="00122297">
      <w:pPr>
        <w:pStyle w:val="SingleTxt"/>
      </w:pPr>
      <w:r>
        <w:rPr>
          <w:rFonts w:hint="eastAsia"/>
        </w:rPr>
        <w:t xml:space="preserve">325.  </w:t>
      </w:r>
      <w:r>
        <w:rPr>
          <w:rFonts w:hint="eastAsia"/>
        </w:rPr>
        <w:t>日内瓦共和国和州政府一如既往地在日内瓦市政厅热情接待了讲习班学员，带学员们参观了阿拉巴马厅，并举行了鸡尾酒招待会。</w:t>
      </w:r>
    </w:p>
    <w:p w:rsidR="00122297" w:rsidRDefault="00122297" w:rsidP="00122297">
      <w:pPr>
        <w:pStyle w:val="SingleTxt"/>
      </w:pPr>
      <w:r>
        <w:rPr>
          <w:rFonts w:hint="eastAsia"/>
        </w:rPr>
        <w:t xml:space="preserve">326.  </w:t>
      </w:r>
      <w:r>
        <w:rPr>
          <w:rFonts w:hint="eastAsia"/>
        </w:rPr>
        <w:t>联合王国常驻联合国和日内瓦其他国际组织代表邀请讲习班学员参加了在他官邸举行的招待会。</w:t>
      </w:r>
    </w:p>
    <w:p w:rsidR="00122297" w:rsidRDefault="00122297" w:rsidP="00122297">
      <w:pPr>
        <w:pStyle w:val="SingleTxt"/>
      </w:pPr>
      <w:r>
        <w:rPr>
          <w:rFonts w:hint="eastAsia"/>
        </w:rPr>
        <w:t xml:space="preserve">327.  </w:t>
      </w:r>
      <w:r>
        <w:rPr>
          <w:rFonts w:hint="eastAsia"/>
        </w:rPr>
        <w:t>讲习班闭幕式上，国际法委员会主席纳林德·辛格先生、国际法讲习班主任马库斯·施密特先生和讲习班学员代表</w:t>
      </w:r>
      <w:r>
        <w:rPr>
          <w:rFonts w:hint="eastAsia"/>
        </w:rPr>
        <w:t>Momchil Milanov</w:t>
      </w:r>
      <w:r>
        <w:rPr>
          <w:rFonts w:hint="eastAsia"/>
        </w:rPr>
        <w:t>先生向委员会致辞。每名学员都获得了一份参加讲习班的证书。</w:t>
      </w:r>
    </w:p>
    <w:p w:rsidR="00F53060" w:rsidRDefault="00122297" w:rsidP="00122297">
      <w:pPr>
        <w:pStyle w:val="SingleTxt"/>
        <w:sectPr w:rsidR="00F53060" w:rsidSect="00955333">
          <w:headerReference w:type="even" r:id="rId17"/>
          <w:headerReference w:type="default" r:id="rId18"/>
          <w:footerReference w:type="even" r:id="rId19"/>
          <w:footerReference w:type="default" r:id="rId20"/>
          <w:footnotePr>
            <w:numRestart w:val="eachSect"/>
          </w:footnotePr>
          <w:pgSz w:w="11909" w:h="16834" w:code="1"/>
          <w:pgMar w:top="1741" w:right="936" w:bottom="1899" w:left="936" w:header="578" w:footer="1032" w:gutter="0"/>
          <w:cols w:space="425"/>
          <w:noEndnote/>
          <w:docGrid w:linePitch="312"/>
        </w:sectPr>
      </w:pPr>
      <w:r>
        <w:rPr>
          <w:rFonts w:hint="eastAsia"/>
        </w:rPr>
        <w:t xml:space="preserve">328.  </w:t>
      </w:r>
      <w:r>
        <w:rPr>
          <w:rFonts w:hint="eastAsia"/>
        </w:rPr>
        <w:t>委员会特别感谢地指出，自</w:t>
      </w:r>
      <w:r>
        <w:rPr>
          <w:rFonts w:hint="eastAsia"/>
        </w:rPr>
        <w:t>2013</w:t>
      </w:r>
      <w:r>
        <w:rPr>
          <w:rFonts w:hint="eastAsia"/>
        </w:rPr>
        <w:t>年以来，阿根廷、奥地利、中国、芬兰、印度、爱尔兰、墨西哥、瑞典、瑞士、联合王国等国政府向联合国国际法讲习班信托基金提供了自愿捐款。总部设在罗马（意大利）的一个致力于促进国际法的私人协会</w:t>
      </w:r>
      <w:r w:rsidRPr="00B0298A">
        <w:rPr>
          <w:rFonts w:hint="eastAsia"/>
          <w:spacing w:val="-50"/>
        </w:rPr>
        <w:t>―</w:t>
      </w:r>
      <w:r>
        <w:rPr>
          <w:rFonts w:hint="eastAsia"/>
        </w:rPr>
        <w:t>―“国际法界”</w:t>
      </w:r>
      <w:r>
        <w:rPr>
          <w:rFonts w:hint="eastAsia"/>
        </w:rPr>
        <w:t>(Circolo di diritto internazionale)</w:t>
      </w:r>
      <w:r>
        <w:rPr>
          <w:rFonts w:hint="eastAsia"/>
        </w:rPr>
        <w:t>也向讲习班提供了捐助。尽管近年的金融危机严重影响了讲习班的财务状况，但信托基金还可以提供足够份数的研究金，使录取的候选人、特别是来自发展中国家的被录取候选人得以参加，从而实现了学员的适当地域分布。今年，向</w:t>
      </w:r>
      <w:r>
        <w:rPr>
          <w:rFonts w:hint="eastAsia"/>
        </w:rPr>
        <w:t>14</w:t>
      </w:r>
      <w:r>
        <w:rPr>
          <w:rFonts w:hint="eastAsia"/>
        </w:rPr>
        <w:t>名学员颁发了研究金</w:t>
      </w:r>
      <w:r>
        <w:rPr>
          <w:rFonts w:hint="eastAsia"/>
        </w:rPr>
        <w:t>(</w:t>
      </w:r>
      <w:r>
        <w:rPr>
          <w:rFonts w:hint="eastAsia"/>
        </w:rPr>
        <w:t>九人获得旅费和生活津贴，三人只获得生活津贴，两人只获得旅费</w:t>
      </w:r>
      <w:r>
        <w:rPr>
          <w:rFonts w:hint="eastAsia"/>
        </w:rPr>
        <w:t>)</w:t>
      </w:r>
      <w:r>
        <w:rPr>
          <w:rFonts w:hint="eastAsia"/>
        </w:rPr>
        <w:t>。</w:t>
      </w:r>
    </w:p>
    <w:p w:rsidR="00122297" w:rsidRDefault="00122297" w:rsidP="00122297">
      <w:pPr>
        <w:pStyle w:val="SingleTxt"/>
      </w:pPr>
      <w:r>
        <w:rPr>
          <w:rFonts w:hint="eastAsia"/>
        </w:rPr>
        <w:lastRenderedPageBreak/>
        <w:t xml:space="preserve">329.  </w:t>
      </w:r>
      <w:r>
        <w:rPr>
          <w:rFonts w:hint="eastAsia"/>
        </w:rPr>
        <w:t>自</w:t>
      </w:r>
      <w:r>
        <w:rPr>
          <w:rFonts w:hint="eastAsia"/>
        </w:rPr>
        <w:t>1965</w:t>
      </w:r>
      <w:r>
        <w:rPr>
          <w:rFonts w:hint="eastAsia"/>
        </w:rPr>
        <w:t>年创设讲习班以来，分属</w:t>
      </w:r>
      <w:r>
        <w:rPr>
          <w:rFonts w:hint="eastAsia"/>
        </w:rPr>
        <w:t>171</w:t>
      </w:r>
      <w:r>
        <w:rPr>
          <w:rFonts w:hint="eastAsia"/>
        </w:rPr>
        <w:t>个不同国籍的</w:t>
      </w:r>
      <w:r>
        <w:rPr>
          <w:rFonts w:hint="eastAsia"/>
        </w:rPr>
        <w:t>1,163</w:t>
      </w:r>
      <w:r>
        <w:rPr>
          <w:rFonts w:hint="eastAsia"/>
        </w:rPr>
        <w:t>名学员参加了讲习班，其中</w:t>
      </w:r>
      <w:r>
        <w:rPr>
          <w:rFonts w:hint="eastAsia"/>
        </w:rPr>
        <w:t>713</w:t>
      </w:r>
      <w:r>
        <w:rPr>
          <w:rFonts w:hint="eastAsia"/>
        </w:rPr>
        <w:t>人获得了研究金。</w:t>
      </w:r>
    </w:p>
    <w:p w:rsidR="005A0BD4" w:rsidRDefault="00122297" w:rsidP="00122297">
      <w:pPr>
        <w:pStyle w:val="SingleTxt"/>
      </w:pPr>
      <w:r>
        <w:rPr>
          <w:rFonts w:hint="eastAsia"/>
        </w:rPr>
        <w:t xml:space="preserve">330.  </w:t>
      </w:r>
      <w:r>
        <w:rPr>
          <w:rFonts w:hint="eastAsia"/>
        </w:rPr>
        <w:t>委员会强调，它十分重视讲习班。讲习班使年轻法律工作者、特别是发展中国家的年轻法律工作者能够了解委员会的工作和总部设在日内瓦的众多国际组织</w:t>
      </w:r>
      <w:r>
        <w:rPr>
          <w:rFonts w:hint="eastAsia"/>
        </w:rPr>
        <w:lastRenderedPageBreak/>
        <w:t>的活动。委员会建议大会再次呼吁各国自愿捐款，以保证在</w:t>
      </w:r>
      <w:r>
        <w:rPr>
          <w:rFonts w:hint="eastAsia"/>
        </w:rPr>
        <w:t>2016</w:t>
      </w:r>
      <w:r>
        <w:rPr>
          <w:rFonts w:hint="eastAsia"/>
        </w:rPr>
        <w:t>年能够继续举办讲习班，并让尽可能多的学员参加。</w:t>
      </w:r>
    </w:p>
    <w:p w:rsidR="00F53060" w:rsidRDefault="00F53060">
      <w:pPr>
        <w:spacing w:line="240" w:lineRule="auto"/>
        <w:jc w:val="left"/>
      </w:pPr>
      <w:r>
        <w:br w:type="page"/>
      </w:r>
    </w:p>
    <w:p w:rsidR="00F53060" w:rsidRPr="002347E9" w:rsidRDefault="00F53060" w:rsidP="00F53060">
      <w:pPr>
        <w:pStyle w:val="HCh"/>
        <w:rPr>
          <w:snapToGrid w:val="0"/>
        </w:rPr>
      </w:pPr>
      <w:r w:rsidRPr="002347E9">
        <w:rPr>
          <w:rFonts w:hint="eastAsia"/>
          <w:snapToGrid w:val="0"/>
        </w:rPr>
        <w:lastRenderedPageBreak/>
        <w:t>附件</w:t>
      </w:r>
    </w:p>
    <w:p w:rsidR="00F53060" w:rsidRPr="00145590"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F53060" w:rsidRPr="00145590"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F53060" w:rsidRPr="002347E9"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Pr>
          <w:rFonts w:hint="eastAsia"/>
          <w:snapToGrid w:val="0"/>
        </w:rPr>
        <w:tab/>
      </w:r>
      <w:r>
        <w:rPr>
          <w:rFonts w:hint="eastAsia"/>
          <w:snapToGrid w:val="0"/>
        </w:rPr>
        <w:tab/>
      </w:r>
      <w:r w:rsidRPr="002347E9">
        <w:rPr>
          <w:rFonts w:hint="eastAsia"/>
          <w:snapToGrid w:val="0"/>
        </w:rPr>
        <w:t>最后报告</w:t>
      </w:r>
    </w:p>
    <w:p w:rsidR="00F53060" w:rsidRPr="00145590"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F53060" w:rsidRPr="00145590"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F53060" w:rsidRDefault="00F53060" w:rsidP="00F916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Pr>
          <w:rFonts w:hint="eastAsia"/>
          <w:snapToGrid w:val="0"/>
        </w:rPr>
        <w:tab/>
      </w:r>
      <w:r>
        <w:rPr>
          <w:rFonts w:hint="eastAsia"/>
          <w:snapToGrid w:val="0"/>
        </w:rPr>
        <w:tab/>
      </w:r>
      <w:r w:rsidRPr="002347E9">
        <w:rPr>
          <w:rFonts w:hint="eastAsia"/>
          <w:snapToGrid w:val="0"/>
        </w:rPr>
        <w:t>最惠国条款研究组</w:t>
      </w:r>
    </w:p>
    <w:p w:rsidR="00F53060" w:rsidRDefault="00F53060" w:rsidP="00F53060">
      <w:pPr>
        <w:pStyle w:val="HCh6"/>
      </w:pPr>
    </w:p>
    <w:tbl>
      <w:tblPr>
        <w:tblW w:w="9902" w:type="dxa"/>
        <w:tblLayout w:type="fixed"/>
        <w:tblCellMar>
          <w:left w:w="0" w:type="dxa"/>
          <w:right w:w="0" w:type="dxa"/>
        </w:tblCellMar>
        <w:tblLook w:val="0000" w:firstRow="0" w:lastRow="0" w:firstColumn="0" w:lastColumn="0" w:noHBand="0" w:noVBand="0"/>
      </w:tblPr>
      <w:tblGrid>
        <w:gridCol w:w="1060"/>
        <w:gridCol w:w="7315"/>
        <w:gridCol w:w="697"/>
        <w:gridCol w:w="830"/>
      </w:tblGrid>
      <w:tr w:rsidR="00F53060" w:rsidRPr="00E53517" w:rsidTr="00F53060">
        <w:tc>
          <w:tcPr>
            <w:tcW w:w="1060" w:type="dxa"/>
          </w:tcPr>
          <w:p w:rsidR="00F53060" w:rsidRPr="00E53517" w:rsidRDefault="00F53060" w:rsidP="00F53060">
            <w:pPr>
              <w:pStyle w:val="GB23126"/>
            </w:pPr>
            <w:r w:rsidRPr="00E53517">
              <w:rPr>
                <w:rFonts w:hint="eastAsia"/>
              </w:rPr>
              <w:t>章次</w:t>
            </w:r>
          </w:p>
        </w:tc>
        <w:tc>
          <w:tcPr>
            <w:tcW w:w="7315" w:type="dxa"/>
          </w:tcPr>
          <w:p w:rsidR="00F53060" w:rsidRPr="00E53517" w:rsidRDefault="00F53060" w:rsidP="00F53060">
            <w:pPr>
              <w:spacing w:after="120" w:line="240" w:lineRule="auto"/>
              <w:rPr>
                <w:rFonts w:eastAsia="楷体_GB2312"/>
                <w:color w:val="0000FF"/>
                <w:sz w:val="15"/>
                <w:szCs w:val="15"/>
              </w:rPr>
            </w:pPr>
          </w:p>
        </w:tc>
        <w:tc>
          <w:tcPr>
            <w:tcW w:w="697" w:type="dxa"/>
          </w:tcPr>
          <w:p w:rsidR="00F53060" w:rsidRPr="00E53517" w:rsidRDefault="00F53060" w:rsidP="00F53060">
            <w:pPr>
              <w:pStyle w:val="GB23126"/>
            </w:pPr>
          </w:p>
        </w:tc>
        <w:tc>
          <w:tcPr>
            <w:tcW w:w="830" w:type="dxa"/>
          </w:tcPr>
          <w:p w:rsidR="00F53060" w:rsidRPr="00E53517" w:rsidRDefault="00F53060" w:rsidP="00F53060">
            <w:pPr>
              <w:pStyle w:val="GB23126"/>
            </w:pPr>
            <w:r>
              <w:rPr>
                <w:rFonts w:hint="eastAsia"/>
              </w:rPr>
              <w:t>段</w:t>
            </w:r>
            <w:r w:rsidRPr="00E53517">
              <w:rPr>
                <w:rFonts w:hint="eastAsia"/>
              </w:rPr>
              <w:t>次</w:t>
            </w:r>
          </w:p>
        </w:tc>
      </w:tr>
      <w:tr w:rsidR="00F53060" w:rsidTr="00F53060">
        <w:trPr>
          <w:cantSplit/>
        </w:trPr>
        <w:tc>
          <w:tcPr>
            <w:tcW w:w="9072" w:type="dxa"/>
            <w:gridSpan w:val="3"/>
          </w:tcPr>
          <w:p w:rsidR="00F53060" w:rsidRDefault="00F53060" w:rsidP="00F53060">
            <w:pPr>
              <w:tabs>
                <w:tab w:val="right" w:leader="dot" w:pos="9371"/>
              </w:tabs>
              <w:spacing w:after="120"/>
              <w:ind w:left="1050"/>
            </w:pPr>
            <w:r w:rsidRPr="001E1FCE">
              <w:rPr>
                <w:rFonts w:hint="eastAsia"/>
              </w:rPr>
              <w:t>导言</w:t>
            </w:r>
            <w:r>
              <w:rPr>
                <w:rFonts w:hint="eastAsia"/>
              </w:rPr>
              <w:tab/>
            </w:r>
            <w:r>
              <w:rPr>
                <w:rFonts w:hint="eastAsia"/>
              </w:rPr>
              <w:tab/>
            </w:r>
          </w:p>
        </w:tc>
        <w:tc>
          <w:tcPr>
            <w:tcW w:w="830" w:type="dxa"/>
            <w:vAlign w:val="bottom"/>
          </w:tcPr>
          <w:p w:rsidR="00F53060" w:rsidRDefault="00F53060" w:rsidP="00F53060">
            <w:pPr>
              <w:spacing w:after="120"/>
              <w:ind w:right="28"/>
              <w:jc w:val="right"/>
            </w:pPr>
            <w:r w:rsidRPr="00981405">
              <w:t>1-2</w:t>
            </w:r>
          </w:p>
        </w:tc>
      </w:tr>
      <w:tr w:rsidR="00F53060" w:rsidTr="00F53060">
        <w:trPr>
          <w:cantSplit/>
        </w:trPr>
        <w:tc>
          <w:tcPr>
            <w:tcW w:w="9072" w:type="dxa"/>
            <w:gridSpan w:val="3"/>
          </w:tcPr>
          <w:p w:rsidR="00F53060" w:rsidRPr="001E1FCE" w:rsidRDefault="00F53060" w:rsidP="00F53060">
            <w:pPr>
              <w:tabs>
                <w:tab w:val="right" w:leader="dot" w:pos="9371"/>
              </w:tabs>
              <w:spacing w:after="120"/>
              <w:ind w:left="1050"/>
              <w:rPr>
                <w:rFonts w:ascii="黑体" w:eastAsia="黑体" w:hAnsi="黑体"/>
              </w:rPr>
            </w:pPr>
            <w:r w:rsidRPr="001E1FCE">
              <w:rPr>
                <w:rFonts w:ascii="黑体" w:eastAsia="黑体" w:hAnsi="黑体" w:hint="eastAsia"/>
              </w:rPr>
              <w:t>第一部分－背景</w:t>
            </w:r>
            <w:r>
              <w:rPr>
                <w:rFonts w:hint="eastAsia"/>
              </w:rPr>
              <w:tab/>
            </w:r>
          </w:p>
        </w:tc>
        <w:tc>
          <w:tcPr>
            <w:tcW w:w="830" w:type="dxa"/>
            <w:vAlign w:val="bottom"/>
          </w:tcPr>
          <w:p w:rsidR="00F53060" w:rsidRDefault="00F53060" w:rsidP="00F53060">
            <w:pPr>
              <w:spacing w:after="120"/>
              <w:ind w:right="28"/>
              <w:jc w:val="right"/>
            </w:pPr>
            <w:r w:rsidRPr="00981405">
              <w:t>3-33</w:t>
            </w:r>
          </w:p>
        </w:tc>
      </w:tr>
      <w:tr w:rsidR="00F53060" w:rsidTr="00F53060">
        <w:trPr>
          <w:cantSplit/>
        </w:trPr>
        <w:tc>
          <w:tcPr>
            <w:tcW w:w="9072" w:type="dxa"/>
            <w:gridSpan w:val="3"/>
          </w:tcPr>
          <w:p w:rsidR="00F53060" w:rsidRDefault="00F53060" w:rsidP="00F91618">
            <w:pPr>
              <w:numPr>
                <w:ilvl w:val="1"/>
                <w:numId w:val="3"/>
              </w:numPr>
              <w:tabs>
                <w:tab w:val="right" w:pos="1080"/>
                <w:tab w:val="right" w:leader="dot" w:pos="9371"/>
              </w:tabs>
              <w:spacing w:after="120"/>
            </w:pPr>
            <w:r w:rsidRPr="00ED30E7">
              <w:rPr>
                <w:rFonts w:hint="eastAsia"/>
              </w:rPr>
              <w:t>研究组工作的由来和目的</w:t>
            </w:r>
            <w:r>
              <w:tab/>
            </w:r>
          </w:p>
        </w:tc>
        <w:tc>
          <w:tcPr>
            <w:tcW w:w="830" w:type="dxa"/>
            <w:vAlign w:val="bottom"/>
          </w:tcPr>
          <w:p w:rsidR="00F53060" w:rsidRDefault="00F53060" w:rsidP="00F53060">
            <w:pPr>
              <w:spacing w:after="120"/>
              <w:ind w:right="28"/>
              <w:jc w:val="right"/>
            </w:pPr>
            <w:r w:rsidRPr="00981405">
              <w:t>4-9</w:t>
            </w:r>
          </w:p>
        </w:tc>
      </w:tr>
      <w:tr w:rsidR="00F53060" w:rsidTr="00F53060">
        <w:trPr>
          <w:cantSplit/>
        </w:trPr>
        <w:tc>
          <w:tcPr>
            <w:tcW w:w="9072" w:type="dxa"/>
            <w:gridSpan w:val="3"/>
          </w:tcPr>
          <w:p w:rsidR="00F53060" w:rsidRDefault="00F53060" w:rsidP="00F91618">
            <w:pPr>
              <w:numPr>
                <w:ilvl w:val="1"/>
                <w:numId w:val="3"/>
              </w:numPr>
              <w:tabs>
                <w:tab w:val="right" w:pos="1080"/>
                <w:tab w:val="right" w:leader="dot" w:pos="9371"/>
              </w:tabs>
              <w:spacing w:after="120"/>
            </w:pPr>
            <w:r w:rsidRPr="002347E9">
              <w:rPr>
                <w:rFonts w:hint="eastAsia"/>
                <w:snapToGrid w:val="0"/>
                <w:kern w:val="0"/>
                <w:szCs w:val="21"/>
              </w:rPr>
              <w:t>1978</w:t>
            </w:r>
            <w:r w:rsidRPr="002347E9">
              <w:rPr>
                <w:rFonts w:hint="eastAsia"/>
                <w:snapToGrid w:val="0"/>
                <w:kern w:val="0"/>
                <w:szCs w:val="21"/>
              </w:rPr>
              <w:t>年条款草案</w:t>
            </w:r>
            <w:r>
              <w:rPr>
                <w:snapToGrid w:val="0"/>
                <w:kern w:val="0"/>
                <w:szCs w:val="21"/>
              </w:rPr>
              <w:tab/>
            </w:r>
          </w:p>
        </w:tc>
        <w:tc>
          <w:tcPr>
            <w:tcW w:w="830" w:type="dxa"/>
            <w:vAlign w:val="bottom"/>
          </w:tcPr>
          <w:p w:rsidR="00F53060" w:rsidRDefault="00F53060" w:rsidP="00F53060">
            <w:pPr>
              <w:spacing w:after="120"/>
              <w:ind w:right="28"/>
              <w:jc w:val="right"/>
            </w:pPr>
            <w:r w:rsidRPr="00981405">
              <w:t>10-19</w:t>
            </w:r>
          </w:p>
        </w:tc>
      </w:tr>
      <w:tr w:rsidR="00F53060" w:rsidTr="00F53060">
        <w:trPr>
          <w:cantSplit/>
        </w:trPr>
        <w:tc>
          <w:tcPr>
            <w:tcW w:w="9072" w:type="dxa"/>
            <w:gridSpan w:val="3"/>
          </w:tcPr>
          <w:p w:rsidR="00F53060" w:rsidRDefault="00F53060" w:rsidP="00F91618">
            <w:pPr>
              <w:numPr>
                <w:ilvl w:val="2"/>
                <w:numId w:val="3"/>
              </w:numPr>
              <w:tabs>
                <w:tab w:val="right" w:pos="1080"/>
                <w:tab w:val="right" w:leader="dot" w:pos="9371"/>
              </w:tabs>
              <w:spacing w:after="120"/>
            </w:pPr>
            <w:r w:rsidRPr="002347E9">
              <w:rPr>
                <w:rFonts w:hint="eastAsia"/>
                <w:snapToGrid w:val="0"/>
                <w:kern w:val="0"/>
                <w:szCs w:val="21"/>
              </w:rPr>
              <w:t>起源</w:t>
            </w:r>
            <w:r>
              <w:rPr>
                <w:snapToGrid w:val="0"/>
                <w:kern w:val="0"/>
                <w:szCs w:val="21"/>
              </w:rPr>
              <w:tab/>
            </w:r>
          </w:p>
        </w:tc>
        <w:tc>
          <w:tcPr>
            <w:tcW w:w="830" w:type="dxa"/>
            <w:vAlign w:val="bottom"/>
          </w:tcPr>
          <w:p w:rsidR="00F53060" w:rsidRDefault="00F53060" w:rsidP="00F53060">
            <w:pPr>
              <w:spacing w:after="120"/>
              <w:ind w:right="28"/>
              <w:jc w:val="right"/>
            </w:pPr>
            <w:r w:rsidRPr="00981405">
              <w:t>10-12</w:t>
            </w:r>
          </w:p>
        </w:tc>
      </w:tr>
      <w:tr w:rsidR="00F53060" w:rsidTr="00F53060">
        <w:trPr>
          <w:cantSplit/>
        </w:trPr>
        <w:tc>
          <w:tcPr>
            <w:tcW w:w="9072" w:type="dxa"/>
            <w:gridSpan w:val="3"/>
          </w:tcPr>
          <w:p w:rsidR="00F53060" w:rsidRDefault="00F53060" w:rsidP="00F91618">
            <w:pPr>
              <w:numPr>
                <w:ilvl w:val="2"/>
                <w:numId w:val="3"/>
              </w:numPr>
              <w:tabs>
                <w:tab w:val="right" w:pos="1080"/>
                <w:tab w:val="right" w:leader="dot" w:pos="9371"/>
              </w:tabs>
              <w:spacing w:after="120"/>
            </w:pPr>
            <w:r w:rsidRPr="002347E9">
              <w:rPr>
                <w:rFonts w:hint="eastAsia"/>
                <w:snapToGrid w:val="0"/>
                <w:kern w:val="0"/>
                <w:szCs w:val="21"/>
              </w:rPr>
              <w:t>核心规定</w:t>
            </w:r>
            <w:r>
              <w:rPr>
                <w:snapToGrid w:val="0"/>
                <w:kern w:val="0"/>
                <w:szCs w:val="21"/>
              </w:rPr>
              <w:tab/>
            </w:r>
          </w:p>
        </w:tc>
        <w:tc>
          <w:tcPr>
            <w:tcW w:w="830" w:type="dxa"/>
            <w:vAlign w:val="bottom"/>
          </w:tcPr>
          <w:p w:rsidR="00F53060" w:rsidRDefault="00F53060" w:rsidP="00F53060">
            <w:pPr>
              <w:spacing w:after="120"/>
              <w:ind w:right="28"/>
              <w:jc w:val="right"/>
            </w:pPr>
            <w:r w:rsidRPr="00981405">
              <w:t>13-18</w:t>
            </w:r>
          </w:p>
        </w:tc>
      </w:tr>
      <w:tr w:rsidR="00F53060" w:rsidTr="00F53060">
        <w:trPr>
          <w:cantSplit/>
        </w:trPr>
        <w:tc>
          <w:tcPr>
            <w:tcW w:w="9072" w:type="dxa"/>
            <w:gridSpan w:val="3"/>
          </w:tcPr>
          <w:p w:rsidR="00F53060" w:rsidRDefault="00F53060" w:rsidP="00F91618">
            <w:pPr>
              <w:numPr>
                <w:ilvl w:val="2"/>
                <w:numId w:val="3"/>
              </w:numPr>
              <w:tabs>
                <w:tab w:val="right" w:pos="1080"/>
                <w:tab w:val="right" w:leader="dot" w:pos="9371"/>
              </w:tabs>
              <w:spacing w:after="120"/>
            </w:pPr>
            <w:r w:rsidRPr="002347E9">
              <w:rPr>
                <w:rFonts w:hint="eastAsia"/>
                <w:snapToGrid w:val="0"/>
                <w:kern w:val="0"/>
                <w:szCs w:val="21"/>
              </w:rPr>
              <w:t>大会关于</w:t>
            </w:r>
            <w:r w:rsidRPr="002347E9">
              <w:rPr>
                <w:rFonts w:hint="eastAsia"/>
                <w:snapToGrid w:val="0"/>
                <w:kern w:val="0"/>
                <w:szCs w:val="21"/>
              </w:rPr>
              <w:t>1978</w:t>
            </w:r>
            <w:r w:rsidRPr="002347E9">
              <w:rPr>
                <w:rFonts w:hint="eastAsia"/>
                <w:snapToGrid w:val="0"/>
                <w:kern w:val="0"/>
                <w:szCs w:val="21"/>
              </w:rPr>
              <w:t>年条款草案的决定</w:t>
            </w:r>
            <w:r>
              <w:rPr>
                <w:snapToGrid w:val="0"/>
                <w:kern w:val="0"/>
                <w:szCs w:val="21"/>
              </w:rPr>
              <w:tab/>
            </w:r>
          </w:p>
        </w:tc>
        <w:tc>
          <w:tcPr>
            <w:tcW w:w="830" w:type="dxa"/>
            <w:vAlign w:val="bottom"/>
          </w:tcPr>
          <w:p w:rsidR="00F53060" w:rsidRDefault="00F53060" w:rsidP="00F53060">
            <w:pPr>
              <w:spacing w:after="120"/>
              <w:ind w:right="28"/>
              <w:jc w:val="right"/>
            </w:pPr>
            <w:r w:rsidRPr="00981405">
              <w:t>19</w:t>
            </w:r>
          </w:p>
        </w:tc>
      </w:tr>
      <w:tr w:rsidR="00F53060" w:rsidTr="00F53060">
        <w:trPr>
          <w:cantSplit/>
        </w:trPr>
        <w:tc>
          <w:tcPr>
            <w:tcW w:w="9072" w:type="dxa"/>
            <w:gridSpan w:val="3"/>
          </w:tcPr>
          <w:p w:rsidR="00F53060" w:rsidRDefault="00F53060" w:rsidP="00F91618">
            <w:pPr>
              <w:numPr>
                <w:ilvl w:val="1"/>
                <w:numId w:val="3"/>
              </w:numPr>
              <w:tabs>
                <w:tab w:val="right" w:pos="1080"/>
                <w:tab w:val="right" w:leader="dot" w:pos="9371"/>
              </w:tabs>
              <w:spacing w:after="120"/>
            </w:pPr>
            <w:r w:rsidRPr="002347E9">
              <w:rPr>
                <w:rFonts w:hint="eastAsia"/>
                <w:snapToGrid w:val="0"/>
                <w:kern w:val="0"/>
                <w:szCs w:val="21"/>
              </w:rPr>
              <w:t>嗣后发展</w:t>
            </w:r>
            <w:r>
              <w:rPr>
                <w:snapToGrid w:val="0"/>
                <w:kern w:val="0"/>
                <w:szCs w:val="21"/>
              </w:rPr>
              <w:tab/>
            </w:r>
          </w:p>
        </w:tc>
        <w:tc>
          <w:tcPr>
            <w:tcW w:w="830" w:type="dxa"/>
            <w:vAlign w:val="bottom"/>
          </w:tcPr>
          <w:p w:rsidR="00F53060" w:rsidRDefault="00F53060" w:rsidP="00F53060">
            <w:pPr>
              <w:spacing w:after="120"/>
              <w:ind w:right="28"/>
              <w:jc w:val="right"/>
            </w:pPr>
            <w:r w:rsidRPr="00981405">
              <w:t>20-23</w:t>
            </w:r>
          </w:p>
        </w:tc>
      </w:tr>
      <w:tr w:rsidR="00F53060" w:rsidTr="00F53060">
        <w:trPr>
          <w:cantSplit/>
        </w:trPr>
        <w:tc>
          <w:tcPr>
            <w:tcW w:w="9072" w:type="dxa"/>
            <w:gridSpan w:val="3"/>
          </w:tcPr>
          <w:p w:rsidR="00F53060" w:rsidRDefault="00F53060" w:rsidP="00F91618">
            <w:pPr>
              <w:numPr>
                <w:ilvl w:val="1"/>
                <w:numId w:val="3"/>
              </w:numPr>
              <w:tabs>
                <w:tab w:val="right" w:pos="1080"/>
                <w:tab w:val="right" w:leader="dot" w:pos="9371"/>
              </w:tabs>
              <w:spacing w:after="120"/>
            </w:pPr>
            <w:r w:rsidRPr="002347E9">
              <w:rPr>
                <w:rFonts w:hint="eastAsia"/>
                <w:snapToGrid w:val="0"/>
                <w:kern w:val="0"/>
                <w:szCs w:val="21"/>
              </w:rPr>
              <w:t>其他机构对最惠国规定的分析</w:t>
            </w:r>
            <w:r>
              <w:rPr>
                <w:snapToGrid w:val="0"/>
                <w:kern w:val="0"/>
                <w:szCs w:val="21"/>
              </w:rPr>
              <w:tab/>
            </w:r>
          </w:p>
        </w:tc>
        <w:tc>
          <w:tcPr>
            <w:tcW w:w="830" w:type="dxa"/>
            <w:vAlign w:val="bottom"/>
          </w:tcPr>
          <w:p w:rsidR="00F53060" w:rsidRDefault="00F53060" w:rsidP="00F53060">
            <w:pPr>
              <w:spacing w:after="120"/>
              <w:ind w:right="28"/>
              <w:jc w:val="right"/>
            </w:pPr>
            <w:r w:rsidRPr="00981405">
              <w:t>24-33</w:t>
            </w:r>
          </w:p>
        </w:tc>
      </w:tr>
      <w:tr w:rsidR="00F53060" w:rsidTr="00F53060">
        <w:trPr>
          <w:cantSplit/>
        </w:trPr>
        <w:tc>
          <w:tcPr>
            <w:tcW w:w="9072" w:type="dxa"/>
            <w:gridSpan w:val="3"/>
          </w:tcPr>
          <w:p w:rsidR="00F53060" w:rsidRDefault="00F53060" w:rsidP="00F91618">
            <w:pPr>
              <w:numPr>
                <w:ilvl w:val="2"/>
                <w:numId w:val="3"/>
              </w:numPr>
              <w:tabs>
                <w:tab w:val="right" w:pos="1080"/>
                <w:tab w:val="right" w:leader="dot" w:pos="9371"/>
              </w:tabs>
              <w:spacing w:after="120"/>
            </w:pPr>
            <w:r w:rsidRPr="002347E9">
              <w:rPr>
                <w:rFonts w:hint="eastAsia"/>
                <w:snapToGrid w:val="0"/>
                <w:kern w:val="0"/>
                <w:szCs w:val="21"/>
              </w:rPr>
              <w:t>贸发会议</w:t>
            </w:r>
            <w:r>
              <w:rPr>
                <w:snapToGrid w:val="0"/>
                <w:kern w:val="0"/>
                <w:szCs w:val="21"/>
              </w:rPr>
              <w:tab/>
            </w:r>
          </w:p>
        </w:tc>
        <w:tc>
          <w:tcPr>
            <w:tcW w:w="830" w:type="dxa"/>
            <w:vAlign w:val="bottom"/>
          </w:tcPr>
          <w:p w:rsidR="00F53060" w:rsidRDefault="00F53060" w:rsidP="00F53060">
            <w:pPr>
              <w:spacing w:after="120"/>
              <w:ind w:right="28"/>
              <w:jc w:val="right"/>
            </w:pPr>
            <w:r w:rsidRPr="00981405">
              <w:t>25-27</w:t>
            </w:r>
          </w:p>
        </w:tc>
      </w:tr>
      <w:tr w:rsidR="00F53060" w:rsidTr="00F53060">
        <w:trPr>
          <w:cantSplit/>
        </w:trPr>
        <w:tc>
          <w:tcPr>
            <w:tcW w:w="9072" w:type="dxa"/>
            <w:gridSpan w:val="3"/>
          </w:tcPr>
          <w:p w:rsidR="00F53060" w:rsidRDefault="00F53060" w:rsidP="00F91618">
            <w:pPr>
              <w:numPr>
                <w:ilvl w:val="2"/>
                <w:numId w:val="3"/>
              </w:numPr>
              <w:tabs>
                <w:tab w:val="right" w:pos="1080"/>
                <w:tab w:val="right" w:leader="dot" w:pos="9371"/>
              </w:tabs>
              <w:spacing w:after="120"/>
            </w:pPr>
            <w:r w:rsidRPr="002347E9">
              <w:rPr>
                <w:rFonts w:hint="eastAsia"/>
                <w:snapToGrid w:val="0"/>
                <w:kern w:val="0"/>
                <w:szCs w:val="21"/>
              </w:rPr>
              <w:t>经合组织</w:t>
            </w:r>
            <w:r>
              <w:rPr>
                <w:snapToGrid w:val="0"/>
                <w:kern w:val="0"/>
                <w:szCs w:val="21"/>
              </w:rPr>
              <w:tab/>
            </w:r>
          </w:p>
        </w:tc>
        <w:tc>
          <w:tcPr>
            <w:tcW w:w="830" w:type="dxa"/>
            <w:vAlign w:val="bottom"/>
          </w:tcPr>
          <w:p w:rsidR="00F53060" w:rsidRDefault="00F53060" w:rsidP="00F53060">
            <w:pPr>
              <w:spacing w:after="120"/>
              <w:ind w:right="28"/>
              <w:jc w:val="right"/>
            </w:pPr>
            <w:r w:rsidRPr="00981405">
              <w:t>28-33</w:t>
            </w:r>
          </w:p>
        </w:tc>
      </w:tr>
      <w:tr w:rsidR="00F53060" w:rsidTr="00F53060">
        <w:trPr>
          <w:cantSplit/>
        </w:trPr>
        <w:tc>
          <w:tcPr>
            <w:tcW w:w="9072" w:type="dxa"/>
            <w:gridSpan w:val="3"/>
          </w:tcPr>
          <w:p w:rsidR="00F53060" w:rsidRPr="001E1FCE" w:rsidRDefault="00F53060" w:rsidP="00F53060">
            <w:pPr>
              <w:tabs>
                <w:tab w:val="right" w:leader="dot" w:pos="9371"/>
              </w:tabs>
              <w:spacing w:after="120"/>
              <w:ind w:left="1050"/>
              <w:rPr>
                <w:rFonts w:ascii="黑体" w:eastAsia="黑体" w:hAnsi="黑体"/>
              </w:rPr>
            </w:pPr>
            <w:r w:rsidRPr="001E1FCE">
              <w:rPr>
                <w:rFonts w:ascii="黑体" w:eastAsia="黑体" w:hAnsi="黑体" w:hint="eastAsia"/>
              </w:rPr>
              <w:t>第二部分－最惠国条款的当代意义以及与条款解释有关的问题</w:t>
            </w:r>
            <w:r w:rsidRPr="00956FF4">
              <w:rPr>
                <w:rFonts w:asciiTheme="majorBidi" w:eastAsia="黑体" w:hAnsiTheme="majorBidi" w:cstheme="majorBidi"/>
              </w:rPr>
              <w:tab/>
            </w:r>
          </w:p>
        </w:tc>
        <w:tc>
          <w:tcPr>
            <w:tcW w:w="830" w:type="dxa"/>
            <w:vAlign w:val="bottom"/>
          </w:tcPr>
          <w:p w:rsidR="00F53060" w:rsidRDefault="00F53060" w:rsidP="00F53060">
            <w:pPr>
              <w:spacing w:after="120"/>
              <w:ind w:right="28"/>
              <w:jc w:val="right"/>
            </w:pPr>
            <w:r w:rsidRPr="00981405">
              <w:t>34-140</w:t>
            </w:r>
          </w:p>
        </w:tc>
      </w:tr>
      <w:tr w:rsidR="00F53060" w:rsidTr="00F53060">
        <w:trPr>
          <w:cantSplit/>
        </w:trPr>
        <w:tc>
          <w:tcPr>
            <w:tcW w:w="9072" w:type="dxa"/>
            <w:gridSpan w:val="3"/>
          </w:tcPr>
          <w:p w:rsidR="00F53060" w:rsidRDefault="00F53060" w:rsidP="00F91618">
            <w:pPr>
              <w:numPr>
                <w:ilvl w:val="1"/>
                <w:numId w:val="8"/>
              </w:numPr>
              <w:tabs>
                <w:tab w:val="right" w:pos="1080"/>
                <w:tab w:val="right" w:leader="dot" w:pos="9371"/>
              </w:tabs>
              <w:spacing w:after="120"/>
            </w:pPr>
            <w:r w:rsidRPr="002347E9">
              <w:rPr>
                <w:rFonts w:hint="eastAsia"/>
                <w:snapToGrid w:val="0"/>
                <w:kern w:val="0"/>
                <w:szCs w:val="21"/>
              </w:rPr>
              <w:t>最惠国条款的要素</w:t>
            </w:r>
            <w:r>
              <w:rPr>
                <w:snapToGrid w:val="0"/>
                <w:kern w:val="0"/>
                <w:szCs w:val="21"/>
              </w:rPr>
              <w:tab/>
            </w:r>
          </w:p>
        </w:tc>
        <w:tc>
          <w:tcPr>
            <w:tcW w:w="830" w:type="dxa"/>
            <w:vAlign w:val="bottom"/>
          </w:tcPr>
          <w:p w:rsidR="00F53060" w:rsidRDefault="00F53060" w:rsidP="00F53060">
            <w:pPr>
              <w:spacing w:after="120"/>
              <w:ind w:right="28"/>
              <w:jc w:val="right"/>
            </w:pPr>
            <w:r w:rsidRPr="00981405">
              <w:t>35-40</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最惠国待遇的原理</w:t>
            </w:r>
            <w:r>
              <w:rPr>
                <w:snapToGrid w:val="0"/>
                <w:kern w:val="0"/>
                <w:szCs w:val="21"/>
              </w:rPr>
              <w:tab/>
            </w:r>
          </w:p>
        </w:tc>
        <w:tc>
          <w:tcPr>
            <w:tcW w:w="830" w:type="dxa"/>
            <w:vAlign w:val="bottom"/>
          </w:tcPr>
          <w:p w:rsidR="00F53060" w:rsidRDefault="00F53060" w:rsidP="00F53060">
            <w:pPr>
              <w:spacing w:after="120"/>
              <w:ind w:right="28"/>
              <w:jc w:val="right"/>
            </w:pPr>
            <w:r w:rsidRPr="00981405">
              <w:t>37-40</w:t>
            </w:r>
          </w:p>
        </w:tc>
      </w:tr>
      <w:tr w:rsidR="00F53060" w:rsidTr="00F53060">
        <w:trPr>
          <w:cantSplit/>
        </w:trPr>
        <w:tc>
          <w:tcPr>
            <w:tcW w:w="9072" w:type="dxa"/>
            <w:gridSpan w:val="3"/>
          </w:tcPr>
          <w:p w:rsidR="00F53060" w:rsidRDefault="00F53060" w:rsidP="00F91618">
            <w:pPr>
              <w:numPr>
                <w:ilvl w:val="1"/>
                <w:numId w:val="8"/>
              </w:numPr>
              <w:tabs>
                <w:tab w:val="right" w:pos="1080"/>
                <w:tab w:val="right" w:leader="dot" w:pos="9371"/>
              </w:tabs>
              <w:spacing w:after="120"/>
            </w:pPr>
            <w:r w:rsidRPr="002347E9">
              <w:rPr>
                <w:rFonts w:hint="eastAsia"/>
                <w:snapToGrid w:val="0"/>
                <w:kern w:val="0"/>
                <w:szCs w:val="21"/>
              </w:rPr>
              <w:t>关于最惠国条款的当代实践</w:t>
            </w:r>
            <w:r>
              <w:rPr>
                <w:snapToGrid w:val="0"/>
                <w:kern w:val="0"/>
                <w:szCs w:val="21"/>
              </w:rPr>
              <w:tab/>
            </w:r>
          </w:p>
        </w:tc>
        <w:tc>
          <w:tcPr>
            <w:tcW w:w="830" w:type="dxa"/>
            <w:vAlign w:val="bottom"/>
          </w:tcPr>
          <w:p w:rsidR="00F53060" w:rsidRDefault="00F53060" w:rsidP="00F53060">
            <w:pPr>
              <w:spacing w:after="120"/>
              <w:ind w:right="28"/>
              <w:jc w:val="right"/>
            </w:pPr>
            <w:r w:rsidRPr="00981405">
              <w:t>41-66</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关贸总协定和世贸组织中的最惠国条款</w:t>
            </w:r>
            <w:r>
              <w:rPr>
                <w:snapToGrid w:val="0"/>
                <w:kern w:val="0"/>
                <w:szCs w:val="21"/>
              </w:rPr>
              <w:tab/>
            </w:r>
          </w:p>
        </w:tc>
        <w:tc>
          <w:tcPr>
            <w:tcW w:w="830" w:type="dxa"/>
            <w:vAlign w:val="bottom"/>
          </w:tcPr>
          <w:p w:rsidR="00F53060" w:rsidRDefault="00F53060" w:rsidP="00F53060">
            <w:pPr>
              <w:spacing w:after="120"/>
              <w:ind w:right="28"/>
              <w:jc w:val="right"/>
            </w:pPr>
            <w:r w:rsidRPr="00981405">
              <w:t>41-52</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其他贸易协定中的最惠国条款</w:t>
            </w:r>
            <w:r>
              <w:rPr>
                <w:snapToGrid w:val="0"/>
                <w:kern w:val="0"/>
                <w:szCs w:val="21"/>
              </w:rPr>
              <w:tab/>
            </w:r>
          </w:p>
        </w:tc>
        <w:tc>
          <w:tcPr>
            <w:tcW w:w="830" w:type="dxa"/>
            <w:vAlign w:val="bottom"/>
          </w:tcPr>
          <w:p w:rsidR="00F53060" w:rsidRDefault="00F53060" w:rsidP="00F53060">
            <w:pPr>
              <w:spacing w:after="120"/>
              <w:ind w:right="28"/>
              <w:jc w:val="right"/>
            </w:pPr>
            <w:r w:rsidRPr="00981405">
              <w:t>53-54</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投资条约中的最惠国条款</w:t>
            </w:r>
            <w:r>
              <w:rPr>
                <w:snapToGrid w:val="0"/>
                <w:kern w:val="0"/>
                <w:szCs w:val="21"/>
              </w:rPr>
              <w:tab/>
            </w:r>
          </w:p>
        </w:tc>
        <w:tc>
          <w:tcPr>
            <w:tcW w:w="830" w:type="dxa"/>
            <w:vAlign w:val="bottom"/>
          </w:tcPr>
          <w:p w:rsidR="00F53060" w:rsidRDefault="00F53060" w:rsidP="00F53060">
            <w:pPr>
              <w:spacing w:after="120"/>
              <w:ind w:right="28"/>
              <w:jc w:val="right"/>
            </w:pPr>
            <w:r w:rsidRPr="00981405">
              <w:t>55-66</w:t>
            </w:r>
          </w:p>
        </w:tc>
      </w:tr>
      <w:tr w:rsidR="00F53060" w:rsidTr="00F53060">
        <w:trPr>
          <w:cantSplit/>
        </w:trPr>
        <w:tc>
          <w:tcPr>
            <w:tcW w:w="9072" w:type="dxa"/>
            <w:gridSpan w:val="3"/>
          </w:tcPr>
          <w:p w:rsidR="00F53060" w:rsidRDefault="00F53060" w:rsidP="00F91618">
            <w:pPr>
              <w:numPr>
                <w:ilvl w:val="1"/>
                <w:numId w:val="8"/>
              </w:numPr>
              <w:tabs>
                <w:tab w:val="right" w:pos="1080"/>
                <w:tab w:val="right" w:leader="dot" w:pos="9371"/>
              </w:tabs>
              <w:spacing w:after="120"/>
            </w:pPr>
            <w:r w:rsidRPr="002347E9">
              <w:rPr>
                <w:rFonts w:hint="eastAsia"/>
                <w:snapToGrid w:val="0"/>
                <w:kern w:val="0"/>
                <w:szCs w:val="21"/>
              </w:rPr>
              <w:t>有关投资协定中最惠国规定的解释性问题</w:t>
            </w:r>
            <w:r>
              <w:rPr>
                <w:rFonts w:hint="eastAsia"/>
              </w:rPr>
              <w:tab/>
            </w:r>
            <w:r>
              <w:tab/>
            </w:r>
          </w:p>
        </w:tc>
        <w:tc>
          <w:tcPr>
            <w:tcW w:w="830" w:type="dxa"/>
            <w:vAlign w:val="bottom"/>
          </w:tcPr>
          <w:p w:rsidR="00F53060" w:rsidRDefault="00F53060" w:rsidP="00F53060">
            <w:pPr>
              <w:spacing w:after="120"/>
              <w:ind w:right="28"/>
              <w:jc w:val="right"/>
            </w:pPr>
            <w:r w:rsidRPr="00981405">
              <w:t>67-140</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最惠国规定的受惠方</w:t>
            </w:r>
            <w:r>
              <w:rPr>
                <w:snapToGrid w:val="0"/>
                <w:kern w:val="0"/>
                <w:szCs w:val="21"/>
              </w:rPr>
              <w:tab/>
            </w:r>
          </w:p>
        </w:tc>
        <w:tc>
          <w:tcPr>
            <w:tcW w:w="830" w:type="dxa"/>
            <w:vAlign w:val="bottom"/>
          </w:tcPr>
          <w:p w:rsidR="00F53060" w:rsidRDefault="00F53060" w:rsidP="00F53060">
            <w:pPr>
              <w:spacing w:after="120"/>
              <w:ind w:right="28"/>
              <w:jc w:val="right"/>
            </w:pPr>
            <w:r w:rsidRPr="00981405">
              <w:t>69-73</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“待遇不低于”的含义</w:t>
            </w:r>
            <w:r>
              <w:rPr>
                <w:snapToGrid w:val="0"/>
                <w:kern w:val="0"/>
                <w:szCs w:val="21"/>
              </w:rPr>
              <w:tab/>
            </w:r>
          </w:p>
        </w:tc>
        <w:tc>
          <w:tcPr>
            <w:tcW w:w="830" w:type="dxa"/>
            <w:vAlign w:val="bottom"/>
          </w:tcPr>
          <w:p w:rsidR="00F53060" w:rsidRDefault="00F53060" w:rsidP="00F53060">
            <w:pPr>
              <w:spacing w:after="120"/>
              <w:ind w:right="28"/>
              <w:jc w:val="right"/>
            </w:pPr>
            <w:r w:rsidRPr="00981405">
              <w:t>74-78</w:t>
            </w:r>
          </w:p>
        </w:tc>
      </w:tr>
      <w:tr w:rsidR="00F53060" w:rsidTr="00F53060">
        <w:trPr>
          <w:cantSplit/>
        </w:trPr>
        <w:tc>
          <w:tcPr>
            <w:tcW w:w="9072" w:type="dxa"/>
            <w:gridSpan w:val="3"/>
          </w:tcPr>
          <w:p w:rsidR="00F53060" w:rsidRDefault="00F53060" w:rsidP="00F91618">
            <w:pPr>
              <w:numPr>
                <w:ilvl w:val="2"/>
                <w:numId w:val="8"/>
              </w:numPr>
              <w:tabs>
                <w:tab w:val="right" w:pos="1080"/>
                <w:tab w:val="right" w:leader="dot" w:pos="9371"/>
              </w:tabs>
              <w:spacing w:after="120"/>
            </w:pPr>
            <w:r w:rsidRPr="002347E9">
              <w:rPr>
                <w:rFonts w:hint="eastAsia"/>
                <w:snapToGrid w:val="0"/>
                <w:kern w:val="0"/>
                <w:szCs w:val="21"/>
              </w:rPr>
              <w:t>根据最惠国条款所给予待遇的范围</w:t>
            </w:r>
            <w:r>
              <w:rPr>
                <w:snapToGrid w:val="0"/>
                <w:kern w:val="0"/>
                <w:szCs w:val="21"/>
              </w:rPr>
              <w:tab/>
            </w:r>
          </w:p>
        </w:tc>
        <w:tc>
          <w:tcPr>
            <w:tcW w:w="830" w:type="dxa"/>
            <w:vAlign w:val="bottom"/>
          </w:tcPr>
          <w:p w:rsidR="00F53060" w:rsidRDefault="00F53060" w:rsidP="00F53060">
            <w:pPr>
              <w:spacing w:after="120"/>
              <w:ind w:right="28"/>
              <w:jc w:val="right"/>
            </w:pPr>
            <w:r w:rsidRPr="00981405">
              <w:t>79-140</w:t>
            </w:r>
          </w:p>
        </w:tc>
      </w:tr>
      <w:tr w:rsidR="00F53060" w:rsidTr="00F53060">
        <w:trPr>
          <w:cantSplit/>
        </w:trPr>
        <w:tc>
          <w:tcPr>
            <w:tcW w:w="9072" w:type="dxa"/>
            <w:gridSpan w:val="3"/>
          </w:tcPr>
          <w:p w:rsidR="00F53060" w:rsidRPr="002869BA" w:rsidRDefault="00F53060" w:rsidP="00F91618">
            <w:pPr>
              <w:numPr>
                <w:ilvl w:val="3"/>
                <w:numId w:val="8"/>
              </w:numPr>
              <w:tabs>
                <w:tab w:val="right" w:pos="1080"/>
                <w:tab w:val="right" w:leader="dot" w:pos="9371"/>
              </w:tabs>
              <w:spacing w:after="120"/>
              <w:rPr>
                <w:rFonts w:ascii="楷体_GB2312" w:eastAsia="楷体_GB2312"/>
              </w:rPr>
            </w:pPr>
            <w:r w:rsidRPr="002869BA">
              <w:rPr>
                <w:rFonts w:ascii="楷体_GB2312" w:eastAsia="楷体_GB2312" w:hint="eastAsia"/>
                <w:snapToGrid w:val="0"/>
                <w:kern w:val="0"/>
                <w:szCs w:val="21"/>
              </w:rPr>
              <w:t>最惠国待遇与程序性事项：问题的由来</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82-90</w:t>
            </w:r>
          </w:p>
        </w:tc>
      </w:tr>
      <w:tr w:rsidR="00F53060" w:rsidTr="00F53060">
        <w:trPr>
          <w:cantSplit/>
        </w:trPr>
        <w:tc>
          <w:tcPr>
            <w:tcW w:w="9072" w:type="dxa"/>
            <w:gridSpan w:val="3"/>
          </w:tcPr>
          <w:p w:rsidR="00F53060" w:rsidRPr="002869BA" w:rsidRDefault="00F53060" w:rsidP="00F91618">
            <w:pPr>
              <w:numPr>
                <w:ilvl w:val="3"/>
                <w:numId w:val="8"/>
              </w:numPr>
              <w:tabs>
                <w:tab w:val="right" w:pos="1080"/>
                <w:tab w:val="right" w:leader="dot" w:pos="9371"/>
              </w:tabs>
              <w:spacing w:after="120"/>
              <w:rPr>
                <w:rFonts w:ascii="楷体_GB2312" w:eastAsia="楷体_GB2312"/>
              </w:rPr>
            </w:pPr>
            <w:r w:rsidRPr="002869BA">
              <w:rPr>
                <w:rFonts w:ascii="楷体_GB2312" w:eastAsia="楷体_GB2312" w:hint="eastAsia"/>
                <w:snapToGrid w:val="0"/>
                <w:kern w:val="0"/>
                <w:szCs w:val="21"/>
              </w:rPr>
              <w:t>投资法庭嗣后关于最惠国条款适用于程序性事项的解释</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91-140</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lastRenderedPageBreak/>
              <w:t>实质性义务与程序性义务的区别</w:t>
            </w:r>
            <w:r w:rsidR="004923ED" w:rsidRPr="004923ED">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93-99</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从管辖权事项的角度解释最惠国规定</w:t>
            </w:r>
            <w:r w:rsidRPr="004923ED">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100-114</w:t>
            </w:r>
          </w:p>
        </w:tc>
      </w:tr>
      <w:tr w:rsidR="00F53060" w:rsidTr="00F53060">
        <w:trPr>
          <w:cantSplit/>
        </w:trPr>
        <w:tc>
          <w:tcPr>
            <w:tcW w:w="9072" w:type="dxa"/>
            <w:gridSpan w:val="3"/>
          </w:tcPr>
          <w:p w:rsidR="00F53060" w:rsidRDefault="00F53060" w:rsidP="00C74A0C">
            <w:pPr>
              <w:numPr>
                <w:ilvl w:val="5"/>
                <w:numId w:val="8"/>
              </w:numPr>
              <w:tabs>
                <w:tab w:val="clear" w:pos="3456"/>
                <w:tab w:val="right" w:pos="1080"/>
                <w:tab w:val="right" w:leader="dot" w:pos="9371"/>
              </w:tabs>
              <w:spacing w:after="120"/>
              <w:ind w:hanging="306"/>
            </w:pPr>
            <w:r w:rsidRPr="002347E9">
              <w:rPr>
                <w:rFonts w:hint="eastAsia"/>
                <w:snapToGrid w:val="0"/>
                <w:kern w:val="0"/>
                <w:szCs w:val="21"/>
              </w:rPr>
              <w:t>解释管辖权事项的标准</w:t>
            </w:r>
            <w:r>
              <w:rPr>
                <w:snapToGrid w:val="0"/>
                <w:kern w:val="0"/>
                <w:szCs w:val="21"/>
              </w:rPr>
              <w:tab/>
            </w:r>
          </w:p>
        </w:tc>
        <w:tc>
          <w:tcPr>
            <w:tcW w:w="830" w:type="dxa"/>
            <w:vAlign w:val="bottom"/>
          </w:tcPr>
          <w:p w:rsidR="00F53060" w:rsidRDefault="00F53060" w:rsidP="00F53060">
            <w:pPr>
              <w:spacing w:after="120"/>
              <w:ind w:right="28"/>
              <w:jc w:val="right"/>
            </w:pPr>
            <w:r w:rsidRPr="00981405">
              <w:t>101-103</w:t>
            </w:r>
          </w:p>
        </w:tc>
      </w:tr>
      <w:tr w:rsidR="00F53060" w:rsidTr="00F53060">
        <w:trPr>
          <w:cantSplit/>
        </w:trPr>
        <w:tc>
          <w:tcPr>
            <w:tcW w:w="9072" w:type="dxa"/>
            <w:gridSpan w:val="3"/>
          </w:tcPr>
          <w:p w:rsidR="00F53060" w:rsidRDefault="00F53060" w:rsidP="00C74A0C">
            <w:pPr>
              <w:numPr>
                <w:ilvl w:val="5"/>
                <w:numId w:val="8"/>
              </w:numPr>
              <w:tabs>
                <w:tab w:val="clear" w:pos="3456"/>
                <w:tab w:val="right" w:pos="1080"/>
                <w:tab w:val="right" w:leader="dot" w:pos="9371"/>
              </w:tabs>
              <w:spacing w:after="120"/>
              <w:ind w:hanging="306"/>
            </w:pPr>
            <w:r w:rsidRPr="002347E9">
              <w:rPr>
                <w:rFonts w:hint="eastAsia"/>
                <w:snapToGrid w:val="0"/>
                <w:kern w:val="0"/>
                <w:szCs w:val="21"/>
              </w:rPr>
              <w:t>争端解决和管辖权</w:t>
            </w:r>
            <w:r>
              <w:rPr>
                <w:snapToGrid w:val="0"/>
                <w:kern w:val="0"/>
                <w:szCs w:val="21"/>
              </w:rPr>
              <w:tab/>
            </w:r>
          </w:p>
        </w:tc>
        <w:tc>
          <w:tcPr>
            <w:tcW w:w="830" w:type="dxa"/>
            <w:vAlign w:val="bottom"/>
          </w:tcPr>
          <w:p w:rsidR="00F53060" w:rsidRDefault="00F53060" w:rsidP="00F53060">
            <w:pPr>
              <w:spacing w:after="120"/>
              <w:ind w:right="28"/>
              <w:jc w:val="right"/>
            </w:pPr>
            <w:r w:rsidRPr="00981405">
              <w:t>104-114</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其他条约规定的具体意图</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115-118</w:t>
            </w:r>
          </w:p>
        </w:tc>
      </w:tr>
      <w:tr w:rsidR="00F53060" w:rsidTr="00F53060">
        <w:trPr>
          <w:cantSplit/>
        </w:trPr>
        <w:tc>
          <w:tcPr>
            <w:tcW w:w="9072" w:type="dxa"/>
            <w:gridSpan w:val="3"/>
          </w:tcPr>
          <w:p w:rsidR="00F53060" w:rsidRPr="002869BA" w:rsidRDefault="00F53060" w:rsidP="004923ED">
            <w:pPr>
              <w:numPr>
                <w:ilvl w:val="4"/>
                <w:numId w:val="8"/>
              </w:numPr>
              <w:tabs>
                <w:tab w:val="right" w:pos="1080"/>
                <w:tab w:val="left" w:pos="1296"/>
                <w:tab w:val="left" w:pos="1728"/>
                <w:tab w:val="left" w:pos="2160"/>
                <w:tab w:val="left" w:pos="2592"/>
                <w:tab w:val="left" w:pos="3024"/>
                <w:tab w:val="left" w:pos="3456"/>
                <w:tab w:val="left" w:pos="3888"/>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缔约方的实践</w:t>
            </w:r>
            <w:r w:rsidR="004923ED" w:rsidRPr="004923ED">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119-122</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确定缔约方意图的有关时间</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123</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通过援引最惠国条款改变的条款内容</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124-134</w:t>
            </w:r>
          </w:p>
        </w:tc>
      </w:tr>
      <w:tr w:rsidR="00F53060" w:rsidTr="00F53060">
        <w:trPr>
          <w:cantSplit/>
        </w:trPr>
        <w:tc>
          <w:tcPr>
            <w:tcW w:w="9072" w:type="dxa"/>
            <w:gridSpan w:val="3"/>
          </w:tcPr>
          <w:p w:rsidR="00F53060" w:rsidRPr="002869BA" w:rsidRDefault="00F53060" w:rsidP="004923ED">
            <w:pPr>
              <w:numPr>
                <w:ilvl w:val="4"/>
                <w:numId w:val="8"/>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裁决的一致性</w:t>
            </w:r>
            <w:r w:rsidR="004923ED" w:rsidRPr="004923ED">
              <w:rPr>
                <w:rFonts w:asciiTheme="majorBidi" w:eastAsiaTheme="minorEastAsia" w:hAnsiTheme="majorBidi" w:cstheme="majorBidi"/>
                <w:snapToGrid w:val="0"/>
                <w:kern w:val="0"/>
                <w:szCs w:val="21"/>
              </w:rPr>
              <w:tab/>
            </w:r>
            <w:r w:rsidRPr="004923ED">
              <w:rPr>
                <w:rFonts w:asciiTheme="majorBidi" w:eastAsiaTheme="minorEastAsia"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135-136</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界定“不低于”待遇</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137-139</w:t>
            </w:r>
          </w:p>
        </w:tc>
      </w:tr>
      <w:tr w:rsidR="00F53060" w:rsidTr="00F53060">
        <w:trPr>
          <w:cantSplit/>
        </w:trPr>
        <w:tc>
          <w:tcPr>
            <w:tcW w:w="9072" w:type="dxa"/>
            <w:gridSpan w:val="3"/>
          </w:tcPr>
          <w:p w:rsidR="00F53060" w:rsidRPr="002869BA" w:rsidRDefault="00F53060" w:rsidP="004923ED">
            <w:pPr>
              <w:numPr>
                <w:ilvl w:val="4"/>
                <w:numId w:val="8"/>
              </w:numPr>
              <w:tabs>
                <w:tab w:val="clear" w:pos="3024"/>
                <w:tab w:val="right" w:pos="1080"/>
                <w:tab w:val="left" w:pos="1296"/>
                <w:tab w:val="left" w:pos="1728"/>
                <w:tab w:val="left" w:pos="2160"/>
                <w:tab w:val="left" w:pos="2592"/>
                <w:tab w:val="left" w:pos="3456"/>
                <w:tab w:val="left" w:pos="3888"/>
                <w:tab w:val="left" w:pos="4320"/>
                <w:tab w:val="left" w:pos="4752"/>
                <w:tab w:val="left" w:pos="5184"/>
                <w:tab w:val="left" w:pos="5616"/>
                <w:tab w:val="right" w:leader="dot" w:pos="9371"/>
              </w:tabs>
              <w:spacing w:after="120"/>
              <w:ind w:left="3150" w:hanging="558"/>
              <w:rPr>
                <w:rFonts w:ascii="楷体_GB2312" w:eastAsia="楷体_GB2312"/>
              </w:rPr>
            </w:pPr>
            <w:r w:rsidRPr="002869BA">
              <w:rPr>
                <w:rFonts w:ascii="楷体_GB2312" w:eastAsia="楷体_GB2312" w:hint="eastAsia"/>
                <w:snapToGrid w:val="0"/>
                <w:kern w:val="0"/>
                <w:szCs w:val="21"/>
              </w:rPr>
              <w:t>政策例外的存在</w:t>
            </w:r>
            <w:r w:rsidRPr="002869BA">
              <w:rPr>
                <w:rFonts w:ascii="楷体_GB2312" w:eastAsia="楷体_GB2312"/>
              </w:rPr>
              <w:tab/>
            </w:r>
          </w:p>
        </w:tc>
        <w:tc>
          <w:tcPr>
            <w:tcW w:w="830" w:type="dxa"/>
            <w:vAlign w:val="bottom"/>
          </w:tcPr>
          <w:p w:rsidR="00F53060" w:rsidRDefault="00F53060" w:rsidP="00F53060">
            <w:pPr>
              <w:spacing w:after="120"/>
              <w:ind w:right="28"/>
              <w:jc w:val="right"/>
            </w:pPr>
            <w:r w:rsidRPr="00981405">
              <w:t>140</w:t>
            </w:r>
          </w:p>
        </w:tc>
      </w:tr>
      <w:tr w:rsidR="00F53060" w:rsidTr="00F53060">
        <w:trPr>
          <w:cantSplit/>
        </w:trPr>
        <w:tc>
          <w:tcPr>
            <w:tcW w:w="9072" w:type="dxa"/>
            <w:gridSpan w:val="3"/>
          </w:tcPr>
          <w:p w:rsidR="00F53060" w:rsidRDefault="00F53060" w:rsidP="00F53060">
            <w:pPr>
              <w:tabs>
                <w:tab w:val="right" w:leader="dot" w:pos="9371"/>
              </w:tabs>
              <w:spacing w:after="120"/>
              <w:ind w:left="1050"/>
            </w:pPr>
            <w:r w:rsidRPr="002347E9">
              <w:rPr>
                <w:rFonts w:eastAsia="黑体" w:hint="eastAsia"/>
                <w:snapToGrid w:val="0"/>
                <w:kern w:val="0"/>
                <w:szCs w:val="21"/>
              </w:rPr>
              <w:t>第三部分－解释最惠国条款的考虑因素</w:t>
            </w:r>
            <w:r>
              <w:rPr>
                <w:rFonts w:eastAsia="黑体"/>
                <w:snapToGrid w:val="0"/>
                <w:kern w:val="0"/>
                <w:szCs w:val="21"/>
              </w:rPr>
              <w:tab/>
            </w:r>
          </w:p>
        </w:tc>
        <w:tc>
          <w:tcPr>
            <w:tcW w:w="830" w:type="dxa"/>
            <w:vAlign w:val="bottom"/>
          </w:tcPr>
          <w:p w:rsidR="00F53060" w:rsidRDefault="00F53060" w:rsidP="00F53060">
            <w:pPr>
              <w:spacing w:after="120"/>
              <w:ind w:right="28"/>
              <w:jc w:val="right"/>
            </w:pPr>
            <w:r w:rsidRPr="00981405">
              <w:t>141-160</w:t>
            </w:r>
          </w:p>
        </w:tc>
      </w:tr>
      <w:tr w:rsidR="00F53060" w:rsidTr="00F53060">
        <w:trPr>
          <w:cantSplit/>
        </w:trPr>
        <w:tc>
          <w:tcPr>
            <w:tcW w:w="9072" w:type="dxa"/>
            <w:gridSpan w:val="3"/>
          </w:tcPr>
          <w:p w:rsidR="00F53060" w:rsidRDefault="00F53060" w:rsidP="00F91618">
            <w:pPr>
              <w:numPr>
                <w:ilvl w:val="1"/>
                <w:numId w:val="9"/>
              </w:numPr>
              <w:tabs>
                <w:tab w:val="right" w:pos="1080"/>
                <w:tab w:val="right" w:leader="dot" w:pos="9371"/>
              </w:tabs>
              <w:spacing w:after="120"/>
            </w:pPr>
            <w:r w:rsidRPr="002347E9">
              <w:rPr>
                <w:rFonts w:hint="eastAsia"/>
                <w:snapToGrid w:val="0"/>
                <w:kern w:val="0"/>
                <w:szCs w:val="21"/>
              </w:rPr>
              <w:t>与解释投资协定有关的政策考虑因素</w:t>
            </w:r>
            <w:r>
              <w:rPr>
                <w:snapToGrid w:val="0"/>
                <w:kern w:val="0"/>
                <w:szCs w:val="21"/>
              </w:rPr>
              <w:tab/>
            </w:r>
          </w:p>
        </w:tc>
        <w:tc>
          <w:tcPr>
            <w:tcW w:w="830" w:type="dxa"/>
            <w:vAlign w:val="bottom"/>
          </w:tcPr>
          <w:p w:rsidR="00F53060" w:rsidRDefault="00F53060" w:rsidP="00F53060">
            <w:pPr>
              <w:spacing w:after="120"/>
              <w:ind w:right="28"/>
              <w:jc w:val="right"/>
            </w:pPr>
            <w:r w:rsidRPr="00981405">
              <w:t>141-149</w:t>
            </w:r>
          </w:p>
        </w:tc>
      </w:tr>
      <w:tr w:rsidR="00F53060" w:rsidTr="00F53060">
        <w:trPr>
          <w:cantSplit/>
        </w:trPr>
        <w:tc>
          <w:tcPr>
            <w:tcW w:w="9072" w:type="dxa"/>
            <w:gridSpan w:val="3"/>
          </w:tcPr>
          <w:p w:rsidR="00F53060" w:rsidRDefault="00F53060" w:rsidP="00F91618">
            <w:pPr>
              <w:numPr>
                <w:ilvl w:val="2"/>
                <w:numId w:val="9"/>
              </w:numPr>
              <w:tabs>
                <w:tab w:val="right" w:pos="1080"/>
                <w:tab w:val="right" w:leader="dot" w:pos="9371"/>
              </w:tabs>
              <w:spacing w:after="120"/>
            </w:pPr>
            <w:r w:rsidRPr="002347E9">
              <w:rPr>
                <w:rFonts w:hint="eastAsia"/>
                <w:snapToGrid w:val="0"/>
                <w:kern w:val="0"/>
                <w:szCs w:val="21"/>
              </w:rPr>
              <w:t>双边投资条约谈判的非对称性</w:t>
            </w:r>
            <w:r>
              <w:rPr>
                <w:snapToGrid w:val="0"/>
                <w:kern w:val="0"/>
                <w:szCs w:val="21"/>
              </w:rPr>
              <w:tab/>
            </w:r>
          </w:p>
        </w:tc>
        <w:tc>
          <w:tcPr>
            <w:tcW w:w="830" w:type="dxa"/>
            <w:vAlign w:val="bottom"/>
          </w:tcPr>
          <w:p w:rsidR="00F53060" w:rsidRDefault="00F53060" w:rsidP="00F53060">
            <w:pPr>
              <w:spacing w:after="120"/>
              <w:ind w:right="28"/>
              <w:jc w:val="right"/>
            </w:pPr>
            <w:r w:rsidRPr="00981405">
              <w:t>141-144</w:t>
            </w:r>
          </w:p>
        </w:tc>
      </w:tr>
      <w:tr w:rsidR="00F53060" w:rsidTr="00F53060">
        <w:trPr>
          <w:cantSplit/>
        </w:trPr>
        <w:tc>
          <w:tcPr>
            <w:tcW w:w="9072" w:type="dxa"/>
            <w:gridSpan w:val="3"/>
          </w:tcPr>
          <w:p w:rsidR="00F53060" w:rsidRDefault="00F53060" w:rsidP="00F91618">
            <w:pPr>
              <w:numPr>
                <w:ilvl w:val="2"/>
                <w:numId w:val="9"/>
              </w:numPr>
              <w:tabs>
                <w:tab w:val="right" w:pos="1080"/>
                <w:tab w:val="right" w:leader="dot" w:pos="9371"/>
              </w:tabs>
              <w:spacing w:after="120"/>
            </w:pPr>
            <w:r w:rsidRPr="002347E9">
              <w:rPr>
                <w:rFonts w:hint="eastAsia"/>
                <w:snapToGrid w:val="0"/>
                <w:kern w:val="0"/>
                <w:szCs w:val="21"/>
              </w:rPr>
              <w:t>每项条约的特殊性</w:t>
            </w:r>
            <w:r>
              <w:rPr>
                <w:snapToGrid w:val="0"/>
                <w:kern w:val="0"/>
                <w:szCs w:val="21"/>
              </w:rPr>
              <w:tab/>
            </w:r>
          </w:p>
        </w:tc>
        <w:tc>
          <w:tcPr>
            <w:tcW w:w="830" w:type="dxa"/>
            <w:vAlign w:val="bottom"/>
          </w:tcPr>
          <w:p w:rsidR="00F53060" w:rsidRDefault="00F53060" w:rsidP="00F53060">
            <w:pPr>
              <w:spacing w:after="120"/>
              <w:ind w:right="28"/>
              <w:jc w:val="right"/>
            </w:pPr>
            <w:r w:rsidRPr="00981405">
              <w:t>145-149</w:t>
            </w:r>
          </w:p>
        </w:tc>
      </w:tr>
      <w:tr w:rsidR="00F53060" w:rsidTr="00F53060">
        <w:trPr>
          <w:cantSplit/>
        </w:trPr>
        <w:tc>
          <w:tcPr>
            <w:tcW w:w="9072" w:type="dxa"/>
            <w:gridSpan w:val="3"/>
          </w:tcPr>
          <w:p w:rsidR="00F53060" w:rsidRDefault="00F53060" w:rsidP="00F91618">
            <w:pPr>
              <w:numPr>
                <w:ilvl w:val="1"/>
                <w:numId w:val="9"/>
              </w:numPr>
              <w:tabs>
                <w:tab w:val="right" w:pos="1080"/>
                <w:tab w:val="right" w:leader="dot" w:pos="9371"/>
              </w:tabs>
              <w:spacing w:after="120"/>
            </w:pPr>
            <w:r w:rsidRPr="002347E9">
              <w:rPr>
                <w:rFonts w:hint="eastAsia"/>
                <w:snapToGrid w:val="0"/>
                <w:kern w:val="0"/>
                <w:szCs w:val="21"/>
              </w:rPr>
              <w:t>解决投资争端的仲裁是“混合仲裁”</w:t>
            </w:r>
            <w:r>
              <w:rPr>
                <w:snapToGrid w:val="0"/>
                <w:kern w:val="0"/>
                <w:szCs w:val="21"/>
              </w:rPr>
              <w:tab/>
            </w:r>
          </w:p>
        </w:tc>
        <w:tc>
          <w:tcPr>
            <w:tcW w:w="830" w:type="dxa"/>
            <w:vAlign w:val="bottom"/>
          </w:tcPr>
          <w:p w:rsidR="00F53060" w:rsidRDefault="00F53060" w:rsidP="00F53060">
            <w:pPr>
              <w:spacing w:after="120"/>
              <w:ind w:right="28"/>
              <w:jc w:val="right"/>
            </w:pPr>
            <w:r w:rsidRPr="00981405">
              <w:t>150-157</w:t>
            </w:r>
          </w:p>
        </w:tc>
      </w:tr>
      <w:tr w:rsidR="00F53060" w:rsidTr="00F53060">
        <w:trPr>
          <w:cantSplit/>
        </w:trPr>
        <w:tc>
          <w:tcPr>
            <w:tcW w:w="9072" w:type="dxa"/>
            <w:gridSpan w:val="3"/>
          </w:tcPr>
          <w:p w:rsidR="00F53060" w:rsidRDefault="00F53060" w:rsidP="00F91618">
            <w:pPr>
              <w:numPr>
                <w:ilvl w:val="1"/>
                <w:numId w:val="9"/>
              </w:numPr>
              <w:tabs>
                <w:tab w:val="right" w:pos="1080"/>
                <w:tab w:val="right" w:leader="dot" w:pos="9371"/>
              </w:tabs>
              <w:spacing w:after="120"/>
            </w:pPr>
            <w:r w:rsidRPr="002347E9">
              <w:rPr>
                <w:rFonts w:hint="eastAsia"/>
                <w:snapToGrid w:val="0"/>
                <w:kern w:val="0"/>
                <w:szCs w:val="21"/>
              </w:rPr>
              <w:t>1978</w:t>
            </w:r>
            <w:r w:rsidRPr="002347E9">
              <w:rPr>
                <w:rFonts w:hint="eastAsia"/>
                <w:snapToGrid w:val="0"/>
                <w:kern w:val="0"/>
                <w:szCs w:val="21"/>
              </w:rPr>
              <w:t>年条款草案对解释最惠国规定的当代意义</w:t>
            </w:r>
            <w:r>
              <w:rPr>
                <w:snapToGrid w:val="0"/>
                <w:kern w:val="0"/>
                <w:szCs w:val="21"/>
              </w:rPr>
              <w:tab/>
            </w:r>
          </w:p>
        </w:tc>
        <w:tc>
          <w:tcPr>
            <w:tcW w:w="830" w:type="dxa"/>
            <w:vAlign w:val="bottom"/>
          </w:tcPr>
          <w:p w:rsidR="00F53060" w:rsidRDefault="00F53060" w:rsidP="00F53060">
            <w:pPr>
              <w:spacing w:after="120"/>
              <w:ind w:right="28"/>
              <w:jc w:val="right"/>
            </w:pPr>
            <w:r w:rsidRPr="00981405">
              <w:t>158-160</w:t>
            </w:r>
          </w:p>
        </w:tc>
      </w:tr>
      <w:tr w:rsidR="00F53060" w:rsidTr="00F53060">
        <w:trPr>
          <w:cantSplit/>
        </w:trPr>
        <w:tc>
          <w:tcPr>
            <w:tcW w:w="9072" w:type="dxa"/>
            <w:gridSpan w:val="3"/>
          </w:tcPr>
          <w:p w:rsidR="00F53060" w:rsidRPr="00ED30E7" w:rsidRDefault="00F53060" w:rsidP="00F53060">
            <w:pPr>
              <w:tabs>
                <w:tab w:val="right" w:leader="dot" w:pos="9371"/>
              </w:tabs>
              <w:spacing w:after="120"/>
              <w:ind w:left="1050"/>
              <w:rPr>
                <w:rFonts w:ascii="黑体" w:eastAsia="黑体" w:hAnsi="黑体"/>
              </w:rPr>
            </w:pPr>
            <w:r w:rsidRPr="00ED30E7">
              <w:rPr>
                <w:rFonts w:ascii="黑体" w:eastAsia="黑体" w:hAnsi="黑体" w:hint="eastAsia"/>
              </w:rPr>
              <w:t>第四部分－关于解释最惠国条款的指导</w:t>
            </w:r>
            <w:r w:rsidRPr="00956FF4">
              <w:rPr>
                <w:rFonts w:asciiTheme="majorBidi" w:eastAsia="黑体" w:hAnsiTheme="majorBidi" w:cstheme="majorBidi"/>
              </w:rPr>
              <w:tab/>
            </w:r>
          </w:p>
        </w:tc>
        <w:tc>
          <w:tcPr>
            <w:tcW w:w="830" w:type="dxa"/>
            <w:vAlign w:val="bottom"/>
          </w:tcPr>
          <w:p w:rsidR="00F53060" w:rsidRDefault="00F53060" w:rsidP="00F53060">
            <w:pPr>
              <w:spacing w:after="120"/>
              <w:ind w:right="28"/>
              <w:jc w:val="right"/>
            </w:pPr>
            <w:r w:rsidRPr="00981405">
              <w:t>161-211</w:t>
            </w:r>
          </w:p>
        </w:tc>
      </w:tr>
      <w:tr w:rsidR="00F53060" w:rsidTr="00F53060">
        <w:trPr>
          <w:cantSplit/>
        </w:trPr>
        <w:tc>
          <w:tcPr>
            <w:tcW w:w="9072" w:type="dxa"/>
            <w:gridSpan w:val="3"/>
          </w:tcPr>
          <w:p w:rsidR="00F53060" w:rsidRDefault="00F53060" w:rsidP="00F91618">
            <w:pPr>
              <w:numPr>
                <w:ilvl w:val="1"/>
                <w:numId w:val="10"/>
              </w:numPr>
              <w:tabs>
                <w:tab w:val="right" w:pos="1080"/>
                <w:tab w:val="right" w:leader="dot" w:pos="9371"/>
              </w:tabs>
              <w:spacing w:after="120"/>
            </w:pPr>
            <w:r w:rsidRPr="002347E9">
              <w:rPr>
                <w:rFonts w:hint="eastAsia"/>
                <w:snapToGrid w:val="0"/>
                <w:kern w:val="0"/>
                <w:szCs w:val="21"/>
              </w:rPr>
              <w:t>最惠国规定原则上能够适用于双边投资条约的争端解决规定</w:t>
            </w:r>
            <w:r>
              <w:rPr>
                <w:snapToGrid w:val="0"/>
                <w:kern w:val="0"/>
                <w:szCs w:val="21"/>
              </w:rPr>
              <w:tab/>
            </w:r>
          </w:p>
        </w:tc>
        <w:tc>
          <w:tcPr>
            <w:tcW w:w="830" w:type="dxa"/>
            <w:vAlign w:val="bottom"/>
          </w:tcPr>
          <w:p w:rsidR="00F53060" w:rsidRDefault="00F53060" w:rsidP="00F53060">
            <w:pPr>
              <w:spacing w:after="120"/>
              <w:ind w:right="28"/>
              <w:jc w:val="right"/>
            </w:pPr>
            <w:r w:rsidRPr="00981405">
              <w:t>162-163</w:t>
            </w:r>
          </w:p>
        </w:tc>
      </w:tr>
      <w:tr w:rsidR="00F53060" w:rsidTr="00F53060">
        <w:trPr>
          <w:cantSplit/>
        </w:trPr>
        <w:tc>
          <w:tcPr>
            <w:tcW w:w="9072" w:type="dxa"/>
            <w:gridSpan w:val="3"/>
          </w:tcPr>
          <w:p w:rsidR="00F53060" w:rsidRDefault="00F53060" w:rsidP="00F91618">
            <w:pPr>
              <w:numPr>
                <w:ilvl w:val="1"/>
                <w:numId w:val="10"/>
              </w:numPr>
              <w:tabs>
                <w:tab w:val="right" w:pos="1080"/>
                <w:tab w:val="right" w:leader="dot" w:pos="9371"/>
              </w:tabs>
              <w:spacing w:after="120"/>
            </w:pPr>
            <w:r w:rsidRPr="002347E9">
              <w:rPr>
                <w:rFonts w:hint="eastAsia"/>
                <w:snapToGrid w:val="0"/>
                <w:kern w:val="0"/>
                <w:szCs w:val="21"/>
              </w:rPr>
              <w:t>争端解决相关条件以及法庭的管辖权</w:t>
            </w:r>
            <w:r>
              <w:rPr>
                <w:snapToGrid w:val="0"/>
                <w:kern w:val="0"/>
                <w:szCs w:val="21"/>
              </w:rPr>
              <w:tab/>
            </w:r>
          </w:p>
        </w:tc>
        <w:tc>
          <w:tcPr>
            <w:tcW w:w="830" w:type="dxa"/>
            <w:vAlign w:val="bottom"/>
          </w:tcPr>
          <w:p w:rsidR="00F53060" w:rsidRDefault="00F53060" w:rsidP="00F53060">
            <w:pPr>
              <w:spacing w:after="120"/>
              <w:ind w:right="28"/>
              <w:jc w:val="right"/>
            </w:pPr>
            <w:r w:rsidRPr="00981405">
              <w:t>164-173</w:t>
            </w:r>
          </w:p>
        </w:tc>
      </w:tr>
      <w:tr w:rsidR="00F53060" w:rsidTr="00F53060">
        <w:trPr>
          <w:cantSplit/>
        </w:trPr>
        <w:tc>
          <w:tcPr>
            <w:tcW w:w="9072" w:type="dxa"/>
            <w:gridSpan w:val="3"/>
          </w:tcPr>
          <w:p w:rsidR="00F53060" w:rsidRDefault="00F53060" w:rsidP="00F91618">
            <w:pPr>
              <w:numPr>
                <w:ilvl w:val="1"/>
                <w:numId w:val="10"/>
              </w:numPr>
              <w:tabs>
                <w:tab w:val="right" w:pos="1080"/>
                <w:tab w:val="right" w:leader="dot" w:pos="9371"/>
              </w:tabs>
              <w:spacing w:after="120"/>
            </w:pPr>
            <w:r w:rsidRPr="002347E9">
              <w:rPr>
                <w:rFonts w:hint="eastAsia"/>
                <w:snapToGrid w:val="0"/>
                <w:kern w:val="0"/>
                <w:szCs w:val="21"/>
              </w:rPr>
              <w:t>确定最惠国规定是否适用于诉诸争端解决的条件的相关因素</w:t>
            </w:r>
            <w:r>
              <w:rPr>
                <w:snapToGrid w:val="0"/>
                <w:kern w:val="0"/>
                <w:szCs w:val="21"/>
              </w:rPr>
              <w:tab/>
            </w:r>
          </w:p>
        </w:tc>
        <w:tc>
          <w:tcPr>
            <w:tcW w:w="830" w:type="dxa"/>
            <w:vAlign w:val="bottom"/>
          </w:tcPr>
          <w:p w:rsidR="00F53060" w:rsidRDefault="00F53060" w:rsidP="00F53060">
            <w:pPr>
              <w:spacing w:after="120"/>
              <w:ind w:right="28"/>
              <w:jc w:val="right"/>
            </w:pPr>
            <w:r w:rsidRPr="00981405">
              <w:t>174-193</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同期原则</w:t>
            </w:r>
            <w:r>
              <w:rPr>
                <w:snapToGrid w:val="0"/>
                <w:kern w:val="0"/>
                <w:szCs w:val="21"/>
              </w:rPr>
              <w:tab/>
            </w:r>
          </w:p>
        </w:tc>
        <w:tc>
          <w:tcPr>
            <w:tcW w:w="830" w:type="dxa"/>
            <w:vAlign w:val="bottom"/>
          </w:tcPr>
          <w:p w:rsidR="00F53060" w:rsidRDefault="00F53060" w:rsidP="00F53060">
            <w:pPr>
              <w:spacing w:after="120"/>
              <w:ind w:right="28"/>
              <w:jc w:val="right"/>
            </w:pPr>
            <w:r w:rsidRPr="00981405">
              <w:t>176-178</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准备工作的相关性</w:t>
            </w:r>
            <w:r>
              <w:rPr>
                <w:snapToGrid w:val="0"/>
                <w:kern w:val="0"/>
                <w:szCs w:val="21"/>
              </w:rPr>
              <w:tab/>
            </w:r>
          </w:p>
        </w:tc>
        <w:tc>
          <w:tcPr>
            <w:tcW w:w="830" w:type="dxa"/>
            <w:vAlign w:val="bottom"/>
          </w:tcPr>
          <w:p w:rsidR="00F53060" w:rsidRDefault="00F53060" w:rsidP="00F53060">
            <w:pPr>
              <w:spacing w:after="120"/>
              <w:ind w:right="28"/>
              <w:jc w:val="right"/>
            </w:pPr>
            <w:r w:rsidRPr="00981405">
              <w:t>179</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缔约方的条约实践</w:t>
            </w:r>
            <w:r>
              <w:rPr>
                <w:snapToGrid w:val="0"/>
                <w:kern w:val="0"/>
                <w:szCs w:val="21"/>
              </w:rPr>
              <w:tab/>
            </w:r>
          </w:p>
        </w:tc>
        <w:tc>
          <w:tcPr>
            <w:tcW w:w="830" w:type="dxa"/>
            <w:vAlign w:val="bottom"/>
          </w:tcPr>
          <w:p w:rsidR="00F53060" w:rsidRDefault="00F53060" w:rsidP="00F53060">
            <w:pPr>
              <w:spacing w:after="120"/>
              <w:ind w:right="28"/>
              <w:jc w:val="right"/>
            </w:pPr>
            <w:r w:rsidRPr="00981405">
              <w:t>180-183</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上下文的含义</w:t>
            </w:r>
            <w:r>
              <w:rPr>
                <w:snapToGrid w:val="0"/>
                <w:kern w:val="0"/>
                <w:szCs w:val="21"/>
              </w:rPr>
              <w:tab/>
            </w:r>
          </w:p>
        </w:tc>
        <w:tc>
          <w:tcPr>
            <w:tcW w:w="830" w:type="dxa"/>
            <w:vAlign w:val="bottom"/>
          </w:tcPr>
          <w:p w:rsidR="00F53060" w:rsidRDefault="00F53060" w:rsidP="00F53060">
            <w:pPr>
              <w:spacing w:after="120"/>
              <w:ind w:right="28"/>
              <w:jc w:val="right"/>
            </w:pPr>
            <w:r w:rsidRPr="00D97463">
              <w:t>184-188</w:t>
            </w:r>
          </w:p>
        </w:tc>
      </w:tr>
      <w:tr w:rsidR="00F53060" w:rsidTr="00F53060">
        <w:trPr>
          <w:cantSplit/>
        </w:trPr>
        <w:tc>
          <w:tcPr>
            <w:tcW w:w="9072" w:type="dxa"/>
            <w:gridSpan w:val="3"/>
          </w:tcPr>
          <w:p w:rsidR="00F53060" w:rsidRPr="002869BA" w:rsidRDefault="00F53060" w:rsidP="00F91618">
            <w:pPr>
              <w:numPr>
                <w:ilvl w:val="3"/>
                <w:numId w:val="10"/>
              </w:numPr>
              <w:tabs>
                <w:tab w:val="right" w:pos="1080"/>
                <w:tab w:val="right" w:leader="dot" w:pos="9371"/>
              </w:tabs>
              <w:spacing w:after="120"/>
              <w:rPr>
                <w:rFonts w:ascii="楷体_GB2312" w:eastAsia="楷体_GB2312"/>
              </w:rPr>
            </w:pPr>
            <w:r w:rsidRPr="002869BA">
              <w:rPr>
                <w:rFonts w:ascii="楷体_GB2312" w:eastAsia="楷体_GB2312" w:hint="eastAsia"/>
                <w:snapToGrid w:val="0"/>
                <w:kern w:val="0"/>
                <w:szCs w:val="21"/>
              </w:rPr>
              <w:t>具体规定与一般规定之间的权衡</w:t>
            </w:r>
            <w:r w:rsidRPr="002869BA">
              <w:rPr>
                <w:rFonts w:asciiTheme="majorBidi" w:eastAsia="楷体_GB2312"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186-187</w:t>
            </w:r>
          </w:p>
        </w:tc>
      </w:tr>
      <w:tr w:rsidR="00F53060" w:rsidTr="00F53060">
        <w:trPr>
          <w:cantSplit/>
        </w:trPr>
        <w:tc>
          <w:tcPr>
            <w:tcW w:w="9072" w:type="dxa"/>
            <w:gridSpan w:val="3"/>
          </w:tcPr>
          <w:p w:rsidR="00F53060" w:rsidRPr="002869BA" w:rsidRDefault="00F53060" w:rsidP="00F91618">
            <w:pPr>
              <w:numPr>
                <w:ilvl w:val="3"/>
                <w:numId w:val="10"/>
              </w:numPr>
              <w:tabs>
                <w:tab w:val="right" w:pos="1080"/>
                <w:tab w:val="right" w:leader="dot" w:pos="9371"/>
              </w:tabs>
              <w:spacing w:after="120"/>
              <w:rPr>
                <w:rFonts w:ascii="楷体" w:eastAsia="楷体" w:hAnsi="楷体"/>
              </w:rPr>
            </w:pPr>
            <w:r w:rsidRPr="002869BA">
              <w:rPr>
                <w:rFonts w:ascii="楷体" w:eastAsia="楷体" w:hAnsi="楷体" w:hint="eastAsia"/>
                <w:snapToGrid w:val="0"/>
                <w:kern w:val="0"/>
                <w:szCs w:val="21"/>
              </w:rPr>
              <w:t>“明示其一”原则</w:t>
            </w:r>
            <w:r w:rsidRPr="002869BA">
              <w:rPr>
                <w:rFonts w:asciiTheme="majorBidi" w:eastAsia="楷体" w:hAnsiTheme="majorBidi" w:cstheme="majorBidi"/>
                <w:snapToGrid w:val="0"/>
                <w:kern w:val="0"/>
                <w:szCs w:val="21"/>
              </w:rPr>
              <w:tab/>
            </w:r>
          </w:p>
        </w:tc>
        <w:tc>
          <w:tcPr>
            <w:tcW w:w="830" w:type="dxa"/>
            <w:vAlign w:val="bottom"/>
          </w:tcPr>
          <w:p w:rsidR="00F53060" w:rsidRDefault="00F53060" w:rsidP="00F53060">
            <w:pPr>
              <w:spacing w:after="120"/>
              <w:ind w:right="28"/>
              <w:jc w:val="right"/>
            </w:pPr>
            <w:r w:rsidRPr="00981405">
              <w:t>188</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试图替换的条款内容的相关性</w:t>
            </w:r>
            <w:r>
              <w:rPr>
                <w:snapToGrid w:val="0"/>
                <w:kern w:val="0"/>
                <w:szCs w:val="21"/>
              </w:rPr>
              <w:tab/>
            </w:r>
          </w:p>
        </w:tc>
        <w:tc>
          <w:tcPr>
            <w:tcW w:w="830" w:type="dxa"/>
            <w:vAlign w:val="bottom"/>
          </w:tcPr>
          <w:p w:rsidR="00F53060" w:rsidRDefault="00F53060" w:rsidP="00F53060">
            <w:pPr>
              <w:spacing w:after="120"/>
              <w:ind w:right="28"/>
              <w:jc w:val="right"/>
            </w:pPr>
            <w:r w:rsidRPr="00981405">
              <w:t>189-190</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对试图纳入的条款的解释</w:t>
            </w:r>
            <w:r>
              <w:rPr>
                <w:snapToGrid w:val="0"/>
                <w:kern w:val="0"/>
                <w:szCs w:val="21"/>
              </w:rPr>
              <w:tab/>
            </w:r>
          </w:p>
        </w:tc>
        <w:tc>
          <w:tcPr>
            <w:tcW w:w="830" w:type="dxa"/>
            <w:vAlign w:val="bottom"/>
          </w:tcPr>
          <w:p w:rsidR="00F53060" w:rsidRDefault="00F53060" w:rsidP="00F53060">
            <w:pPr>
              <w:spacing w:after="120"/>
              <w:ind w:right="28"/>
              <w:jc w:val="right"/>
            </w:pPr>
            <w:r>
              <w:t>191-193</w:t>
            </w:r>
          </w:p>
        </w:tc>
      </w:tr>
      <w:tr w:rsidR="00F53060" w:rsidTr="00F53060">
        <w:trPr>
          <w:cantSplit/>
        </w:trPr>
        <w:tc>
          <w:tcPr>
            <w:tcW w:w="9072" w:type="dxa"/>
            <w:gridSpan w:val="3"/>
          </w:tcPr>
          <w:p w:rsidR="00F53060" w:rsidRDefault="00F53060" w:rsidP="00F91618">
            <w:pPr>
              <w:numPr>
                <w:ilvl w:val="1"/>
                <w:numId w:val="10"/>
              </w:numPr>
              <w:tabs>
                <w:tab w:val="right" w:pos="1080"/>
                <w:tab w:val="right" w:leader="dot" w:pos="9371"/>
              </w:tabs>
              <w:spacing w:after="120"/>
            </w:pPr>
            <w:r w:rsidRPr="002347E9">
              <w:rPr>
                <w:rFonts w:hint="eastAsia"/>
                <w:snapToGrid w:val="0"/>
                <w:kern w:val="0"/>
                <w:szCs w:val="21"/>
              </w:rPr>
              <w:lastRenderedPageBreak/>
              <w:t>最惠国条款各种范本的结果</w:t>
            </w:r>
            <w:r>
              <w:rPr>
                <w:snapToGrid w:val="0"/>
                <w:kern w:val="0"/>
                <w:szCs w:val="21"/>
              </w:rPr>
              <w:tab/>
            </w:r>
          </w:p>
        </w:tc>
        <w:tc>
          <w:tcPr>
            <w:tcW w:w="830" w:type="dxa"/>
            <w:vAlign w:val="bottom"/>
          </w:tcPr>
          <w:p w:rsidR="00F53060" w:rsidRDefault="00F53060" w:rsidP="00F53060">
            <w:pPr>
              <w:spacing w:after="120"/>
              <w:ind w:right="28"/>
              <w:jc w:val="right"/>
            </w:pPr>
            <w:r w:rsidRPr="00981405">
              <w:t>194-211</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马菲基尼案裁决时已有协定中的条款</w:t>
            </w:r>
            <w:r>
              <w:rPr>
                <w:snapToGrid w:val="0"/>
                <w:kern w:val="0"/>
                <w:szCs w:val="21"/>
              </w:rPr>
              <w:tab/>
            </w:r>
          </w:p>
        </w:tc>
        <w:tc>
          <w:tcPr>
            <w:tcW w:w="830" w:type="dxa"/>
            <w:vAlign w:val="bottom"/>
          </w:tcPr>
          <w:p w:rsidR="00F53060" w:rsidRDefault="00F53060" w:rsidP="00F53060">
            <w:pPr>
              <w:spacing w:after="120"/>
              <w:ind w:right="28"/>
              <w:jc w:val="right"/>
            </w:pPr>
            <w:r w:rsidRPr="00981405">
              <w:t>195-202</w:t>
            </w:r>
          </w:p>
        </w:tc>
      </w:tr>
      <w:tr w:rsidR="00F53060" w:rsidTr="00F53060">
        <w:trPr>
          <w:cantSplit/>
        </w:trPr>
        <w:tc>
          <w:tcPr>
            <w:tcW w:w="9072" w:type="dxa"/>
            <w:gridSpan w:val="3"/>
          </w:tcPr>
          <w:p w:rsidR="00F53060" w:rsidRDefault="00F53060" w:rsidP="00F91618">
            <w:pPr>
              <w:numPr>
                <w:ilvl w:val="2"/>
                <w:numId w:val="10"/>
              </w:numPr>
              <w:tabs>
                <w:tab w:val="right" w:pos="1080"/>
                <w:tab w:val="right" w:leader="dot" w:pos="9371"/>
              </w:tabs>
              <w:spacing w:after="120"/>
            </w:pPr>
            <w:r w:rsidRPr="002347E9">
              <w:rPr>
                <w:rFonts w:hint="eastAsia"/>
                <w:snapToGrid w:val="0"/>
                <w:kern w:val="0"/>
                <w:szCs w:val="21"/>
              </w:rPr>
              <w:t>马菲基尼案裁决后所订立协定中的条款</w:t>
            </w:r>
            <w:r>
              <w:rPr>
                <w:snapToGrid w:val="0"/>
                <w:kern w:val="0"/>
                <w:szCs w:val="21"/>
              </w:rPr>
              <w:tab/>
            </w:r>
          </w:p>
        </w:tc>
        <w:tc>
          <w:tcPr>
            <w:tcW w:w="830" w:type="dxa"/>
            <w:vAlign w:val="bottom"/>
          </w:tcPr>
          <w:p w:rsidR="00F53060" w:rsidRDefault="00F53060" w:rsidP="00F53060">
            <w:pPr>
              <w:spacing w:after="120"/>
              <w:ind w:right="28"/>
              <w:jc w:val="right"/>
            </w:pPr>
            <w:r w:rsidRPr="00981405">
              <w:t>203-211</w:t>
            </w:r>
          </w:p>
        </w:tc>
      </w:tr>
      <w:tr w:rsidR="00F53060" w:rsidTr="00F53060">
        <w:trPr>
          <w:cantSplit/>
        </w:trPr>
        <w:tc>
          <w:tcPr>
            <w:tcW w:w="9072" w:type="dxa"/>
            <w:gridSpan w:val="3"/>
          </w:tcPr>
          <w:p w:rsidR="00F53060" w:rsidRPr="00ED30E7" w:rsidRDefault="00F53060" w:rsidP="00F53060">
            <w:pPr>
              <w:tabs>
                <w:tab w:val="right" w:leader="dot" w:pos="9371"/>
              </w:tabs>
              <w:spacing w:after="120"/>
              <w:ind w:left="1050"/>
              <w:rPr>
                <w:rFonts w:ascii="黑体" w:eastAsia="黑体" w:hAnsi="黑体"/>
              </w:rPr>
            </w:pPr>
            <w:r w:rsidRPr="00ED30E7">
              <w:rPr>
                <w:rFonts w:ascii="黑体" w:eastAsia="黑体" w:hAnsi="黑体" w:hint="eastAsia"/>
              </w:rPr>
              <w:t>第五部分－结论概述</w:t>
            </w:r>
            <w:r w:rsidRPr="00ED30E7">
              <w:rPr>
                <w:rFonts w:asciiTheme="majorBidi" w:eastAsia="黑体" w:hAnsiTheme="majorBidi" w:cstheme="majorBidi"/>
              </w:rPr>
              <w:tab/>
            </w:r>
          </w:p>
        </w:tc>
        <w:tc>
          <w:tcPr>
            <w:tcW w:w="830" w:type="dxa"/>
            <w:vAlign w:val="bottom"/>
          </w:tcPr>
          <w:p w:rsidR="00F53060" w:rsidRDefault="00F53060" w:rsidP="00F53060">
            <w:pPr>
              <w:spacing w:after="120"/>
              <w:ind w:right="28"/>
              <w:jc w:val="right"/>
            </w:pPr>
            <w:r w:rsidRPr="00981405">
              <w:t>212-217</w:t>
            </w:r>
          </w:p>
        </w:tc>
      </w:tr>
    </w:tbl>
    <w:p w:rsidR="00F53060" w:rsidRDefault="00F53060" w:rsidP="00F53060"/>
    <w:p w:rsidR="00F53060" w:rsidRDefault="00F53060" w:rsidP="00F53060">
      <w:pPr>
        <w:pStyle w:val="SingleTxt"/>
      </w:pPr>
    </w:p>
    <w:p w:rsidR="00F53060" w:rsidRPr="002347E9" w:rsidRDefault="00F53060" w:rsidP="00F53060">
      <w:pPr>
        <w:spacing w:line="240" w:lineRule="auto"/>
        <w:jc w:val="left"/>
      </w:pPr>
      <w:r w:rsidRPr="002347E9">
        <w:br w:type="page"/>
      </w:r>
    </w:p>
    <w:p w:rsidR="00F53060" w:rsidRPr="00A8194B"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bookmarkStart w:id="68" w:name="_Toc294353654"/>
    </w:p>
    <w:p w:rsidR="00F53060" w:rsidRPr="00A8194B"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A8194B"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2347E9"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sidRPr="002347E9">
        <w:rPr>
          <w:rFonts w:hint="eastAsia"/>
          <w:snapToGrid w:val="0"/>
          <w:lang w:val="fr-CH"/>
        </w:rPr>
        <w:tab/>
      </w:r>
      <w:r w:rsidRPr="002347E9">
        <w:rPr>
          <w:rFonts w:hint="eastAsia"/>
          <w:snapToGrid w:val="0"/>
          <w:lang w:val="fr-CH"/>
        </w:rPr>
        <w:tab/>
        <w:t>导言</w:t>
      </w:r>
    </w:p>
    <w:p w:rsidR="00F53060" w:rsidRPr="00A8194B" w:rsidRDefault="00F53060" w:rsidP="00F53060">
      <w:pPr>
        <w:pStyle w:val="SingleTxt"/>
        <w:spacing w:after="0" w:line="120" w:lineRule="exact"/>
        <w:rPr>
          <w:snapToGrid w:val="0"/>
          <w:sz w:val="10"/>
          <w:lang w:val="fr-CH"/>
        </w:rPr>
      </w:pPr>
    </w:p>
    <w:p w:rsidR="00F53060" w:rsidRPr="00E1712C" w:rsidRDefault="00F53060" w:rsidP="00F53060">
      <w:pPr>
        <w:pStyle w:val="SingleTxt"/>
        <w:spacing w:after="0" w:line="120" w:lineRule="exact"/>
        <w:rPr>
          <w:sz w:val="10"/>
          <w:lang w:val="en-CA"/>
        </w:rPr>
      </w:pPr>
    </w:p>
    <w:p w:rsidR="00F53060" w:rsidRPr="00A8194B" w:rsidRDefault="00F53060" w:rsidP="00F53060">
      <w:pPr>
        <w:pStyle w:val="SingleTxt"/>
        <w:spacing w:after="0" w:line="120" w:lineRule="exact"/>
        <w:rPr>
          <w:snapToGrid w:val="0"/>
          <w:sz w:val="10"/>
          <w:lang w:val="fr-CH"/>
        </w:rPr>
      </w:pPr>
    </w:p>
    <w:p w:rsidR="00F53060" w:rsidRPr="002347E9" w:rsidRDefault="00F53060" w:rsidP="00F53060">
      <w:pPr>
        <w:pStyle w:val="SingleTxt"/>
        <w:rPr>
          <w:snapToGrid w:val="0"/>
          <w:lang w:val="fr-CH"/>
        </w:rPr>
      </w:pPr>
      <w:r w:rsidRPr="002347E9">
        <w:rPr>
          <w:rFonts w:hint="eastAsia"/>
          <w:snapToGrid w:val="0"/>
          <w:lang w:val="fr-CH"/>
        </w:rPr>
        <w:t>1</w:t>
      </w:r>
      <w:r>
        <w:rPr>
          <w:rFonts w:hint="eastAsia"/>
          <w:snapToGrid w:val="0"/>
          <w:lang w:val="fr-CH"/>
        </w:rPr>
        <w:t xml:space="preserve">.  </w:t>
      </w:r>
      <w:r w:rsidRPr="002347E9">
        <w:rPr>
          <w:rFonts w:hint="eastAsia"/>
          <w:snapToGrid w:val="0"/>
          <w:lang w:val="fr-CH"/>
        </w:rPr>
        <w:t>本报告反映了委员会设立的审议与最惠国条款有关的当代问题的研究组的工作。委员会自</w:t>
      </w:r>
      <w:r w:rsidRPr="002347E9">
        <w:rPr>
          <w:rFonts w:hint="eastAsia"/>
          <w:snapToGrid w:val="0"/>
          <w:lang w:val="fr-CH"/>
        </w:rPr>
        <w:t>1967</w:t>
      </w:r>
      <w:r w:rsidRPr="002347E9">
        <w:rPr>
          <w:rFonts w:hint="eastAsia"/>
          <w:snapToGrid w:val="0"/>
          <w:lang w:val="fr-CH"/>
        </w:rPr>
        <w:t>年至</w:t>
      </w:r>
      <w:r w:rsidRPr="002347E9">
        <w:rPr>
          <w:rFonts w:hint="eastAsia"/>
          <w:snapToGrid w:val="0"/>
          <w:lang w:val="fr-CH"/>
        </w:rPr>
        <w:t>1978</w:t>
      </w:r>
      <w:r w:rsidRPr="002347E9">
        <w:rPr>
          <w:rFonts w:hint="eastAsia"/>
          <w:snapToGrid w:val="0"/>
          <w:lang w:val="fr-CH"/>
        </w:rPr>
        <w:t>年研究了最惠国条款专题，不过委员会拟定的条款草案没有形成多边条约。自那时起，最惠国条款就成为世贸组织的基石，被纳入大量双边和区域投资协定。特别是，在双边投资协定方面，出现了最惠国条款能否从实质义务延伸到争端解决规定的争论。报告回顾了这些发展，并就最惠国规定</w:t>
      </w:r>
      <w:r w:rsidRPr="00953281">
        <w:rPr>
          <w:snapToGrid w:val="0"/>
          <w:w w:val="150"/>
          <w:szCs w:val="24"/>
          <w:vertAlign w:val="superscript"/>
          <w:lang w:val="fr-CH"/>
        </w:rPr>
        <w:footnoteReference w:id="413"/>
      </w:r>
      <w:r w:rsidRPr="002347E9">
        <w:rPr>
          <w:rFonts w:hint="eastAsia"/>
          <w:snapToGrid w:val="0"/>
          <w:lang w:val="fr-CH"/>
        </w:rPr>
        <w:t>的解释作出了评论。</w:t>
      </w:r>
    </w:p>
    <w:p w:rsidR="00F53060" w:rsidRPr="002347E9" w:rsidRDefault="00F53060" w:rsidP="00F53060">
      <w:pPr>
        <w:pStyle w:val="SingleTxt"/>
        <w:rPr>
          <w:snapToGrid w:val="0"/>
          <w:kern w:val="0"/>
          <w:szCs w:val="21"/>
          <w:lang w:val="fr-CH"/>
        </w:rPr>
      </w:pPr>
      <w:r w:rsidRPr="002347E9">
        <w:rPr>
          <w:rFonts w:hint="eastAsia"/>
          <w:snapToGrid w:val="0"/>
          <w:kern w:val="0"/>
          <w:szCs w:val="21"/>
          <w:lang w:val="fr-CH"/>
        </w:rPr>
        <w:t>2</w:t>
      </w:r>
      <w:r>
        <w:rPr>
          <w:rFonts w:hint="eastAsia"/>
          <w:snapToGrid w:val="0"/>
          <w:kern w:val="0"/>
          <w:szCs w:val="21"/>
          <w:lang w:val="fr-CH"/>
        </w:rPr>
        <w:t xml:space="preserve">.  </w:t>
      </w:r>
      <w:r w:rsidRPr="002347E9">
        <w:rPr>
          <w:rFonts w:hint="eastAsia"/>
          <w:snapToGrid w:val="0"/>
          <w:kern w:val="0"/>
          <w:szCs w:val="21"/>
          <w:lang w:val="fr-CH"/>
        </w:rPr>
        <w:t>审议本专题时，研究组试图确定是否可能得出一个在实践中有用的结果，既有助于将最惠国条款纳入条约，又有助于法庭及其他仲裁机构在判决中解释和适用最惠国条款。研究组审议了修订</w:t>
      </w:r>
      <w:r w:rsidRPr="002347E9">
        <w:rPr>
          <w:rFonts w:hint="eastAsia"/>
          <w:snapToGrid w:val="0"/>
          <w:kern w:val="0"/>
          <w:szCs w:val="21"/>
          <w:lang w:val="fr-CH"/>
        </w:rPr>
        <w:t>1978</w:t>
      </w:r>
      <w:r w:rsidRPr="002347E9">
        <w:rPr>
          <w:rFonts w:hint="eastAsia"/>
          <w:snapToGrid w:val="0"/>
          <w:kern w:val="0"/>
          <w:szCs w:val="21"/>
          <w:lang w:val="fr-CH"/>
        </w:rPr>
        <w:t>年条款草案或编写一套新的条款草案是否有任何作用，结论是没有。</w:t>
      </w:r>
      <w:r w:rsidRPr="00953281">
        <w:rPr>
          <w:snapToGrid w:val="0"/>
          <w:w w:val="150"/>
          <w:kern w:val="0"/>
          <w:szCs w:val="24"/>
          <w:vertAlign w:val="superscript"/>
          <w:lang w:val="fr-CH"/>
        </w:rPr>
        <w:footnoteReference w:id="414"/>
      </w:r>
      <w:r w:rsidRPr="002347E9">
        <w:rPr>
          <w:rFonts w:hint="eastAsia"/>
          <w:snapToGrid w:val="0"/>
          <w:kern w:val="0"/>
          <w:szCs w:val="21"/>
          <w:lang w:val="fr-CH"/>
        </w:rPr>
        <w:t xml:space="preserve"> </w:t>
      </w:r>
      <w:r w:rsidRPr="002347E9">
        <w:rPr>
          <w:rFonts w:hint="eastAsia"/>
          <w:snapToGrid w:val="0"/>
          <w:kern w:val="0"/>
          <w:szCs w:val="21"/>
          <w:lang w:val="fr-CH"/>
        </w:rPr>
        <w:t>虽然研究组重点关注投资协定方面的最惠国条款，但是也力求在更大的背景下审议最惠国条款问题。下文第</w:t>
      </w:r>
      <w:r w:rsidRPr="002347E9">
        <w:rPr>
          <w:rFonts w:hint="eastAsia"/>
          <w:snapToGrid w:val="0"/>
          <w:kern w:val="0"/>
          <w:szCs w:val="21"/>
          <w:lang w:val="fr-CH"/>
        </w:rPr>
        <w:t>212</w:t>
      </w:r>
      <w:r w:rsidRPr="002347E9">
        <w:rPr>
          <w:rFonts w:hint="eastAsia"/>
          <w:snapToGrid w:val="0"/>
          <w:kern w:val="0"/>
          <w:szCs w:val="21"/>
          <w:lang w:val="fr-CH"/>
        </w:rPr>
        <w:t>至</w:t>
      </w:r>
      <w:r w:rsidRPr="002347E9">
        <w:rPr>
          <w:rFonts w:hint="eastAsia"/>
          <w:snapToGrid w:val="0"/>
          <w:kern w:val="0"/>
          <w:szCs w:val="21"/>
          <w:lang w:val="fr-CH"/>
        </w:rPr>
        <w:t>217</w:t>
      </w:r>
      <w:r w:rsidRPr="002347E9">
        <w:rPr>
          <w:rFonts w:hint="eastAsia"/>
          <w:snapToGrid w:val="0"/>
          <w:kern w:val="0"/>
          <w:szCs w:val="21"/>
          <w:lang w:val="fr-CH"/>
        </w:rPr>
        <w:t>段列出了研究组的结论。</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A8194B"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A8194B"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2347E9"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Pr>
          <w:rFonts w:hint="eastAsia"/>
          <w:snapToGrid w:val="0"/>
          <w:lang w:val="fr-CH"/>
        </w:rPr>
        <w:tab/>
      </w:r>
      <w:r>
        <w:rPr>
          <w:rFonts w:hint="eastAsia"/>
          <w:snapToGrid w:val="0"/>
          <w:lang w:val="fr-CH"/>
        </w:rPr>
        <w:tab/>
        <w:t>第一部分</w:t>
      </w:r>
      <w:r>
        <w:rPr>
          <w:snapToGrid w:val="0"/>
          <w:lang w:val="fr-CH"/>
        </w:rPr>
        <w:br/>
      </w:r>
      <w:r w:rsidRPr="002347E9">
        <w:rPr>
          <w:rFonts w:hint="eastAsia"/>
          <w:snapToGrid w:val="0"/>
          <w:lang w:val="fr-CH"/>
        </w:rPr>
        <w:t>背景</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A8194B" w:rsidRDefault="00F53060" w:rsidP="00F53060">
      <w:pPr>
        <w:pStyle w:val="SingleTxt"/>
        <w:spacing w:after="0" w:line="120" w:lineRule="exact"/>
        <w:rPr>
          <w:snapToGrid w:val="0"/>
          <w:sz w:val="10"/>
          <w:lang w:val="fr-CH"/>
        </w:rPr>
      </w:pPr>
    </w:p>
    <w:p w:rsidR="00F53060" w:rsidRPr="00A8194B" w:rsidRDefault="00F53060" w:rsidP="00F53060">
      <w:pPr>
        <w:pStyle w:val="SingleTxt"/>
        <w:spacing w:after="0" w:line="120" w:lineRule="exact"/>
        <w:rPr>
          <w:snapToGrid w:val="0"/>
          <w:sz w:val="10"/>
          <w:lang w:val="fr-CH"/>
        </w:rPr>
      </w:pPr>
    </w:p>
    <w:p w:rsidR="00F53060" w:rsidRPr="002347E9" w:rsidRDefault="00F53060" w:rsidP="00F53060">
      <w:pPr>
        <w:pStyle w:val="SingleTxt"/>
        <w:rPr>
          <w:snapToGrid w:val="0"/>
          <w:lang w:val="fr-CH"/>
        </w:rPr>
      </w:pPr>
      <w:r w:rsidRPr="002347E9">
        <w:rPr>
          <w:rFonts w:hint="eastAsia"/>
          <w:snapToGrid w:val="0"/>
          <w:lang w:val="fr-CH"/>
        </w:rPr>
        <w:t>3</w:t>
      </w:r>
      <w:r>
        <w:rPr>
          <w:rFonts w:hint="eastAsia"/>
          <w:snapToGrid w:val="0"/>
          <w:lang w:val="fr-CH"/>
        </w:rPr>
        <w:t xml:space="preserve">.  </w:t>
      </w:r>
      <w:r w:rsidRPr="002347E9">
        <w:rPr>
          <w:rFonts w:hint="eastAsia"/>
          <w:snapToGrid w:val="0"/>
          <w:lang w:val="fr-CH"/>
        </w:rPr>
        <w:t>本部分列出了研究组工作的背景，介绍了委员会之前关于最惠国条款问题的工作。本部分继而介绍了</w:t>
      </w:r>
      <w:r w:rsidRPr="002347E9">
        <w:rPr>
          <w:rFonts w:hint="eastAsia"/>
          <w:snapToGrid w:val="0"/>
          <w:lang w:val="fr-CH"/>
        </w:rPr>
        <w:t>1978</w:t>
      </w:r>
      <w:r w:rsidRPr="002347E9">
        <w:rPr>
          <w:rFonts w:hint="eastAsia"/>
          <w:snapToGrid w:val="0"/>
          <w:lang w:val="fr-CH"/>
        </w:rPr>
        <w:t>年以来最惠国条款的运用。</w:t>
      </w:r>
    </w:p>
    <w:p w:rsidR="00F53060" w:rsidRPr="00A8194B"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A8194B"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sidRPr="002347E9">
        <w:rPr>
          <w:rFonts w:hint="eastAsia"/>
          <w:snapToGrid w:val="0"/>
          <w:lang w:val="fr-CH"/>
        </w:rPr>
        <w:tab/>
        <w:t>A.</w:t>
      </w:r>
      <w:r w:rsidRPr="002347E9">
        <w:rPr>
          <w:rFonts w:hint="eastAsia"/>
          <w:snapToGrid w:val="0"/>
          <w:lang w:val="fr-CH"/>
        </w:rPr>
        <w:tab/>
        <w:t>研究组工作的由来和目的</w:t>
      </w:r>
    </w:p>
    <w:p w:rsidR="00F53060" w:rsidRPr="00A8194B" w:rsidRDefault="00F53060" w:rsidP="00F53060">
      <w:pPr>
        <w:pStyle w:val="SingleTxt"/>
        <w:spacing w:after="0" w:line="120" w:lineRule="exact"/>
        <w:rPr>
          <w:snapToGrid w:val="0"/>
          <w:sz w:val="10"/>
          <w:szCs w:val="21"/>
          <w:lang w:val="fr-CH"/>
        </w:rPr>
      </w:pPr>
    </w:p>
    <w:p w:rsidR="00F53060" w:rsidRPr="00A8194B" w:rsidRDefault="00F53060" w:rsidP="00F53060">
      <w:pPr>
        <w:pStyle w:val="SingleTxt"/>
        <w:spacing w:after="0" w:line="120" w:lineRule="exact"/>
        <w:rPr>
          <w:snapToGrid w:val="0"/>
          <w:sz w:val="10"/>
          <w:szCs w:val="21"/>
          <w:lang w:val="fr-CH"/>
        </w:rPr>
      </w:pPr>
    </w:p>
    <w:p w:rsidR="00F53060" w:rsidRPr="00A8194B" w:rsidRDefault="00F53060" w:rsidP="00F53060">
      <w:pPr>
        <w:pStyle w:val="SingleTxt"/>
        <w:rPr>
          <w:snapToGrid w:val="0"/>
          <w:spacing w:val="2"/>
          <w:szCs w:val="21"/>
        </w:rPr>
      </w:pPr>
      <w:r w:rsidRPr="002347E9">
        <w:rPr>
          <w:rFonts w:hint="eastAsia"/>
          <w:snapToGrid w:val="0"/>
          <w:szCs w:val="21"/>
          <w:lang w:val="fr-CH"/>
        </w:rPr>
        <w:t>4</w:t>
      </w:r>
      <w:r>
        <w:rPr>
          <w:rFonts w:hint="eastAsia"/>
          <w:snapToGrid w:val="0"/>
          <w:szCs w:val="21"/>
          <w:lang w:val="fr-CH"/>
        </w:rPr>
        <w:t xml:space="preserve">.  </w:t>
      </w:r>
      <w:r w:rsidRPr="002347E9">
        <w:rPr>
          <w:rFonts w:hint="eastAsia"/>
          <w:snapToGrid w:val="0"/>
          <w:szCs w:val="21"/>
          <w:lang w:val="fr-CH"/>
        </w:rPr>
        <w:t>1978</w:t>
      </w:r>
      <w:r w:rsidRPr="002347E9">
        <w:rPr>
          <w:rFonts w:hint="eastAsia"/>
          <w:snapToGrid w:val="0"/>
          <w:szCs w:val="21"/>
          <w:lang w:val="fr-CH"/>
        </w:rPr>
        <w:t>年，委员会通过了关于最惠国条款专题的条款草案。</w:t>
      </w:r>
      <w:r w:rsidRPr="00953281">
        <w:rPr>
          <w:snapToGrid w:val="0"/>
          <w:w w:val="150"/>
          <w:vertAlign w:val="superscript"/>
          <w:lang w:val="fr-CH"/>
        </w:rPr>
        <w:footnoteReference w:id="415"/>
      </w:r>
      <w:r w:rsidRPr="002347E9">
        <w:rPr>
          <w:rFonts w:hint="eastAsia"/>
          <w:snapToGrid w:val="0"/>
          <w:szCs w:val="21"/>
          <w:lang w:val="fr-CH"/>
        </w:rPr>
        <w:t xml:space="preserve"> </w:t>
      </w:r>
      <w:r w:rsidRPr="002347E9">
        <w:rPr>
          <w:rFonts w:hint="eastAsia"/>
          <w:snapToGrid w:val="0"/>
          <w:szCs w:val="21"/>
          <w:lang w:val="fr-CH"/>
        </w:rPr>
        <w:t>大会没有召开会议，将这些条款草案变为公约。</w:t>
      </w:r>
      <w:r w:rsidRPr="002347E9">
        <w:rPr>
          <w:rFonts w:hint="eastAsia"/>
          <w:snapToGrid w:val="0"/>
          <w:szCs w:val="21"/>
          <w:lang w:val="fr-CH"/>
        </w:rPr>
        <w:t>2006</w:t>
      </w:r>
      <w:r w:rsidRPr="002347E9">
        <w:rPr>
          <w:rFonts w:hint="eastAsia"/>
          <w:snapToGrid w:val="0"/>
          <w:szCs w:val="21"/>
          <w:lang w:val="fr-CH"/>
        </w:rPr>
        <w:t>年，在国际法委员会第五十八届会议上，</w:t>
      </w:r>
      <w:r w:rsidRPr="002347E9">
        <w:rPr>
          <w:rFonts w:hint="eastAsia"/>
          <w:snapToGrid w:val="0"/>
          <w:szCs w:val="21"/>
        </w:rPr>
        <w:t>长期工作方案工作组讨论了是否应当重新审议最惠国条款问题。在第五十九届</w:t>
      </w:r>
      <w:r w:rsidRPr="002347E9">
        <w:rPr>
          <w:rFonts w:hint="eastAsia"/>
          <w:snapToGrid w:val="0"/>
          <w:szCs w:val="21"/>
        </w:rPr>
        <w:t>(2007</w:t>
      </w:r>
      <w:r w:rsidRPr="002347E9">
        <w:rPr>
          <w:rFonts w:hint="eastAsia"/>
          <w:snapToGrid w:val="0"/>
          <w:szCs w:val="21"/>
        </w:rPr>
        <w:t>年</w:t>
      </w:r>
      <w:r w:rsidRPr="002347E9">
        <w:rPr>
          <w:rFonts w:hint="eastAsia"/>
          <w:snapToGrid w:val="0"/>
          <w:szCs w:val="21"/>
        </w:rPr>
        <w:t>)</w:t>
      </w:r>
      <w:r w:rsidRPr="002347E9">
        <w:rPr>
          <w:rFonts w:hint="eastAsia"/>
          <w:snapToGrid w:val="0"/>
          <w:szCs w:val="21"/>
        </w:rPr>
        <w:t>会议上，委员会的一个非正式工作组审议了该问题，在第六十届</w:t>
      </w:r>
      <w:r w:rsidRPr="002347E9">
        <w:rPr>
          <w:rFonts w:hint="eastAsia"/>
          <w:snapToGrid w:val="0"/>
          <w:szCs w:val="21"/>
        </w:rPr>
        <w:t>(2008</w:t>
      </w:r>
      <w:r w:rsidRPr="002347E9">
        <w:rPr>
          <w:rFonts w:hint="eastAsia"/>
          <w:snapToGrid w:val="0"/>
          <w:szCs w:val="21"/>
        </w:rPr>
        <w:t>年</w:t>
      </w:r>
      <w:r w:rsidRPr="002347E9">
        <w:rPr>
          <w:rFonts w:hint="eastAsia"/>
          <w:snapToGrid w:val="0"/>
          <w:szCs w:val="21"/>
        </w:rPr>
        <w:t>)</w:t>
      </w:r>
      <w:r w:rsidRPr="002347E9">
        <w:rPr>
          <w:rFonts w:hint="eastAsia"/>
          <w:snapToGrid w:val="0"/>
          <w:szCs w:val="21"/>
        </w:rPr>
        <w:t>会议上，委员会决定将最惠国条款专题列入长期工作方案。在同一届会议上，委员会决定将这一专题列入当前工作方案，并在第六十一届会议上设立一个研究组，由唐纳德·麦克</w:t>
      </w:r>
      <w:r w:rsidRPr="00A8194B">
        <w:rPr>
          <w:rFonts w:hint="eastAsia"/>
          <w:snapToGrid w:val="0"/>
          <w:spacing w:val="4"/>
          <w:szCs w:val="21"/>
        </w:rPr>
        <w:t>雷先生和罗汉</w:t>
      </w:r>
      <w:r w:rsidRPr="00A8194B">
        <w:rPr>
          <w:rFonts w:hint="eastAsia"/>
          <w:spacing w:val="4"/>
        </w:rPr>
        <w:t>·</w:t>
      </w:r>
      <w:r w:rsidRPr="00A8194B">
        <w:rPr>
          <w:rFonts w:hint="eastAsia"/>
          <w:snapToGrid w:val="0"/>
          <w:spacing w:val="4"/>
          <w:szCs w:val="21"/>
        </w:rPr>
        <w:t>佩雷拉先生共同主持。</w:t>
      </w:r>
      <w:r w:rsidRPr="00953281">
        <w:rPr>
          <w:snapToGrid w:val="0"/>
          <w:spacing w:val="2"/>
          <w:w w:val="150"/>
          <w:szCs w:val="21"/>
          <w:vertAlign w:val="superscript"/>
        </w:rPr>
        <w:footnoteReference w:id="416"/>
      </w:r>
      <w:r w:rsidRPr="00A8194B">
        <w:rPr>
          <w:rFonts w:hint="eastAsia"/>
          <w:snapToGrid w:val="0"/>
          <w:spacing w:val="2"/>
          <w:szCs w:val="21"/>
        </w:rPr>
        <w:t xml:space="preserve"> </w:t>
      </w:r>
      <w:r w:rsidRPr="00A8194B">
        <w:rPr>
          <w:rFonts w:hint="eastAsia"/>
          <w:snapToGrid w:val="0"/>
          <w:spacing w:val="2"/>
          <w:szCs w:val="21"/>
        </w:rPr>
        <w:t>自</w:t>
      </w:r>
      <w:r w:rsidRPr="00A8194B">
        <w:rPr>
          <w:rFonts w:hint="eastAsia"/>
          <w:snapToGrid w:val="0"/>
          <w:spacing w:val="2"/>
          <w:szCs w:val="21"/>
        </w:rPr>
        <w:t>2012</w:t>
      </w:r>
      <w:r w:rsidRPr="00A8194B">
        <w:rPr>
          <w:rFonts w:hint="eastAsia"/>
          <w:snapToGrid w:val="0"/>
          <w:spacing w:val="2"/>
          <w:szCs w:val="21"/>
        </w:rPr>
        <w:t>年起，工作组由麦克雷先生主持，当他不在时，由马蒂亚斯·福尔托先生代为主持。</w:t>
      </w:r>
    </w:p>
    <w:p w:rsidR="00F53060" w:rsidRPr="002347E9" w:rsidRDefault="00F53060" w:rsidP="00F53060">
      <w:pPr>
        <w:pStyle w:val="SingleTxt"/>
        <w:rPr>
          <w:snapToGrid w:val="0"/>
          <w:szCs w:val="21"/>
          <w:lang w:val="fr-CH"/>
        </w:rPr>
      </w:pPr>
      <w:r w:rsidRPr="002347E9">
        <w:rPr>
          <w:rFonts w:hint="eastAsia"/>
          <w:snapToGrid w:val="0"/>
          <w:szCs w:val="21"/>
          <w:lang w:val="fr-CH"/>
        </w:rPr>
        <w:lastRenderedPageBreak/>
        <w:t>5</w:t>
      </w:r>
      <w:r>
        <w:rPr>
          <w:rFonts w:hint="eastAsia"/>
          <w:snapToGrid w:val="0"/>
          <w:szCs w:val="21"/>
          <w:lang w:val="fr-CH"/>
        </w:rPr>
        <w:t xml:space="preserve">.  </w:t>
      </w:r>
      <w:r w:rsidRPr="002347E9">
        <w:rPr>
          <w:rFonts w:hint="eastAsia"/>
          <w:snapToGrid w:val="0"/>
          <w:szCs w:val="21"/>
          <w:lang w:val="fr-CH"/>
        </w:rPr>
        <w:t>委员会决定重新审议最惠国条款问题是受到了</w:t>
      </w:r>
      <w:r w:rsidRPr="002347E9">
        <w:rPr>
          <w:rFonts w:hint="eastAsia"/>
          <w:snapToGrid w:val="0"/>
          <w:szCs w:val="21"/>
          <w:lang w:val="fr-CH"/>
        </w:rPr>
        <w:t>1978</w:t>
      </w:r>
      <w:r w:rsidRPr="002347E9">
        <w:rPr>
          <w:rFonts w:hint="eastAsia"/>
          <w:snapToGrid w:val="0"/>
          <w:szCs w:val="21"/>
          <w:lang w:val="fr-CH"/>
        </w:rPr>
        <w:t>年以来一些发展的影响，包括最惠国条款在世贸组织的适用不断扩大，最惠国条款被普遍纳入双边投资条约和区域经济一体化安排中的投资规定，以及解释和适用投资条约中的最惠国规定方面出现的具体困难。</w:t>
      </w:r>
    </w:p>
    <w:p w:rsidR="00F53060" w:rsidRPr="002347E9" w:rsidRDefault="00F53060" w:rsidP="00F53060">
      <w:pPr>
        <w:pStyle w:val="SingleTxt"/>
        <w:rPr>
          <w:snapToGrid w:val="0"/>
          <w:szCs w:val="21"/>
          <w:lang w:val="fr-CH"/>
        </w:rPr>
      </w:pPr>
      <w:r w:rsidRPr="002347E9">
        <w:rPr>
          <w:rFonts w:hint="eastAsia"/>
          <w:snapToGrid w:val="0"/>
          <w:szCs w:val="21"/>
          <w:lang w:val="fr-CH"/>
        </w:rPr>
        <w:t>6</w:t>
      </w:r>
      <w:r>
        <w:rPr>
          <w:rFonts w:hint="eastAsia"/>
          <w:snapToGrid w:val="0"/>
          <w:szCs w:val="21"/>
          <w:lang w:val="fr-CH"/>
        </w:rPr>
        <w:t xml:space="preserve">.  </w:t>
      </w:r>
      <w:r w:rsidRPr="002347E9">
        <w:rPr>
          <w:rFonts w:hint="eastAsia"/>
          <w:snapToGrid w:val="0"/>
          <w:szCs w:val="21"/>
          <w:lang w:val="fr-CH"/>
        </w:rPr>
        <w:t>2009</w:t>
      </w:r>
      <w:r w:rsidRPr="002347E9">
        <w:rPr>
          <w:rFonts w:hint="eastAsia"/>
          <w:snapToGrid w:val="0"/>
          <w:szCs w:val="21"/>
          <w:lang w:val="fr-CH"/>
        </w:rPr>
        <w:t>年至</w:t>
      </w:r>
      <w:r w:rsidRPr="002347E9">
        <w:rPr>
          <w:rFonts w:hint="eastAsia"/>
          <w:snapToGrid w:val="0"/>
          <w:szCs w:val="21"/>
          <w:lang w:val="fr-CH"/>
        </w:rPr>
        <w:t>2015</w:t>
      </w:r>
      <w:r w:rsidRPr="002347E9">
        <w:rPr>
          <w:rFonts w:hint="eastAsia"/>
          <w:snapToGrid w:val="0"/>
          <w:szCs w:val="21"/>
          <w:lang w:val="fr-CH"/>
        </w:rPr>
        <w:t>年，研究组举行了</w:t>
      </w:r>
      <w:r w:rsidRPr="002347E9">
        <w:rPr>
          <w:rFonts w:hint="eastAsia"/>
          <w:snapToGrid w:val="0"/>
          <w:szCs w:val="21"/>
          <w:lang w:val="fr-CH"/>
        </w:rPr>
        <w:t>24</w:t>
      </w:r>
      <w:r w:rsidRPr="002347E9">
        <w:rPr>
          <w:rFonts w:hint="eastAsia"/>
          <w:snapToGrid w:val="0"/>
          <w:szCs w:val="21"/>
          <w:lang w:val="fr-CH"/>
        </w:rPr>
        <w:t>次会议。研究组根据该专题大纲中强调的问题商定了一个框架，作为工作的路线图。</w:t>
      </w:r>
      <w:r w:rsidRPr="00953281">
        <w:rPr>
          <w:snapToGrid w:val="0"/>
          <w:w w:val="150"/>
          <w:vertAlign w:val="superscript"/>
          <w:lang w:val="fr-CH"/>
        </w:rPr>
        <w:footnoteReference w:id="417"/>
      </w:r>
      <w:r w:rsidRPr="002347E9">
        <w:rPr>
          <w:rFonts w:hint="eastAsia"/>
          <w:snapToGrid w:val="0"/>
          <w:szCs w:val="21"/>
          <w:lang w:val="fr-CH"/>
        </w:rPr>
        <w:t xml:space="preserve"> </w:t>
      </w:r>
      <w:r w:rsidRPr="002347E9">
        <w:rPr>
          <w:rFonts w:hint="eastAsia"/>
          <w:snapToGrid w:val="0"/>
          <w:szCs w:val="21"/>
          <w:lang w:val="fr-CH"/>
        </w:rPr>
        <w:t>研究组的工作基于非正式工作文件以及委员会委员为协助研究组的工作编写的其他非正式文件。</w:t>
      </w:r>
      <w:r w:rsidRPr="00953281">
        <w:rPr>
          <w:snapToGrid w:val="0"/>
          <w:w w:val="150"/>
          <w:vertAlign w:val="superscript"/>
          <w:lang w:val="fr-CH"/>
        </w:rPr>
        <w:footnoteReference w:id="418"/>
      </w:r>
    </w:p>
    <w:p w:rsidR="00F53060" w:rsidRPr="002347E9" w:rsidRDefault="00F53060" w:rsidP="00F53060">
      <w:pPr>
        <w:pStyle w:val="SingleTxt"/>
        <w:rPr>
          <w:snapToGrid w:val="0"/>
          <w:szCs w:val="21"/>
          <w:lang w:val="fr-CH"/>
        </w:rPr>
      </w:pPr>
      <w:r w:rsidRPr="002347E9">
        <w:rPr>
          <w:rFonts w:hint="eastAsia"/>
          <w:snapToGrid w:val="0"/>
          <w:szCs w:val="21"/>
          <w:lang w:val="fr-CH"/>
        </w:rPr>
        <w:t>7</w:t>
      </w:r>
      <w:r>
        <w:rPr>
          <w:rFonts w:hint="eastAsia"/>
          <w:snapToGrid w:val="0"/>
          <w:szCs w:val="21"/>
          <w:lang w:val="fr-CH"/>
        </w:rPr>
        <w:t xml:space="preserve">.  </w:t>
      </w:r>
      <w:r w:rsidRPr="002347E9">
        <w:rPr>
          <w:rFonts w:hint="eastAsia"/>
          <w:snapToGrid w:val="0"/>
          <w:szCs w:val="21"/>
          <w:lang w:val="fr-CH"/>
        </w:rPr>
        <w:t>本专题的审议过程中，委员会收到了各国在第六委员会对研究组工作提出的意见。虽然一些国家表示不希望委员会审议该专题，</w:t>
      </w:r>
      <w:r w:rsidRPr="00953281">
        <w:rPr>
          <w:snapToGrid w:val="0"/>
          <w:w w:val="150"/>
          <w:vertAlign w:val="superscript"/>
          <w:lang w:val="fr-CH"/>
        </w:rPr>
        <w:footnoteReference w:id="419"/>
      </w:r>
      <w:r w:rsidRPr="002347E9">
        <w:rPr>
          <w:rFonts w:hint="eastAsia"/>
          <w:snapToGrid w:val="0"/>
          <w:szCs w:val="21"/>
          <w:lang w:val="fr-CH"/>
        </w:rPr>
        <w:t xml:space="preserve"> </w:t>
      </w:r>
      <w:r w:rsidRPr="002347E9">
        <w:rPr>
          <w:rFonts w:hint="eastAsia"/>
          <w:snapToGrid w:val="0"/>
          <w:szCs w:val="21"/>
          <w:lang w:val="fr-CH"/>
        </w:rPr>
        <w:t>但是普遍认为委员会可以在该领域有所作为。委员会必须尊重这一事实，即最惠国条款形式多样，其解释或适用可能未必统一。</w:t>
      </w:r>
      <w:r w:rsidRPr="00953281">
        <w:rPr>
          <w:snapToGrid w:val="0"/>
          <w:w w:val="150"/>
          <w:vertAlign w:val="superscript"/>
          <w:lang w:val="fr-CH"/>
        </w:rPr>
        <w:footnoteReference w:id="420"/>
      </w:r>
      <w:r w:rsidRPr="002347E9">
        <w:rPr>
          <w:rFonts w:hint="eastAsia"/>
          <w:snapToGrid w:val="0"/>
          <w:szCs w:val="21"/>
          <w:lang w:val="fr-CH"/>
        </w:rPr>
        <w:t xml:space="preserve"> </w:t>
      </w:r>
      <w:r w:rsidRPr="002347E9">
        <w:rPr>
          <w:rFonts w:hint="eastAsia"/>
          <w:snapToGrid w:val="0"/>
          <w:szCs w:val="21"/>
          <w:lang w:val="fr-CH"/>
        </w:rPr>
        <w:t>与研究组的总体意向一致，经常听到的意见是委员会不应制定新的条款草案或试图修订</w:t>
      </w:r>
      <w:r w:rsidRPr="002347E9">
        <w:rPr>
          <w:rFonts w:hint="eastAsia"/>
          <w:snapToGrid w:val="0"/>
          <w:szCs w:val="21"/>
          <w:lang w:val="fr-CH"/>
        </w:rPr>
        <w:t>1978</w:t>
      </w:r>
      <w:r w:rsidRPr="002347E9">
        <w:rPr>
          <w:rFonts w:hint="eastAsia"/>
          <w:snapToGrid w:val="0"/>
          <w:szCs w:val="21"/>
          <w:lang w:val="fr-CH"/>
        </w:rPr>
        <w:t>年条款草案。</w:t>
      </w:r>
      <w:r w:rsidRPr="00953281">
        <w:rPr>
          <w:snapToGrid w:val="0"/>
          <w:w w:val="150"/>
          <w:vertAlign w:val="superscript"/>
          <w:lang w:val="fr-CH"/>
        </w:rPr>
        <w:footnoteReference w:id="421"/>
      </w:r>
      <w:r w:rsidRPr="002347E9">
        <w:rPr>
          <w:rFonts w:hint="eastAsia"/>
          <w:snapToGrid w:val="0"/>
          <w:szCs w:val="21"/>
          <w:lang w:val="fr-CH"/>
        </w:rPr>
        <w:t xml:space="preserve"> </w:t>
      </w:r>
      <w:r w:rsidRPr="002347E9">
        <w:rPr>
          <w:rFonts w:hint="eastAsia"/>
          <w:snapToGrid w:val="0"/>
          <w:szCs w:val="21"/>
          <w:lang w:val="fr-CH"/>
        </w:rPr>
        <w:t>总体而言，认为委员会应当确定最惠国条款解释方面的趋势，为条约谈判者、政策制定者及投资领域的从业人员提供指导。</w:t>
      </w:r>
      <w:r w:rsidRPr="00953281">
        <w:rPr>
          <w:snapToGrid w:val="0"/>
          <w:w w:val="150"/>
          <w:vertAlign w:val="superscript"/>
          <w:lang w:val="fr-CH"/>
        </w:rPr>
        <w:footnoteReference w:id="422"/>
      </w:r>
    </w:p>
    <w:p w:rsidR="00F53060" w:rsidRPr="002347E9" w:rsidRDefault="00F53060" w:rsidP="00F53060">
      <w:pPr>
        <w:pStyle w:val="SingleTxt"/>
        <w:rPr>
          <w:snapToGrid w:val="0"/>
          <w:szCs w:val="21"/>
          <w:lang w:val="fr-CH"/>
        </w:rPr>
      </w:pPr>
      <w:r w:rsidRPr="002347E9">
        <w:rPr>
          <w:rFonts w:hint="eastAsia"/>
          <w:snapToGrid w:val="0"/>
          <w:szCs w:val="21"/>
          <w:lang w:val="fr-CH"/>
        </w:rPr>
        <w:lastRenderedPageBreak/>
        <w:t>8</w:t>
      </w:r>
      <w:r>
        <w:rPr>
          <w:rFonts w:hint="eastAsia"/>
          <w:snapToGrid w:val="0"/>
          <w:szCs w:val="21"/>
          <w:lang w:val="fr-CH"/>
        </w:rPr>
        <w:t xml:space="preserve">.  </w:t>
      </w:r>
      <w:r w:rsidRPr="002347E9">
        <w:rPr>
          <w:rFonts w:hint="eastAsia"/>
          <w:snapToGrid w:val="0"/>
          <w:szCs w:val="21"/>
          <w:lang w:val="fr-CH"/>
        </w:rPr>
        <w:t>研究组决定不评论各投资法庭关于将最惠国条款适用于争端解决规定的不同意见。委员会对投资法庭的判决没有决定权，判定某个法庭正确而另一个法庭错误只会在当前的辩论中又再</w:t>
      </w:r>
      <w:r>
        <w:rPr>
          <w:rFonts w:hint="eastAsia"/>
          <w:snapToGrid w:val="0"/>
          <w:szCs w:val="21"/>
          <w:lang w:val="fr-CH"/>
        </w:rPr>
        <w:t>加</w:t>
      </w:r>
      <w:r w:rsidRPr="002347E9">
        <w:rPr>
          <w:rFonts w:hint="eastAsia"/>
          <w:snapToGrid w:val="0"/>
          <w:szCs w:val="21"/>
          <w:lang w:val="fr-CH"/>
        </w:rPr>
        <w:t>上委员会的意见。</w:t>
      </w:r>
    </w:p>
    <w:p w:rsidR="00F53060" w:rsidRPr="002347E9" w:rsidRDefault="00F53060" w:rsidP="00F53060">
      <w:pPr>
        <w:pStyle w:val="SingleTxt"/>
        <w:rPr>
          <w:snapToGrid w:val="0"/>
          <w:szCs w:val="21"/>
          <w:lang w:val="fr-CH"/>
        </w:rPr>
      </w:pPr>
      <w:r w:rsidRPr="002347E9">
        <w:rPr>
          <w:rFonts w:hint="eastAsia"/>
          <w:snapToGrid w:val="0"/>
          <w:szCs w:val="21"/>
          <w:lang w:val="fr-CH"/>
        </w:rPr>
        <w:t>9</w:t>
      </w:r>
      <w:r>
        <w:rPr>
          <w:rFonts w:hint="eastAsia"/>
          <w:snapToGrid w:val="0"/>
          <w:szCs w:val="21"/>
          <w:lang w:val="fr-CH"/>
        </w:rPr>
        <w:t xml:space="preserve">.  </w:t>
      </w:r>
      <w:r w:rsidRPr="002347E9">
        <w:rPr>
          <w:rFonts w:hint="eastAsia"/>
          <w:snapToGrid w:val="0"/>
          <w:szCs w:val="21"/>
          <w:lang w:val="fr-CH"/>
        </w:rPr>
        <w:t>相反，研究组认为，特别是在不确定如何解释最惠国条款的情况下，对委员会</w:t>
      </w:r>
      <w:r w:rsidRPr="002347E9">
        <w:rPr>
          <w:rFonts w:hint="eastAsia"/>
          <w:snapToGrid w:val="0"/>
          <w:szCs w:val="21"/>
          <w:lang w:val="fr-CH"/>
        </w:rPr>
        <w:t>1978</w:t>
      </w:r>
      <w:r w:rsidRPr="002347E9">
        <w:rPr>
          <w:rFonts w:hint="eastAsia"/>
          <w:snapToGrid w:val="0"/>
          <w:szCs w:val="21"/>
          <w:lang w:val="fr-CH"/>
        </w:rPr>
        <w:t>年的方法作出某些解释或阐述将会有用。研究组还认为，阐述如何运用条约解释规则对最惠国条款进行解释将会有用。</w:t>
      </w:r>
    </w:p>
    <w:p w:rsidR="00F53060" w:rsidRPr="00E1712C"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E1712C"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lang w:val="fr-CH"/>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sidRPr="002347E9">
        <w:rPr>
          <w:rFonts w:hint="eastAsia"/>
          <w:snapToGrid w:val="0"/>
          <w:lang w:val="fr-CH"/>
        </w:rPr>
        <w:tab/>
        <w:t>B.</w:t>
      </w:r>
      <w:r w:rsidRPr="002347E9">
        <w:rPr>
          <w:rFonts w:hint="eastAsia"/>
          <w:snapToGrid w:val="0"/>
          <w:lang w:val="fr-CH"/>
        </w:rPr>
        <w:tab/>
        <w:t>1978年条款草案</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2347E9">
        <w:rPr>
          <w:rFonts w:hint="eastAsia"/>
          <w:lang w:val="fr-CH"/>
        </w:rPr>
        <w:tab/>
        <w:t>1.</w:t>
      </w:r>
      <w:r w:rsidRPr="002347E9">
        <w:rPr>
          <w:rFonts w:hint="eastAsia"/>
          <w:lang w:val="fr-CH"/>
        </w:rPr>
        <w:tab/>
        <w:t>起源</w:t>
      </w:r>
    </w:p>
    <w:p w:rsidR="00F53060" w:rsidRPr="00E1712C" w:rsidRDefault="00F53060" w:rsidP="00F53060">
      <w:pPr>
        <w:pStyle w:val="SingleTxt"/>
        <w:spacing w:after="0" w:line="120" w:lineRule="exact"/>
        <w:rPr>
          <w:snapToGrid w:val="0"/>
          <w:sz w:val="10"/>
          <w:szCs w:val="21"/>
          <w:lang w:val="fr-CH"/>
        </w:rPr>
      </w:pPr>
    </w:p>
    <w:p w:rsidR="001F13E8" w:rsidRPr="001F13E8" w:rsidRDefault="001F13E8" w:rsidP="001F13E8">
      <w:pPr>
        <w:pStyle w:val="SingleTxt"/>
        <w:spacing w:after="0" w:line="120" w:lineRule="exact"/>
        <w:rPr>
          <w:snapToGrid w:val="0"/>
          <w:sz w:val="10"/>
          <w:szCs w:val="21"/>
          <w:lang w:val="fr-CH"/>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10.  </w:t>
      </w:r>
      <w:r w:rsidRPr="00953281">
        <w:rPr>
          <w:rFonts w:hint="eastAsia"/>
          <w:snapToGrid w:val="0"/>
          <w:spacing w:val="4"/>
          <w:szCs w:val="21"/>
          <w:lang w:val="fr-CH"/>
        </w:rPr>
        <w:t>委员会</w:t>
      </w:r>
      <w:r w:rsidRPr="00953281">
        <w:rPr>
          <w:rFonts w:hint="eastAsia"/>
          <w:snapToGrid w:val="0"/>
          <w:spacing w:val="4"/>
          <w:szCs w:val="21"/>
          <w:lang w:val="fr-CH"/>
        </w:rPr>
        <w:t>1964</w:t>
      </w:r>
      <w:r w:rsidRPr="00953281">
        <w:rPr>
          <w:rFonts w:hint="eastAsia"/>
          <w:snapToGrid w:val="0"/>
          <w:spacing w:val="4"/>
          <w:szCs w:val="21"/>
          <w:lang w:val="fr-CH"/>
        </w:rPr>
        <w:t>年第一次提出最惠国专题时，当时正在讨论“条约和第三国”问</w:t>
      </w:r>
      <w:r w:rsidRPr="00953281">
        <w:rPr>
          <w:rFonts w:hint="eastAsia"/>
          <w:snapToGrid w:val="0"/>
          <w:spacing w:val="6"/>
          <w:szCs w:val="21"/>
          <w:lang w:val="fr-CH"/>
        </w:rPr>
        <w:t>题。</w:t>
      </w:r>
      <w:r w:rsidRPr="00953281">
        <w:rPr>
          <w:snapToGrid w:val="0"/>
          <w:spacing w:val="6"/>
          <w:w w:val="150"/>
          <w:vertAlign w:val="superscript"/>
          <w:lang w:val="fr-CH"/>
        </w:rPr>
        <w:footnoteReference w:id="423"/>
      </w:r>
      <w:r w:rsidRPr="00953281">
        <w:rPr>
          <w:rFonts w:hint="eastAsia"/>
          <w:snapToGrid w:val="0"/>
          <w:spacing w:val="6"/>
          <w:szCs w:val="21"/>
          <w:lang w:val="fr-CH"/>
        </w:rPr>
        <w:t xml:space="preserve"> </w:t>
      </w:r>
      <w:r w:rsidRPr="00953281">
        <w:rPr>
          <w:rFonts w:hint="eastAsia"/>
          <w:snapToGrid w:val="0"/>
          <w:szCs w:val="21"/>
          <w:lang w:val="fr-CH"/>
        </w:rPr>
        <w:t>委员会</w:t>
      </w:r>
      <w:r w:rsidRPr="00953281">
        <w:rPr>
          <w:rFonts w:hint="eastAsia"/>
          <w:snapToGrid w:val="0"/>
          <w:szCs w:val="21"/>
          <w:lang w:val="fr-CH"/>
        </w:rPr>
        <w:t>1967</w:t>
      </w:r>
      <w:r w:rsidRPr="00953281">
        <w:rPr>
          <w:rFonts w:hint="eastAsia"/>
          <w:snapToGrid w:val="0"/>
          <w:szCs w:val="21"/>
          <w:lang w:val="fr-CH"/>
        </w:rPr>
        <w:t>年决定将这一专题列入工作方案时，专题名为“条约法中的最惠国条款”。</w:t>
      </w:r>
      <w:r w:rsidRPr="00953281">
        <w:rPr>
          <w:snapToGrid w:val="0"/>
          <w:w w:val="150"/>
          <w:vertAlign w:val="superscript"/>
          <w:lang w:val="fr-CH"/>
        </w:rPr>
        <w:footnoteReference w:id="424"/>
      </w:r>
      <w:r w:rsidRPr="002347E9">
        <w:rPr>
          <w:rFonts w:hint="eastAsia"/>
          <w:snapToGrid w:val="0"/>
          <w:szCs w:val="21"/>
          <w:lang w:val="fr-CH"/>
        </w:rPr>
        <w:t xml:space="preserve"> </w:t>
      </w:r>
      <w:r w:rsidRPr="002347E9">
        <w:rPr>
          <w:rFonts w:hint="eastAsia"/>
          <w:snapToGrid w:val="0"/>
          <w:szCs w:val="21"/>
          <w:lang w:val="fr-CH"/>
        </w:rPr>
        <w:t>因此，当时是一个关于条约法的专题。</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11.  </w:t>
      </w:r>
      <w:r w:rsidRPr="002347E9">
        <w:rPr>
          <w:rFonts w:hint="eastAsia"/>
          <w:snapToGrid w:val="0"/>
          <w:szCs w:val="21"/>
          <w:lang w:val="fr-CH"/>
        </w:rPr>
        <w:t>历史上，双边友好、通商和航海条约载有最惠国条款，主要功能是规范缔约方之间的各项事项，通常是商业性质的事项。</w:t>
      </w:r>
      <w:r w:rsidRPr="00953281">
        <w:rPr>
          <w:snapToGrid w:val="0"/>
          <w:w w:val="150"/>
          <w:vertAlign w:val="superscript"/>
          <w:lang w:val="fr-CH"/>
        </w:rPr>
        <w:footnoteReference w:id="425"/>
      </w:r>
      <w:r w:rsidRPr="002347E9">
        <w:rPr>
          <w:rFonts w:hint="eastAsia"/>
          <w:snapToGrid w:val="0"/>
          <w:szCs w:val="21"/>
          <w:lang w:val="fr-CH"/>
        </w:rPr>
        <w:t xml:space="preserve"> </w:t>
      </w:r>
      <w:r w:rsidRPr="002347E9">
        <w:rPr>
          <w:rFonts w:hint="eastAsia"/>
          <w:snapToGrid w:val="0"/>
          <w:szCs w:val="21"/>
          <w:lang w:val="fr-CH"/>
        </w:rPr>
        <w:t>虽然</w:t>
      </w:r>
      <w:r w:rsidRPr="002347E9">
        <w:rPr>
          <w:rFonts w:hint="eastAsia"/>
          <w:snapToGrid w:val="0"/>
          <w:szCs w:val="21"/>
          <w:lang w:val="fr-CH"/>
        </w:rPr>
        <w:t>1978</w:t>
      </w:r>
      <w:r w:rsidRPr="002347E9">
        <w:rPr>
          <w:rFonts w:hint="eastAsia"/>
          <w:snapToGrid w:val="0"/>
          <w:szCs w:val="21"/>
          <w:lang w:val="fr-CH"/>
        </w:rPr>
        <w:t>年条款草案的特别报告员广泛探讨了国内法院、条约和国际法庭的判决如何适用最惠国条款，但是</w:t>
      </w:r>
      <w:r w:rsidRPr="002347E9">
        <w:rPr>
          <w:rFonts w:hint="eastAsia"/>
          <w:snapToGrid w:val="0"/>
          <w:szCs w:val="21"/>
          <w:lang w:val="fr-CH"/>
        </w:rPr>
        <w:t>1978</w:t>
      </w:r>
      <w:r w:rsidRPr="002347E9">
        <w:rPr>
          <w:rFonts w:hint="eastAsia"/>
          <w:snapToGrid w:val="0"/>
          <w:szCs w:val="21"/>
          <w:lang w:val="fr-CH"/>
        </w:rPr>
        <w:t>年条款草案总体上还是侧重最惠国条款在双边贸易条约中的传统功能。</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12.  </w:t>
      </w:r>
      <w:r w:rsidRPr="002347E9">
        <w:rPr>
          <w:rFonts w:hint="eastAsia"/>
          <w:snapToGrid w:val="0"/>
          <w:szCs w:val="21"/>
          <w:lang w:val="fr-CH"/>
        </w:rPr>
        <w:t>因此，虽然现在通常认为最惠国条款的核心功能是自动、无条件地将好处扩大，但是</w:t>
      </w:r>
      <w:r w:rsidRPr="002347E9">
        <w:rPr>
          <w:rFonts w:hint="eastAsia"/>
          <w:snapToGrid w:val="0"/>
          <w:szCs w:val="21"/>
          <w:lang w:val="fr-CH"/>
        </w:rPr>
        <w:t>1978</w:t>
      </w:r>
      <w:r w:rsidRPr="002347E9">
        <w:rPr>
          <w:rFonts w:hint="eastAsia"/>
          <w:snapToGrid w:val="0"/>
          <w:szCs w:val="21"/>
          <w:lang w:val="fr-CH"/>
        </w:rPr>
        <w:t>年条款草案中载有很长的关于“补偿条件”和“互惠待遇条件”的详细条款，这或许反映了对那些不赞成完全自动执行最惠国条款的国营贸易国状况的某种重视。此外，关于如何处理关税同盟以及对发展中国家的优惠等问题也出现了争议。</w:t>
      </w:r>
    </w:p>
    <w:p w:rsidR="00F53060" w:rsidRPr="00E1712C" w:rsidRDefault="00F53060" w:rsidP="00F53060">
      <w:pPr>
        <w:pStyle w:val="SingleTxt"/>
        <w:spacing w:after="0" w:line="120" w:lineRule="exact"/>
        <w:rPr>
          <w:snapToGrid w:val="0"/>
          <w:sz w:val="10"/>
          <w:szCs w:val="21"/>
          <w:lang w:val="fr-CH"/>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2347E9">
        <w:rPr>
          <w:rFonts w:hint="eastAsia"/>
          <w:lang w:val="fr-CH"/>
        </w:rPr>
        <w:tab/>
        <w:t>2.</w:t>
      </w:r>
      <w:r w:rsidRPr="002347E9">
        <w:rPr>
          <w:rFonts w:hint="eastAsia"/>
          <w:lang w:val="fr-CH"/>
        </w:rPr>
        <w:tab/>
        <w:t>核心规定</w:t>
      </w:r>
    </w:p>
    <w:p w:rsidR="00F53060" w:rsidRPr="00E1712C" w:rsidRDefault="00F53060" w:rsidP="00F53060">
      <w:pPr>
        <w:pStyle w:val="SingleTxt"/>
        <w:spacing w:after="0" w:line="120" w:lineRule="exact"/>
        <w:rPr>
          <w:snapToGrid w:val="0"/>
          <w:sz w:val="10"/>
          <w:szCs w:val="21"/>
          <w:lang w:val="fr-CH"/>
        </w:rPr>
      </w:pPr>
    </w:p>
    <w:p w:rsidR="001F13E8" w:rsidRPr="001F13E8" w:rsidRDefault="001F13E8" w:rsidP="001F13E8">
      <w:pPr>
        <w:pStyle w:val="SingleTxt"/>
        <w:spacing w:after="0" w:line="120" w:lineRule="exact"/>
        <w:rPr>
          <w:snapToGrid w:val="0"/>
          <w:sz w:val="10"/>
          <w:szCs w:val="21"/>
          <w:lang w:val="fr-CH"/>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13.  </w:t>
      </w:r>
      <w:r w:rsidRPr="002347E9">
        <w:rPr>
          <w:rFonts w:hint="eastAsia"/>
          <w:snapToGrid w:val="0"/>
          <w:szCs w:val="21"/>
          <w:lang w:val="fr-CH"/>
        </w:rPr>
        <w:t>虽然</w:t>
      </w:r>
      <w:r w:rsidRPr="002347E9">
        <w:rPr>
          <w:rFonts w:hint="eastAsia"/>
          <w:snapToGrid w:val="0"/>
          <w:szCs w:val="21"/>
          <w:lang w:val="fr-CH"/>
        </w:rPr>
        <w:t>1978</w:t>
      </w:r>
      <w:r w:rsidRPr="002347E9">
        <w:rPr>
          <w:rFonts w:hint="eastAsia"/>
          <w:snapToGrid w:val="0"/>
          <w:szCs w:val="21"/>
          <w:lang w:val="fr-CH"/>
        </w:rPr>
        <w:t>年条款草案涉及一系列问题，其中一些似乎被后来的发展所取代，但是它们列出了最惠国条款的核心内容，为其适用提供了指导，这对最惠国条款在当今社会中的运用至关重要。最惠国条款定义如下：</w:t>
      </w:r>
    </w:p>
    <w:p w:rsidR="00F53060" w:rsidRPr="002347E9" w:rsidRDefault="00F53060" w:rsidP="00F53060">
      <w:pPr>
        <w:pStyle w:val="SingleTxt"/>
        <w:ind w:left="1695"/>
        <w:rPr>
          <w:snapToGrid w:val="0"/>
          <w:szCs w:val="21"/>
          <w:lang w:val="fr-CH"/>
        </w:rPr>
      </w:pPr>
      <w:r w:rsidRPr="002347E9">
        <w:rPr>
          <w:rFonts w:hint="eastAsia"/>
          <w:snapToGrid w:val="0"/>
          <w:szCs w:val="21"/>
        </w:rPr>
        <w:tab/>
      </w:r>
      <w:r w:rsidRPr="002347E9">
        <w:rPr>
          <w:rFonts w:hint="eastAsia"/>
          <w:snapToGrid w:val="0"/>
          <w:szCs w:val="21"/>
        </w:rPr>
        <w:t>“授与国给予受惠国或与之有确定关系的人或事的待遇不低于授与国给予第三国或与之有同于上述关系的人或事的待遇。”</w:t>
      </w:r>
      <w:r w:rsidRPr="00953281">
        <w:rPr>
          <w:snapToGrid w:val="0"/>
          <w:w w:val="150"/>
          <w:vertAlign w:val="superscript"/>
          <w:lang w:val="fr-CH"/>
        </w:rPr>
        <w:footnoteReference w:id="426"/>
      </w:r>
    </w:p>
    <w:p w:rsidR="00F53060" w:rsidRPr="002347E9" w:rsidRDefault="00F53060" w:rsidP="00F53060">
      <w:pPr>
        <w:pStyle w:val="SingleTxt"/>
        <w:rPr>
          <w:snapToGrid w:val="0"/>
          <w:szCs w:val="21"/>
          <w:lang w:val="fr-CH"/>
        </w:rPr>
      </w:pPr>
      <w:r w:rsidRPr="002347E9">
        <w:rPr>
          <w:rFonts w:hint="eastAsia"/>
          <w:snapToGrid w:val="0"/>
          <w:szCs w:val="21"/>
          <w:lang w:val="fr-CH"/>
        </w:rPr>
        <w:lastRenderedPageBreak/>
        <w:tab/>
      </w:r>
      <w:r w:rsidRPr="002347E9">
        <w:rPr>
          <w:rFonts w:hint="eastAsia"/>
          <w:snapToGrid w:val="0"/>
          <w:szCs w:val="21"/>
          <w:lang w:val="fr-CH"/>
        </w:rPr>
        <w:t>虽然这一定义被批评为含糊不清，</w:t>
      </w:r>
      <w:r w:rsidRPr="00953281">
        <w:rPr>
          <w:snapToGrid w:val="0"/>
          <w:w w:val="150"/>
          <w:vertAlign w:val="superscript"/>
          <w:lang w:val="fr-CH"/>
        </w:rPr>
        <w:footnoteReference w:id="427"/>
      </w:r>
      <w:r w:rsidRPr="002347E9">
        <w:rPr>
          <w:rFonts w:hint="eastAsia"/>
          <w:snapToGrid w:val="0"/>
          <w:szCs w:val="21"/>
          <w:lang w:val="fr-CH"/>
        </w:rPr>
        <w:t xml:space="preserve"> </w:t>
      </w:r>
      <w:r w:rsidRPr="002347E9">
        <w:rPr>
          <w:rFonts w:hint="eastAsia"/>
          <w:snapToGrid w:val="0"/>
          <w:szCs w:val="21"/>
          <w:lang w:val="fr-CH"/>
        </w:rPr>
        <w:t>但是的确包含了最惠国条款的关键内容，而后面的条款草案也对定义进行了阐述。</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14.  </w:t>
      </w:r>
      <w:r w:rsidRPr="002347E9">
        <w:rPr>
          <w:rFonts w:hint="eastAsia"/>
          <w:snapToGrid w:val="0"/>
          <w:szCs w:val="21"/>
          <w:lang w:val="fr-CH"/>
        </w:rPr>
        <w:t>特别是，条款草案明确表示，最惠国待遇不是条约对第三国效果的一般规则的例外。</w:t>
      </w:r>
      <w:r w:rsidRPr="00953281">
        <w:rPr>
          <w:snapToGrid w:val="0"/>
          <w:w w:val="150"/>
          <w:vertAlign w:val="superscript"/>
          <w:lang w:val="fr-CH"/>
        </w:rPr>
        <w:footnoteReference w:id="428"/>
      </w:r>
      <w:r w:rsidRPr="002347E9">
        <w:rPr>
          <w:rFonts w:hint="eastAsia"/>
          <w:snapToGrid w:val="0"/>
          <w:szCs w:val="21"/>
          <w:lang w:val="fr-CH"/>
        </w:rPr>
        <w:t xml:space="preserve"> </w:t>
      </w:r>
      <w:r w:rsidRPr="002347E9">
        <w:rPr>
          <w:rFonts w:hint="eastAsia"/>
          <w:snapToGrid w:val="0"/>
          <w:szCs w:val="21"/>
          <w:lang w:val="fr-CH"/>
        </w:rPr>
        <w:t>最惠国待遇权的前提是：载有最惠国条款的条约是确立授与国与受惠国司法联系的基础条约。换言之，受惠国享有最惠国待遇的权利只能来源于授与国与受惠国条约中的最惠国条款，而不能来源于授与国与第三国之间的条约。因此，不存在第三者权利。在这方面，委员会实际上是落实了国际法院对</w:t>
      </w:r>
      <w:r w:rsidRPr="002347E9">
        <w:rPr>
          <w:rFonts w:eastAsia="楷体" w:hint="eastAsia"/>
          <w:snapToGrid w:val="0"/>
          <w:szCs w:val="21"/>
          <w:lang w:val="fr-CH"/>
        </w:rPr>
        <w:t>英国－伊朗石油公司案</w:t>
      </w:r>
      <w:r w:rsidRPr="002347E9">
        <w:rPr>
          <w:rFonts w:hint="eastAsia"/>
          <w:snapToGrid w:val="0"/>
          <w:szCs w:val="21"/>
          <w:lang w:val="fr-CH"/>
        </w:rPr>
        <w:t>的判决。</w:t>
      </w:r>
      <w:r w:rsidRPr="00953281">
        <w:rPr>
          <w:snapToGrid w:val="0"/>
          <w:w w:val="150"/>
          <w:vertAlign w:val="superscript"/>
          <w:lang w:val="fr-CH"/>
        </w:rPr>
        <w:footnoteReference w:id="429"/>
      </w:r>
      <w:r w:rsidRPr="002347E9">
        <w:rPr>
          <w:rFonts w:hint="eastAsia"/>
          <w:snapToGrid w:val="0"/>
          <w:szCs w:val="21"/>
          <w:lang w:val="fr-CH"/>
        </w:rPr>
        <w:t xml:space="preserve"> </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15.  </w:t>
      </w:r>
      <w:r w:rsidRPr="002347E9">
        <w:rPr>
          <w:rFonts w:hint="eastAsia"/>
          <w:snapToGrid w:val="0"/>
          <w:szCs w:val="21"/>
          <w:lang w:val="fr-CH"/>
        </w:rPr>
        <w:t>条款草案还郑重声明适用最惠国条款时遵循</w:t>
      </w:r>
      <w:r w:rsidRPr="002347E9">
        <w:rPr>
          <w:rFonts w:eastAsia="楷体" w:hint="eastAsia"/>
          <w:snapToGrid w:val="0"/>
          <w:szCs w:val="21"/>
          <w:lang w:val="fr-CH"/>
        </w:rPr>
        <w:t>同类</w:t>
      </w:r>
      <w:r w:rsidRPr="002347E9">
        <w:rPr>
          <w:rFonts w:hint="eastAsia"/>
          <w:snapToGrid w:val="0"/>
          <w:szCs w:val="21"/>
          <w:lang w:val="fr-CH"/>
        </w:rPr>
        <w:t>原则。在这方面，委员会广泛援引《关贸总协定》关于“同类产品”概念的实践和判例。委员会对同类原则的处理分为两部分。首先，第九条第</w:t>
      </w:r>
      <w:r w:rsidRPr="002347E9">
        <w:rPr>
          <w:rFonts w:hint="eastAsia"/>
          <w:snapToGrid w:val="0"/>
          <w:szCs w:val="21"/>
          <w:lang w:val="fr-CH"/>
        </w:rPr>
        <w:t>1</w:t>
      </w:r>
      <w:r w:rsidRPr="002347E9">
        <w:rPr>
          <w:rFonts w:hint="eastAsia"/>
          <w:snapToGrid w:val="0"/>
          <w:szCs w:val="21"/>
          <w:lang w:val="fr-CH"/>
        </w:rPr>
        <w:t>款规定：</w:t>
      </w:r>
    </w:p>
    <w:p w:rsidR="00F53060" w:rsidRPr="002347E9" w:rsidRDefault="00F53060" w:rsidP="00F53060">
      <w:pPr>
        <w:pStyle w:val="SingleTxt"/>
        <w:ind w:left="1695"/>
        <w:rPr>
          <w:snapToGrid w:val="0"/>
          <w:lang w:val="fr-CH"/>
        </w:rPr>
      </w:pPr>
      <w:r w:rsidRPr="002347E9">
        <w:rPr>
          <w:rFonts w:hint="eastAsia"/>
          <w:snapToGrid w:val="0"/>
          <w:szCs w:val="21"/>
        </w:rPr>
        <w:tab/>
      </w:r>
      <w:r w:rsidRPr="002347E9">
        <w:rPr>
          <w:rFonts w:hint="eastAsia"/>
          <w:snapToGrid w:val="0"/>
          <w:szCs w:val="21"/>
        </w:rPr>
        <w:t>“根据最惠国条款，受惠国为了自身或为了与之有确定关系的人或事的利益，仅获得该条款的主题范围之内的权利。”</w:t>
      </w:r>
    </w:p>
    <w:p w:rsidR="00F53060" w:rsidRPr="002347E9" w:rsidRDefault="00F53060" w:rsidP="00F53060">
      <w:pPr>
        <w:pStyle w:val="SingleTxt"/>
        <w:rPr>
          <w:snapToGrid w:val="0"/>
          <w:szCs w:val="21"/>
          <w:lang w:val="fr-CH"/>
        </w:rPr>
      </w:pPr>
      <w:r w:rsidRPr="002347E9">
        <w:rPr>
          <w:snapToGrid w:val="0"/>
          <w:szCs w:val="21"/>
          <w:lang w:val="fr-CH"/>
        </w:rPr>
        <w:tab/>
      </w:r>
      <w:r w:rsidRPr="002347E9">
        <w:rPr>
          <w:rFonts w:hint="eastAsia"/>
          <w:snapToGrid w:val="0"/>
          <w:szCs w:val="21"/>
          <w:lang w:val="fr-CH"/>
        </w:rPr>
        <w:t>第二，第十条第</w:t>
      </w:r>
      <w:r w:rsidRPr="002347E9">
        <w:rPr>
          <w:rFonts w:hint="eastAsia"/>
          <w:snapToGrid w:val="0"/>
          <w:szCs w:val="21"/>
          <w:lang w:val="fr-CH"/>
        </w:rPr>
        <w:t>1</w:t>
      </w:r>
      <w:r w:rsidRPr="002347E9">
        <w:rPr>
          <w:rFonts w:hint="eastAsia"/>
          <w:snapToGrid w:val="0"/>
          <w:szCs w:val="21"/>
          <w:lang w:val="fr-CH"/>
        </w:rPr>
        <w:t>款规定：</w:t>
      </w:r>
    </w:p>
    <w:p w:rsidR="00F53060" w:rsidRPr="002347E9" w:rsidRDefault="00F53060" w:rsidP="00F53060">
      <w:pPr>
        <w:pStyle w:val="SingleTxt"/>
        <w:ind w:left="1695"/>
        <w:rPr>
          <w:snapToGrid w:val="0"/>
          <w:lang w:val="fr-CH"/>
        </w:rPr>
      </w:pPr>
      <w:r w:rsidRPr="002347E9">
        <w:rPr>
          <w:rFonts w:hint="eastAsia"/>
          <w:snapToGrid w:val="0"/>
          <w:szCs w:val="21"/>
        </w:rPr>
        <w:tab/>
      </w:r>
      <w:r w:rsidRPr="002347E9">
        <w:rPr>
          <w:rFonts w:hint="eastAsia"/>
          <w:snapToGrid w:val="0"/>
          <w:szCs w:val="21"/>
        </w:rPr>
        <w:t>“根据最惠国条款，受惠国只有在授与国给第三国以该条款主题范围之内的待遇的情况下，取得最惠国待遇的权利。”</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16.  </w:t>
      </w:r>
      <w:r w:rsidRPr="002347E9">
        <w:rPr>
          <w:rFonts w:hint="eastAsia"/>
          <w:snapToGrid w:val="0"/>
          <w:szCs w:val="21"/>
          <w:lang w:val="fr-CH"/>
        </w:rPr>
        <w:t>第九和第十条还明确规定，与受惠国有确定关系的人或事可以得到好处的前提是，他们必须和与第三国有确定关系的人或事属于同样类型，他们与受益国的关系也必须和与第三国有确定关系的人或事与第三国的关系相同。</w:t>
      </w:r>
      <w:r w:rsidRPr="00953281">
        <w:rPr>
          <w:snapToGrid w:val="0"/>
          <w:w w:val="150"/>
          <w:vertAlign w:val="superscript"/>
          <w:lang w:val="fr-CH"/>
        </w:rPr>
        <w:footnoteReference w:id="430"/>
      </w:r>
    </w:p>
    <w:p w:rsidR="00F53060" w:rsidRPr="002347E9" w:rsidRDefault="00F53060" w:rsidP="00F53060">
      <w:pPr>
        <w:pStyle w:val="SingleTxt"/>
        <w:rPr>
          <w:snapToGrid w:val="0"/>
          <w:szCs w:val="21"/>
          <w:lang w:val="fr-CH"/>
        </w:rPr>
      </w:pPr>
      <w:r w:rsidRPr="002347E9">
        <w:rPr>
          <w:rFonts w:hint="eastAsia"/>
          <w:snapToGrid w:val="0"/>
          <w:szCs w:val="21"/>
          <w:lang w:val="fr-CH"/>
        </w:rPr>
        <w:t>17.  1978</w:t>
      </w:r>
      <w:r w:rsidRPr="002347E9">
        <w:rPr>
          <w:rFonts w:hint="eastAsia"/>
          <w:snapToGrid w:val="0"/>
          <w:szCs w:val="21"/>
          <w:lang w:val="fr-CH"/>
        </w:rPr>
        <w:t>年条款草案还涉及以得到补偿或提供互惠待遇为条件的最惠国条款的运用。此外，条款草案中还有关于最惠国待遇与发展中国家、边境贸易及内陆国家的具体规定。</w:t>
      </w:r>
    </w:p>
    <w:p w:rsidR="00F53060" w:rsidRPr="00953281" w:rsidRDefault="00F53060" w:rsidP="00F53060">
      <w:pPr>
        <w:pStyle w:val="SingleTxt"/>
        <w:rPr>
          <w:snapToGrid w:val="0"/>
          <w:szCs w:val="21"/>
          <w:lang w:val="en-CA"/>
        </w:rPr>
      </w:pPr>
      <w:r w:rsidRPr="002347E9">
        <w:rPr>
          <w:rFonts w:hint="eastAsia"/>
          <w:snapToGrid w:val="0"/>
          <w:szCs w:val="21"/>
          <w:lang w:val="fr-CH"/>
        </w:rPr>
        <w:t xml:space="preserve">18.  </w:t>
      </w:r>
      <w:r w:rsidRPr="00953281">
        <w:rPr>
          <w:rFonts w:hint="eastAsia"/>
          <w:snapToGrid w:val="0"/>
          <w:szCs w:val="21"/>
          <w:lang w:val="fr-CH"/>
        </w:rPr>
        <w:t>与发展中国家有关的规定最终成为委员会工作停留在条款草案阶段的一个原因。这些规定或是被认为不为习惯国际法所接受，</w:t>
      </w:r>
      <w:r w:rsidRPr="00953281">
        <w:rPr>
          <w:snapToGrid w:val="0"/>
          <w:w w:val="150"/>
          <w:vertAlign w:val="superscript"/>
          <w:lang w:val="fr-CH"/>
        </w:rPr>
        <w:footnoteReference w:id="431"/>
      </w:r>
      <w:r w:rsidRPr="00953281">
        <w:rPr>
          <w:rFonts w:hint="eastAsia"/>
          <w:snapToGrid w:val="0"/>
          <w:szCs w:val="21"/>
          <w:lang w:val="fr-CH"/>
        </w:rPr>
        <w:t xml:space="preserve"> </w:t>
      </w:r>
      <w:r w:rsidRPr="00953281">
        <w:rPr>
          <w:rFonts w:hint="eastAsia"/>
          <w:snapToGrid w:val="0"/>
          <w:szCs w:val="21"/>
          <w:lang w:val="fr-CH"/>
        </w:rPr>
        <w:t>或是被认为没有反映其他地方的发展，尤其是关贸总协定下的发展。</w:t>
      </w:r>
      <w:r w:rsidRPr="00953281">
        <w:rPr>
          <w:snapToGrid w:val="0"/>
          <w:w w:val="150"/>
          <w:vertAlign w:val="superscript"/>
          <w:lang w:val="fr-CH"/>
        </w:rPr>
        <w:footnoteReference w:id="432"/>
      </w:r>
      <w:r w:rsidRPr="00953281">
        <w:rPr>
          <w:rFonts w:hint="eastAsia"/>
          <w:snapToGrid w:val="0"/>
          <w:szCs w:val="21"/>
          <w:lang w:val="fr-CH"/>
        </w:rPr>
        <w:t xml:space="preserve"> </w:t>
      </w:r>
      <w:r w:rsidRPr="00953281">
        <w:rPr>
          <w:rFonts w:hint="eastAsia"/>
          <w:snapToGrid w:val="0"/>
          <w:szCs w:val="21"/>
          <w:lang w:val="fr-CH"/>
        </w:rPr>
        <w:t>一些国家认为</w:t>
      </w:r>
      <w:r w:rsidRPr="00953281">
        <w:rPr>
          <w:rFonts w:hint="eastAsia"/>
          <w:snapToGrid w:val="0"/>
          <w:szCs w:val="21"/>
          <w:lang w:val="en-CA"/>
        </w:rPr>
        <w:t>条款草案没有充分保护</w:t>
      </w:r>
      <w:r w:rsidRPr="00953281">
        <w:rPr>
          <w:rFonts w:hint="eastAsia"/>
          <w:snapToGrid w:val="0"/>
          <w:szCs w:val="21"/>
          <w:lang w:val="en-CA"/>
        </w:rPr>
        <w:lastRenderedPageBreak/>
        <w:t>发展中国家的利益。</w:t>
      </w:r>
      <w:r w:rsidRPr="00953281">
        <w:rPr>
          <w:snapToGrid w:val="0"/>
          <w:w w:val="150"/>
          <w:vertAlign w:val="superscript"/>
          <w:lang w:val="en-CA"/>
        </w:rPr>
        <w:footnoteReference w:id="433"/>
      </w:r>
      <w:r w:rsidRPr="00953281">
        <w:rPr>
          <w:rFonts w:hint="eastAsia"/>
          <w:snapToGrid w:val="0"/>
          <w:szCs w:val="21"/>
          <w:lang w:val="en-CA"/>
        </w:rPr>
        <w:t xml:space="preserve"> </w:t>
      </w:r>
      <w:r w:rsidRPr="00953281">
        <w:rPr>
          <w:rFonts w:hint="eastAsia"/>
          <w:snapToGrid w:val="0"/>
          <w:szCs w:val="21"/>
          <w:lang w:val="en-CA"/>
        </w:rPr>
        <w:t>还有一些国家认为，关于发展中国家间安排的第</w:t>
      </w:r>
      <w:r w:rsidRPr="00953281">
        <w:rPr>
          <w:rFonts w:hint="eastAsia"/>
          <w:snapToGrid w:val="0"/>
          <w:szCs w:val="21"/>
          <w:lang w:val="en-CA"/>
        </w:rPr>
        <w:t>24</w:t>
      </w:r>
      <w:r w:rsidRPr="00953281">
        <w:rPr>
          <w:rFonts w:hint="eastAsia"/>
          <w:snapToGrid w:val="0"/>
          <w:szCs w:val="21"/>
          <w:lang w:val="en-CA"/>
        </w:rPr>
        <w:t>条草案限制过多，</w:t>
      </w:r>
      <w:r w:rsidRPr="00953281">
        <w:rPr>
          <w:snapToGrid w:val="0"/>
          <w:w w:val="150"/>
          <w:vertAlign w:val="superscript"/>
          <w:lang w:val="en-CA"/>
        </w:rPr>
        <w:footnoteReference w:id="434"/>
      </w:r>
      <w:r w:rsidRPr="00953281">
        <w:rPr>
          <w:rFonts w:hint="eastAsia"/>
          <w:snapToGrid w:val="0"/>
          <w:szCs w:val="21"/>
          <w:lang w:val="en-CA"/>
        </w:rPr>
        <w:t xml:space="preserve"> </w:t>
      </w:r>
      <w:r w:rsidRPr="00953281">
        <w:rPr>
          <w:rFonts w:hint="eastAsia"/>
          <w:snapToGrid w:val="0"/>
          <w:szCs w:val="21"/>
          <w:lang w:val="en-CA"/>
        </w:rPr>
        <w:t>或需要进一步说明。</w:t>
      </w:r>
      <w:r w:rsidRPr="00953281">
        <w:rPr>
          <w:snapToGrid w:val="0"/>
          <w:w w:val="150"/>
          <w:vertAlign w:val="superscript"/>
          <w:lang w:val="en-CA"/>
        </w:rPr>
        <w:footnoteReference w:id="435"/>
      </w:r>
      <w:r w:rsidRPr="00953281">
        <w:rPr>
          <w:rFonts w:hint="eastAsia"/>
          <w:snapToGrid w:val="0"/>
          <w:szCs w:val="21"/>
          <w:lang w:val="en-CA"/>
        </w:rPr>
        <w:t xml:space="preserve"> </w:t>
      </w:r>
      <w:r w:rsidRPr="00953281">
        <w:rPr>
          <w:rFonts w:hint="eastAsia"/>
          <w:snapToGrid w:val="0"/>
          <w:szCs w:val="21"/>
          <w:lang w:val="en-CA"/>
        </w:rPr>
        <w:t>同样，条款草案没有考虑双边协议下最惠国待遇与多边协议下最惠国待遇之间关系的复杂性，也引起了对条款草案的不满。</w:t>
      </w:r>
      <w:r w:rsidRPr="00953281">
        <w:rPr>
          <w:snapToGrid w:val="0"/>
          <w:w w:val="150"/>
          <w:vertAlign w:val="superscript"/>
          <w:lang w:val="en-CA"/>
        </w:rPr>
        <w:footnoteReference w:id="436"/>
      </w:r>
      <w:r w:rsidRPr="00953281">
        <w:rPr>
          <w:rFonts w:hint="eastAsia"/>
          <w:snapToGrid w:val="0"/>
          <w:szCs w:val="21"/>
          <w:lang w:val="en-CA"/>
        </w:rPr>
        <w:t xml:space="preserve"> </w:t>
      </w:r>
      <w:r w:rsidRPr="00953281">
        <w:rPr>
          <w:rFonts w:hint="eastAsia"/>
          <w:snapToGrid w:val="0"/>
          <w:szCs w:val="21"/>
          <w:lang w:val="en-CA"/>
        </w:rPr>
        <w:t>特别是，许多国家不愿意在没有特别规定将关税同盟排除在外的情况下，将条款草案发展为具有约束力的公约。</w:t>
      </w:r>
      <w:r w:rsidRPr="00953281">
        <w:rPr>
          <w:snapToGrid w:val="0"/>
          <w:w w:val="150"/>
          <w:vertAlign w:val="superscript"/>
          <w:lang w:val="en-CA"/>
        </w:rPr>
        <w:footnoteReference w:id="437"/>
      </w:r>
      <w:r w:rsidRPr="00953281">
        <w:rPr>
          <w:rFonts w:hint="eastAsia"/>
          <w:snapToGrid w:val="0"/>
          <w:szCs w:val="21"/>
          <w:lang w:val="en-CA"/>
        </w:rPr>
        <w:t xml:space="preserve"> </w:t>
      </w:r>
      <w:r w:rsidRPr="00953281">
        <w:rPr>
          <w:rFonts w:hint="eastAsia"/>
          <w:snapToGrid w:val="0"/>
          <w:szCs w:val="21"/>
          <w:lang w:val="en-CA"/>
        </w:rPr>
        <w:t>一些国家表示，担心条款草案将阻止国家“启动任何区域一体化进程。”</w:t>
      </w:r>
      <w:r w:rsidRPr="00953281">
        <w:rPr>
          <w:snapToGrid w:val="0"/>
          <w:w w:val="150"/>
          <w:vertAlign w:val="superscript"/>
          <w:lang w:val="en-CA"/>
        </w:rPr>
        <w:footnoteReference w:id="438"/>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t>3.</w:t>
      </w:r>
      <w:r w:rsidRPr="002347E9">
        <w:rPr>
          <w:rFonts w:hint="eastAsia"/>
          <w:lang w:val="en-CA"/>
        </w:rPr>
        <w:tab/>
        <w:t>大会关于1978年条款草案的决定</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1F13E8" w:rsidRPr="001F13E8" w:rsidRDefault="001F13E8" w:rsidP="001F13E8">
      <w:pPr>
        <w:pStyle w:val="SingleTxt"/>
        <w:spacing w:after="0" w:line="120" w:lineRule="exact"/>
        <w:rPr>
          <w:snapToGrid w:val="0"/>
          <w:sz w:val="10"/>
          <w:szCs w:val="21"/>
          <w:lang w:val="fr-CH"/>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19.  </w:t>
      </w:r>
      <w:r w:rsidRPr="002347E9">
        <w:rPr>
          <w:rFonts w:hint="eastAsia"/>
          <w:snapToGrid w:val="0"/>
          <w:szCs w:val="21"/>
          <w:lang w:val="fr-CH"/>
        </w:rPr>
        <w:t>大会于</w:t>
      </w:r>
      <w:r w:rsidRPr="002347E9">
        <w:rPr>
          <w:rFonts w:hint="eastAsia"/>
          <w:snapToGrid w:val="0"/>
          <w:szCs w:val="21"/>
          <w:lang w:val="fr-CH"/>
        </w:rPr>
        <w:t>1978</w:t>
      </w:r>
      <w:r w:rsidRPr="002347E9">
        <w:rPr>
          <w:rFonts w:hint="eastAsia"/>
          <w:snapToGrid w:val="0"/>
          <w:szCs w:val="21"/>
          <w:lang w:val="fr-CH"/>
        </w:rPr>
        <w:t>年至</w:t>
      </w:r>
      <w:r w:rsidRPr="002347E9">
        <w:rPr>
          <w:rFonts w:hint="eastAsia"/>
          <w:snapToGrid w:val="0"/>
          <w:szCs w:val="21"/>
          <w:lang w:val="fr-CH"/>
        </w:rPr>
        <w:t>1988</w:t>
      </w:r>
      <w:r w:rsidRPr="002347E9">
        <w:rPr>
          <w:rFonts w:hint="eastAsia"/>
          <w:snapToGrid w:val="0"/>
          <w:szCs w:val="21"/>
          <w:lang w:val="fr-CH"/>
        </w:rPr>
        <w:t>年请各国政府对条款草案作出评论后，结束了对这一专题的审议，决定：</w:t>
      </w:r>
    </w:p>
    <w:p w:rsidR="00F53060" w:rsidRPr="002347E9" w:rsidRDefault="00F53060" w:rsidP="00F53060">
      <w:pPr>
        <w:pStyle w:val="SingleTxt"/>
        <w:ind w:left="1695"/>
        <w:rPr>
          <w:snapToGrid w:val="0"/>
          <w:szCs w:val="21"/>
          <w:lang w:val="fr-CH"/>
        </w:rPr>
      </w:pPr>
      <w:r w:rsidRPr="002347E9">
        <w:rPr>
          <w:rFonts w:hint="eastAsia"/>
          <w:snapToGrid w:val="0"/>
          <w:szCs w:val="21"/>
          <w:lang w:val="fr-CH"/>
        </w:rPr>
        <w:tab/>
      </w:r>
      <w:r w:rsidRPr="002347E9">
        <w:rPr>
          <w:rFonts w:hint="eastAsia"/>
          <w:snapToGrid w:val="0"/>
          <w:spacing w:val="2"/>
          <w:szCs w:val="21"/>
          <w:lang w:val="fr-CH"/>
        </w:rPr>
        <w:t>“提请会员国及有关非政府组织注意委员会第三十届会议工作报告所载关于最惠国条款的条款草案，供它们在其认为适当的情况下审议。</w:t>
      </w:r>
      <w:r w:rsidRPr="002347E9">
        <w:rPr>
          <w:rFonts w:hint="eastAsia"/>
          <w:snapToGrid w:val="0"/>
          <w:spacing w:val="-2"/>
          <w:szCs w:val="21"/>
          <w:lang w:val="fr-CH"/>
        </w:rPr>
        <w:t>”</w:t>
      </w:r>
      <w:r w:rsidRPr="00953281">
        <w:rPr>
          <w:snapToGrid w:val="0"/>
          <w:spacing w:val="-2"/>
          <w:w w:val="150"/>
          <w:vertAlign w:val="superscript"/>
          <w:lang w:val="fr-CH"/>
        </w:rPr>
        <w:footnoteReference w:id="439"/>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sidRPr="002347E9">
        <w:rPr>
          <w:rFonts w:hint="eastAsia"/>
          <w:snapToGrid w:val="0"/>
          <w:lang w:val="fr-CH"/>
        </w:rPr>
        <w:tab/>
        <w:t>C.</w:t>
      </w:r>
      <w:r w:rsidRPr="002347E9">
        <w:rPr>
          <w:rFonts w:hint="eastAsia"/>
          <w:snapToGrid w:val="0"/>
          <w:lang w:val="fr-CH"/>
        </w:rPr>
        <w:tab/>
        <w:t>嗣后发展</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20.  </w:t>
      </w:r>
      <w:r w:rsidRPr="002347E9">
        <w:rPr>
          <w:rFonts w:hint="eastAsia"/>
          <w:snapToGrid w:val="0"/>
          <w:szCs w:val="21"/>
          <w:lang w:val="fr-CH"/>
        </w:rPr>
        <w:t>自委员会在报告中处理最惠国条款问题并于</w:t>
      </w:r>
      <w:r w:rsidRPr="002347E9">
        <w:rPr>
          <w:rFonts w:hint="eastAsia"/>
          <w:snapToGrid w:val="0"/>
          <w:szCs w:val="21"/>
          <w:lang w:val="fr-CH"/>
        </w:rPr>
        <w:t>1978</w:t>
      </w:r>
      <w:r w:rsidRPr="002347E9">
        <w:rPr>
          <w:rFonts w:hint="eastAsia"/>
          <w:snapToGrid w:val="0"/>
          <w:szCs w:val="21"/>
          <w:lang w:val="fr-CH"/>
        </w:rPr>
        <w:t>年拟定条款草案以来，情况发生了巨大变化。最惠国待遇的适用范围缩小到经济领域，与此同时，最惠国待遇在该领域内的适用范围又有所扩大。</w:t>
      </w:r>
      <w:r w:rsidRPr="002347E9">
        <w:rPr>
          <w:rFonts w:hint="eastAsia"/>
          <w:snapToGrid w:val="0"/>
          <w:szCs w:val="21"/>
          <w:lang w:val="fr-CH"/>
        </w:rPr>
        <w:t>1978</w:t>
      </w:r>
      <w:r w:rsidRPr="002347E9">
        <w:rPr>
          <w:rFonts w:hint="eastAsia"/>
          <w:snapToGrid w:val="0"/>
          <w:szCs w:val="21"/>
          <w:lang w:val="fr-CH"/>
        </w:rPr>
        <w:t>年条款草案的特别报告员探讨了适用最惠国条款的广泛领域，包括航海权和外交豁免。如今，最惠国原则主要运用在国际经</w:t>
      </w:r>
      <w:r w:rsidRPr="002347E9">
        <w:rPr>
          <w:rFonts w:hint="eastAsia"/>
          <w:snapToGrid w:val="0"/>
          <w:szCs w:val="21"/>
          <w:lang w:val="fr-CH"/>
        </w:rPr>
        <w:lastRenderedPageBreak/>
        <w:t>济法领域，特别是贸易和投资领域。在某些情况下，双边条约规定的最惠国待遇被更加广泛地规定不歧视义务的多边公约所取代。</w:t>
      </w:r>
      <w:r w:rsidRPr="00953281">
        <w:rPr>
          <w:snapToGrid w:val="0"/>
          <w:w w:val="150"/>
          <w:vertAlign w:val="superscript"/>
          <w:lang w:val="fr-CH"/>
        </w:rPr>
        <w:footnoteReference w:id="440"/>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21.  </w:t>
      </w:r>
      <w:r w:rsidRPr="002347E9">
        <w:rPr>
          <w:rFonts w:hint="eastAsia"/>
          <w:snapToGrid w:val="0"/>
          <w:szCs w:val="21"/>
          <w:lang w:val="fr-CH"/>
        </w:rPr>
        <w:t>总部协定和税收条约等其他领域也有类似于最惠国规定的不歧视条款，不过似乎没有那么常用，也没有引起争议。</w:t>
      </w:r>
      <w:r w:rsidRPr="00953281">
        <w:rPr>
          <w:snapToGrid w:val="0"/>
          <w:w w:val="150"/>
          <w:vertAlign w:val="superscript"/>
          <w:lang w:val="fr-CH"/>
        </w:rPr>
        <w:footnoteReference w:id="441"/>
      </w:r>
      <w:r w:rsidRPr="002347E9">
        <w:rPr>
          <w:rFonts w:hint="eastAsia"/>
          <w:snapToGrid w:val="0"/>
          <w:szCs w:val="21"/>
          <w:lang w:val="fr-CH"/>
        </w:rPr>
        <w:t xml:space="preserve"> </w:t>
      </w:r>
      <w:r w:rsidRPr="002347E9">
        <w:rPr>
          <w:rFonts w:hint="eastAsia"/>
          <w:snapToGrid w:val="0"/>
          <w:szCs w:val="21"/>
          <w:lang w:val="fr-CH"/>
        </w:rPr>
        <w:t>相反，在经济领域，最惠国待遇越来越常用，运用范围也越来越广。最惠国待遇曾被关贸总协定作为多边贸易体系的核心原则，世贸组织取代关贸总协定后，在服务贸易以及与贸易有关的知识产权领域适用最惠国待遇。此外，最惠国待遇已成为双边投资条约的一项核心原则，双边投资条约这种条约形式在</w:t>
      </w:r>
      <w:r w:rsidRPr="002347E9">
        <w:rPr>
          <w:rFonts w:hint="eastAsia"/>
          <w:snapToGrid w:val="0"/>
          <w:szCs w:val="21"/>
          <w:lang w:val="fr-CH"/>
        </w:rPr>
        <w:t>1978</w:t>
      </w:r>
      <w:r w:rsidRPr="002347E9">
        <w:rPr>
          <w:rFonts w:hint="eastAsia"/>
          <w:snapToGrid w:val="0"/>
          <w:szCs w:val="21"/>
          <w:lang w:val="fr-CH"/>
        </w:rPr>
        <w:t>年条款草案拟定时几乎不存在。虽然第一项双边投资条约签署于</w:t>
      </w:r>
      <w:r w:rsidRPr="002347E9">
        <w:rPr>
          <w:rFonts w:hint="eastAsia"/>
          <w:snapToGrid w:val="0"/>
          <w:szCs w:val="21"/>
          <w:lang w:val="fr-CH"/>
        </w:rPr>
        <w:t>20</w:t>
      </w:r>
      <w:r w:rsidRPr="002347E9">
        <w:rPr>
          <w:rFonts w:hint="eastAsia"/>
          <w:snapToGrid w:val="0"/>
          <w:szCs w:val="21"/>
          <w:lang w:val="fr-CH"/>
        </w:rPr>
        <w:t>世纪</w:t>
      </w:r>
      <w:r w:rsidRPr="002347E9">
        <w:rPr>
          <w:rFonts w:hint="eastAsia"/>
          <w:snapToGrid w:val="0"/>
          <w:szCs w:val="21"/>
          <w:lang w:val="fr-CH"/>
        </w:rPr>
        <w:t>50</w:t>
      </w:r>
      <w:r w:rsidRPr="002347E9">
        <w:rPr>
          <w:rFonts w:hint="eastAsia"/>
          <w:snapToGrid w:val="0"/>
          <w:szCs w:val="21"/>
          <w:lang w:val="fr-CH"/>
        </w:rPr>
        <w:t>年代末，但是直到冷战结束后，这类条约才大量出现，并且经常诉诸其中所载的争端解决规定。</w:t>
      </w:r>
      <w:r w:rsidRPr="00953281">
        <w:rPr>
          <w:snapToGrid w:val="0"/>
          <w:w w:val="150"/>
          <w:vertAlign w:val="superscript"/>
          <w:lang w:val="fr-CH"/>
        </w:rPr>
        <w:footnoteReference w:id="442"/>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22.  </w:t>
      </w:r>
      <w:r w:rsidRPr="002347E9">
        <w:rPr>
          <w:rFonts w:hint="eastAsia"/>
          <w:snapToGrid w:val="0"/>
          <w:szCs w:val="21"/>
          <w:lang w:val="fr-CH"/>
        </w:rPr>
        <w:t>事实上，世贸组织的争端解决程序以及解决投资争端的其他程序形成了解释最惠国规定的一套法律，尤其是在贸易和投资领域。《关贸总协定》体现最惠国条款的第</w:t>
      </w:r>
      <w:r w:rsidRPr="002347E9">
        <w:rPr>
          <w:rFonts w:hint="eastAsia"/>
          <w:snapToGrid w:val="0"/>
          <w:szCs w:val="21"/>
          <w:lang w:val="fr-CH"/>
        </w:rPr>
        <w:t>1</w:t>
      </w:r>
      <w:r w:rsidRPr="002347E9">
        <w:rPr>
          <w:rFonts w:hint="eastAsia"/>
          <w:snapToGrid w:val="0"/>
          <w:szCs w:val="21"/>
          <w:lang w:val="fr-CH"/>
        </w:rPr>
        <w:t>条被世贸组织争端解决机构援引，世贸组织上诉机构对其作出了解释。服务贸易领域的最惠国条款也是争端解决的主题。此外，在大量案件中，法院试图解释双边投资条约中最惠国规定的范围和适用，但是没有统一的结果。</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23.  </w:t>
      </w:r>
      <w:r w:rsidRPr="002347E9">
        <w:rPr>
          <w:rFonts w:hint="eastAsia"/>
          <w:snapToGrid w:val="0"/>
          <w:szCs w:val="21"/>
          <w:lang w:val="fr-CH"/>
        </w:rPr>
        <w:t>简言之，如今适用最惠国条款的情况与委员会之前审议该专题时适用最惠国条款的情况有很大不同。因此，委员会认为有必要重新审议该专题。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fr-CH"/>
        </w:rPr>
      </w:pPr>
      <w:r w:rsidRPr="002347E9">
        <w:rPr>
          <w:rFonts w:hint="eastAsia"/>
          <w:snapToGrid w:val="0"/>
          <w:lang w:val="fr-CH"/>
        </w:rPr>
        <w:tab/>
        <w:t>D.</w:t>
      </w:r>
      <w:r w:rsidRPr="002347E9">
        <w:rPr>
          <w:rFonts w:hint="eastAsia"/>
          <w:snapToGrid w:val="0"/>
          <w:lang w:val="fr-CH"/>
        </w:rPr>
        <w:tab/>
        <w:t>其他机构对最惠国规定的分析</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24.  </w:t>
      </w:r>
      <w:r w:rsidRPr="002347E9">
        <w:rPr>
          <w:rFonts w:hint="eastAsia"/>
          <w:snapToGrid w:val="0"/>
          <w:szCs w:val="21"/>
          <w:lang w:val="fr-CH"/>
        </w:rPr>
        <w:t>据研究组所知，联合国贸易和发展会议</w:t>
      </w:r>
      <w:r w:rsidRPr="002347E9">
        <w:rPr>
          <w:rFonts w:hint="eastAsia"/>
          <w:snapToGrid w:val="0"/>
          <w:szCs w:val="21"/>
          <w:lang w:val="fr-CH"/>
        </w:rPr>
        <w:t>(</w:t>
      </w:r>
      <w:r w:rsidRPr="002347E9">
        <w:rPr>
          <w:rFonts w:hint="eastAsia"/>
          <w:snapToGrid w:val="0"/>
          <w:szCs w:val="21"/>
          <w:lang w:val="fr-CH"/>
        </w:rPr>
        <w:t>贸发会议</w:t>
      </w:r>
      <w:r w:rsidRPr="002347E9">
        <w:rPr>
          <w:rFonts w:hint="eastAsia"/>
          <w:snapToGrid w:val="0"/>
          <w:szCs w:val="21"/>
          <w:lang w:val="fr-CH"/>
        </w:rPr>
        <w:t>)</w:t>
      </w:r>
      <w:r w:rsidRPr="002347E9">
        <w:rPr>
          <w:rFonts w:hint="eastAsia"/>
          <w:snapToGrid w:val="0"/>
          <w:szCs w:val="21"/>
          <w:lang w:val="fr-CH"/>
        </w:rPr>
        <w:t>和经济合作与发展组织</w:t>
      </w:r>
      <w:r w:rsidRPr="002347E9">
        <w:rPr>
          <w:rFonts w:hint="eastAsia"/>
          <w:snapToGrid w:val="0"/>
          <w:szCs w:val="21"/>
          <w:lang w:val="fr-CH"/>
        </w:rPr>
        <w:t>(</w:t>
      </w:r>
      <w:r w:rsidRPr="002347E9">
        <w:rPr>
          <w:rFonts w:hint="eastAsia"/>
          <w:snapToGrid w:val="0"/>
          <w:szCs w:val="21"/>
          <w:lang w:val="fr-CH"/>
        </w:rPr>
        <w:t>经合组织</w:t>
      </w:r>
      <w:r w:rsidRPr="002347E9">
        <w:rPr>
          <w:rFonts w:hint="eastAsia"/>
          <w:snapToGrid w:val="0"/>
          <w:szCs w:val="21"/>
          <w:lang w:val="fr-CH"/>
        </w:rPr>
        <w:t>)</w:t>
      </w:r>
      <w:r w:rsidRPr="002347E9">
        <w:rPr>
          <w:rFonts w:hint="eastAsia"/>
          <w:snapToGrid w:val="0"/>
          <w:szCs w:val="21"/>
          <w:lang w:val="fr-CH"/>
        </w:rPr>
        <w:t>均就最惠国条款开展了大量工作。</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423CF" w:rsidRPr="007423CF" w:rsidRDefault="007423CF" w:rsidP="007423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2347E9">
        <w:rPr>
          <w:rFonts w:hint="eastAsia"/>
          <w:lang w:val="fr-CH"/>
        </w:rPr>
        <w:tab/>
        <w:t>1.</w:t>
      </w:r>
      <w:r w:rsidRPr="002347E9">
        <w:rPr>
          <w:rFonts w:hint="eastAsia"/>
          <w:lang w:val="fr-CH"/>
        </w:rPr>
        <w:tab/>
        <w:t>贸发会议</w:t>
      </w:r>
    </w:p>
    <w:p w:rsidR="00F53060" w:rsidRPr="007423CF" w:rsidRDefault="00F53060" w:rsidP="007423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423CF" w:rsidRPr="007423CF" w:rsidRDefault="007423CF" w:rsidP="007423CF">
      <w:pPr>
        <w:pStyle w:val="SingleTxt"/>
        <w:spacing w:after="0" w:line="120" w:lineRule="exact"/>
        <w:rPr>
          <w:snapToGrid w:val="0"/>
          <w:sz w:val="10"/>
          <w:szCs w:val="21"/>
          <w:lang w:val="fr-CH"/>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25.  </w:t>
      </w:r>
      <w:r w:rsidRPr="00E1712C">
        <w:rPr>
          <w:rFonts w:hint="eastAsia"/>
          <w:snapToGrid w:val="0"/>
          <w:spacing w:val="-2"/>
          <w:szCs w:val="21"/>
          <w:lang w:val="fr-CH"/>
        </w:rPr>
        <w:t>贸发会议参与国际发展政策由来已久，特别是通过分发关于投资事项的技术信息参与。贸发会议编写了两套丛书：《国际投资协定问题丛书》和《国际投资政策促进发展丛书》。近年来，贸发会议出版了一套名为《国际投资协定问题说明》的丛书，其中包括题为《投资者与国家间争端解决的近期发展》的年度出版物。贸发会议关</w:t>
      </w:r>
      <w:r w:rsidRPr="00E1712C">
        <w:rPr>
          <w:rFonts w:hint="eastAsia"/>
          <w:snapToGrid w:val="0"/>
          <w:spacing w:val="-2"/>
          <w:szCs w:val="21"/>
          <w:lang w:val="fr-CH"/>
        </w:rPr>
        <w:lastRenderedPageBreak/>
        <w:t>于国际投资协定的汇编</w:t>
      </w:r>
      <w:r>
        <w:rPr>
          <w:rFonts w:hint="eastAsia"/>
          <w:spacing w:val="-50"/>
        </w:rPr>
        <w:t>―</w:t>
      </w:r>
      <w:r>
        <w:rPr>
          <w:rFonts w:hint="eastAsia"/>
        </w:rPr>
        <w:t>―</w:t>
      </w:r>
      <w:r w:rsidRPr="002347E9">
        <w:rPr>
          <w:rFonts w:hint="eastAsia"/>
          <w:snapToGrid w:val="0"/>
          <w:szCs w:val="21"/>
          <w:lang w:val="fr-CH"/>
        </w:rPr>
        <w:t>《</w:t>
      </w:r>
      <w:r w:rsidRPr="00E1712C">
        <w:rPr>
          <w:rFonts w:hint="eastAsia"/>
          <w:snapToGrid w:val="0"/>
          <w:spacing w:val="-2"/>
          <w:szCs w:val="21"/>
          <w:lang w:val="fr-CH"/>
        </w:rPr>
        <w:t>国际投资文书：汇编</w:t>
      </w:r>
      <w:r w:rsidRPr="002347E9">
        <w:rPr>
          <w:rFonts w:hint="eastAsia"/>
          <w:snapToGrid w:val="0"/>
          <w:szCs w:val="21"/>
          <w:lang w:val="fr-CH"/>
        </w:rPr>
        <w:t>》</w:t>
      </w:r>
      <w:r w:rsidRPr="00953281">
        <w:rPr>
          <w:snapToGrid w:val="0"/>
          <w:w w:val="150"/>
          <w:vertAlign w:val="superscript"/>
          <w:lang w:val="fr-CH"/>
        </w:rPr>
        <w:footnoteReference w:id="443"/>
      </w:r>
      <w:r w:rsidRPr="002347E9">
        <w:rPr>
          <w:rFonts w:hint="eastAsia"/>
          <w:snapToGrid w:val="0"/>
          <w:szCs w:val="21"/>
          <w:lang w:val="fr-CH"/>
        </w:rPr>
        <w:t xml:space="preserve"> </w:t>
      </w:r>
      <w:r w:rsidRPr="00E1712C">
        <w:rPr>
          <w:rFonts w:hint="eastAsia"/>
          <w:snapToGrid w:val="0"/>
          <w:spacing w:val="-2"/>
          <w:szCs w:val="21"/>
          <w:lang w:val="fr-CH"/>
        </w:rPr>
        <w:t>和投资政策服务站</w:t>
      </w:r>
      <w:r w:rsidRPr="00953281">
        <w:rPr>
          <w:snapToGrid w:val="0"/>
          <w:spacing w:val="-2"/>
          <w:w w:val="150"/>
          <w:vertAlign w:val="superscript"/>
          <w:lang w:val="fr-CH"/>
        </w:rPr>
        <w:footnoteReference w:id="444"/>
      </w:r>
      <w:r>
        <w:rPr>
          <w:rFonts w:hint="eastAsia"/>
          <w:spacing w:val="-50"/>
        </w:rPr>
        <w:t>―</w:t>
      </w:r>
      <w:r>
        <w:rPr>
          <w:rFonts w:hint="eastAsia"/>
        </w:rPr>
        <w:t>―</w:t>
      </w:r>
      <w:r w:rsidRPr="002347E9">
        <w:rPr>
          <w:rFonts w:hint="eastAsia"/>
          <w:snapToGrid w:val="0"/>
          <w:szCs w:val="21"/>
          <w:lang w:val="fr-CH"/>
        </w:rPr>
        <w:t>是查找国际投资协定的宝贵来源。</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26.  </w:t>
      </w:r>
      <w:r w:rsidRPr="002347E9">
        <w:rPr>
          <w:rFonts w:hint="eastAsia"/>
          <w:snapToGrid w:val="0"/>
          <w:szCs w:val="21"/>
          <w:lang w:val="fr-CH"/>
        </w:rPr>
        <w:t>贸发会议的许多其他出版物在广泛讨论投资协定时也涉及最惠国问题。特别是，贸发会议《问题说明》丛书中关于投资者与国家间争端解决的年度审查报告概述了投资法庭过去一年的裁决，包括涉及解释最惠国规定的裁决。报告概述各项裁决，指出与此前裁决的不同之处，但是不分析投资法庭采用的解释方法。</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27.  </w:t>
      </w:r>
      <w:r w:rsidRPr="002347E9">
        <w:rPr>
          <w:rFonts w:hint="eastAsia"/>
          <w:snapToGrid w:val="0"/>
          <w:szCs w:val="21"/>
          <w:lang w:val="fr-CH"/>
        </w:rPr>
        <w:t>贸发会议关于最惠国问题的工作为审议最惠国规定提供了重要背景。贸发会议侧重研究适用于最惠国规定的大的政策问题，而不是研究组侧重的习惯国际法和条约解释问题。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423CF" w:rsidRPr="007423CF" w:rsidRDefault="007423CF" w:rsidP="007423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2347E9">
        <w:rPr>
          <w:rFonts w:hint="eastAsia"/>
          <w:lang w:val="fr-CH"/>
        </w:rPr>
        <w:tab/>
        <w:t>2.</w:t>
      </w:r>
      <w:r w:rsidRPr="002347E9">
        <w:rPr>
          <w:rFonts w:hint="eastAsia"/>
          <w:lang w:val="fr-CH"/>
        </w:rPr>
        <w:tab/>
        <w:t>经合组织</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423CF" w:rsidRPr="007423CF" w:rsidRDefault="007423CF" w:rsidP="007423CF">
      <w:pPr>
        <w:pStyle w:val="SingleTxt"/>
        <w:spacing w:after="0" w:line="120" w:lineRule="exact"/>
        <w:rPr>
          <w:snapToGrid w:val="0"/>
          <w:sz w:val="10"/>
          <w:szCs w:val="21"/>
          <w:lang w:val="fr-CH"/>
        </w:rPr>
      </w:pP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28.  </w:t>
      </w:r>
      <w:r w:rsidRPr="002347E9">
        <w:rPr>
          <w:rFonts w:hint="eastAsia"/>
          <w:snapToGrid w:val="0"/>
          <w:szCs w:val="21"/>
          <w:lang w:val="fr-CH"/>
        </w:rPr>
        <w:t>经合组织在投资领域的主要作用是起草促进投资的文书。这些文书载有不歧视义务，有时以最惠国条款的形式表述。</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29.  </w:t>
      </w:r>
      <w:r w:rsidRPr="002347E9">
        <w:rPr>
          <w:rFonts w:hint="eastAsia"/>
          <w:snapToGrid w:val="0"/>
          <w:szCs w:val="21"/>
          <w:lang w:val="fr-CH"/>
        </w:rPr>
        <w:t>经合组织《资本流动自由化准则》涵盖直接投资和建立企业，经合组织《无形交易自由化准则》涵盖服务，二者均载有不歧视义务。虽然不是以传统的最惠国条款的语言表述，但是经合组织认为该义务在功能上与最惠国规定相同。两项准则共同的第九条规定：</w:t>
      </w:r>
    </w:p>
    <w:p w:rsidR="00F53060" w:rsidRPr="002347E9" w:rsidRDefault="00F53060" w:rsidP="00F53060">
      <w:pPr>
        <w:pStyle w:val="SingleTxt"/>
        <w:ind w:left="1695"/>
        <w:rPr>
          <w:snapToGrid w:val="0"/>
          <w:szCs w:val="21"/>
          <w:lang w:val="fr-CH"/>
        </w:rPr>
      </w:pPr>
      <w:r w:rsidRPr="002347E9">
        <w:rPr>
          <w:rFonts w:hint="eastAsia"/>
          <w:snapToGrid w:val="0"/>
          <w:szCs w:val="21"/>
          <w:lang w:val="fr-CH"/>
        </w:rPr>
        <w:tab/>
      </w:r>
      <w:r w:rsidRPr="002347E9">
        <w:rPr>
          <w:rFonts w:hint="eastAsia"/>
          <w:snapToGrid w:val="0"/>
          <w:szCs w:val="21"/>
          <w:lang w:val="fr-CH"/>
        </w:rPr>
        <w:t>“成员在批准完成和执行附件</w:t>
      </w:r>
      <w:r w:rsidRPr="002347E9">
        <w:rPr>
          <w:rFonts w:hint="eastAsia"/>
          <w:snapToGrid w:val="0"/>
          <w:szCs w:val="21"/>
          <w:lang w:val="fr-CH"/>
        </w:rPr>
        <w:t>A</w:t>
      </w:r>
      <w:r w:rsidRPr="002347E9">
        <w:rPr>
          <w:rFonts w:hint="eastAsia"/>
          <w:snapToGrid w:val="0"/>
          <w:szCs w:val="21"/>
          <w:lang w:val="fr-CH"/>
        </w:rPr>
        <w:t>所列且享有任何程度自由化的交易和转让方面，对其他成员不得予以区别对待。”</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30.  </w:t>
      </w:r>
      <w:r w:rsidRPr="002347E9">
        <w:rPr>
          <w:rFonts w:hint="eastAsia"/>
          <w:snapToGrid w:val="0"/>
          <w:szCs w:val="21"/>
          <w:lang w:val="fr-CH"/>
        </w:rPr>
        <w:t>经合组织在两项《准则》的导言中写道：</w:t>
      </w:r>
      <w:r w:rsidRPr="00953281">
        <w:rPr>
          <w:snapToGrid w:val="0"/>
          <w:w w:val="150"/>
          <w:vertAlign w:val="superscript"/>
          <w:lang w:val="fr-CH"/>
        </w:rPr>
        <w:footnoteReference w:id="445"/>
      </w:r>
    </w:p>
    <w:p w:rsidR="00F53060" w:rsidRPr="002347E9" w:rsidRDefault="00F53060" w:rsidP="00F53060">
      <w:pPr>
        <w:pStyle w:val="SingleTxt"/>
        <w:ind w:left="1695"/>
        <w:rPr>
          <w:snapToGrid w:val="0"/>
          <w:szCs w:val="21"/>
          <w:lang w:val="fr-CH"/>
        </w:rPr>
      </w:pPr>
      <w:r w:rsidRPr="002347E9">
        <w:rPr>
          <w:rFonts w:hint="eastAsia"/>
          <w:snapToGrid w:val="0"/>
          <w:szCs w:val="21"/>
          <w:lang w:val="fr-CH"/>
        </w:rPr>
        <w:tab/>
      </w:r>
      <w:r w:rsidRPr="002347E9">
        <w:rPr>
          <w:rFonts w:hint="eastAsia"/>
          <w:snapToGrid w:val="0"/>
          <w:szCs w:val="21"/>
          <w:lang w:val="fr-CH"/>
        </w:rPr>
        <w:t>“经合组织成员应当不歧视、一视同仁地向所有其他成员国居民予以开放市场的好处。当存在限制时，必须以同样的方式对每个人施加限制……《准则》不允许列举对不歧视原则或最惠国原则的保留。”</w:t>
      </w:r>
    </w:p>
    <w:p w:rsidR="00F53060" w:rsidRPr="002347E9" w:rsidRDefault="00F53060" w:rsidP="00F53060">
      <w:pPr>
        <w:pStyle w:val="SingleTxt"/>
        <w:rPr>
          <w:snapToGrid w:val="0"/>
          <w:szCs w:val="21"/>
          <w:lang w:val="fr-CH"/>
        </w:rPr>
      </w:pPr>
      <w:r w:rsidRPr="002347E9">
        <w:rPr>
          <w:rFonts w:hint="eastAsia"/>
          <w:snapToGrid w:val="0"/>
          <w:szCs w:val="21"/>
          <w:lang w:val="fr-CH"/>
        </w:rPr>
        <w:t xml:space="preserve">31.  </w:t>
      </w:r>
      <w:r w:rsidRPr="002347E9">
        <w:rPr>
          <w:rFonts w:hint="eastAsia"/>
          <w:snapToGrid w:val="0"/>
          <w:szCs w:val="21"/>
          <w:lang w:val="fr-CH"/>
        </w:rPr>
        <w:t>两项《准则》载有适用最惠国待遇的许多例外情况，包括针对关税同盟或特别货币体系成员的例外，但是例外更多地涉及维护公共秩序、保护公共卫生、道德和安全、保护成员的基本安全利益或履行与国际和平与安全有关的义务。</w:t>
      </w:r>
      <w:r w:rsidRPr="00953281">
        <w:rPr>
          <w:snapToGrid w:val="0"/>
          <w:w w:val="150"/>
          <w:vertAlign w:val="superscript"/>
          <w:lang w:val="fr-CH"/>
        </w:rPr>
        <w:footnoteReference w:id="446"/>
      </w:r>
    </w:p>
    <w:p w:rsidR="00F53060" w:rsidRPr="002347E9" w:rsidRDefault="00F53060" w:rsidP="00F53060">
      <w:pPr>
        <w:pStyle w:val="SingleTxt"/>
        <w:rPr>
          <w:snapToGrid w:val="0"/>
          <w:szCs w:val="21"/>
          <w:lang w:val="en-CA"/>
        </w:rPr>
      </w:pPr>
      <w:r w:rsidRPr="002347E9">
        <w:rPr>
          <w:rFonts w:hint="eastAsia"/>
          <w:snapToGrid w:val="0"/>
          <w:szCs w:val="21"/>
          <w:lang w:val="fr-CH"/>
        </w:rPr>
        <w:t xml:space="preserve">32.  </w:t>
      </w:r>
      <w:r w:rsidRPr="002347E9">
        <w:rPr>
          <w:rFonts w:hint="eastAsia"/>
          <w:snapToGrid w:val="0"/>
          <w:szCs w:val="21"/>
          <w:lang w:val="fr-CH"/>
        </w:rPr>
        <w:t>经合组织还曾负责启动《多边投资协定》的谈判。该协定载有一项最惠国规定，其中提到“待遇不低于”，并适用于“投资的设立、获取、扩大、运营、管理、维</w:t>
      </w:r>
      <w:r w:rsidRPr="002347E9">
        <w:rPr>
          <w:rFonts w:hint="eastAsia"/>
          <w:snapToGrid w:val="0"/>
          <w:szCs w:val="21"/>
          <w:lang w:val="fr-CH"/>
        </w:rPr>
        <w:lastRenderedPageBreak/>
        <w:t>持、使用、享有、出售或其他处置。”</w:t>
      </w:r>
      <w:r w:rsidRPr="00953281">
        <w:rPr>
          <w:snapToGrid w:val="0"/>
          <w:w w:val="150"/>
          <w:vertAlign w:val="superscript"/>
          <w:lang w:val="fr-CH"/>
        </w:rPr>
        <w:footnoteReference w:id="447"/>
      </w:r>
      <w:r w:rsidRPr="002347E9">
        <w:rPr>
          <w:rFonts w:hint="eastAsia"/>
          <w:snapToGrid w:val="0"/>
          <w:szCs w:val="21"/>
          <w:lang w:val="fr-CH"/>
        </w:rPr>
        <w:t xml:space="preserve"> </w:t>
      </w:r>
      <w:r w:rsidRPr="002347E9">
        <w:rPr>
          <w:rFonts w:hint="eastAsia"/>
          <w:snapToGrid w:val="0"/>
          <w:szCs w:val="21"/>
          <w:lang w:val="fr-CH"/>
        </w:rPr>
        <w:t>谈判中止时存在这一分歧：</w:t>
      </w:r>
      <w:r w:rsidRPr="002347E9">
        <w:rPr>
          <w:rFonts w:hint="eastAsia"/>
          <w:snapToGrid w:val="0"/>
          <w:szCs w:val="21"/>
          <w:lang w:val="en-CA"/>
        </w:rPr>
        <w:t>最惠国条款应当适用于给予最惠国待遇的国家境内的所有投资，还是应当以“同类情形”一词限定有权获得最惠国待遇的受惠方。</w:t>
      </w: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33.  </w:t>
      </w:r>
      <w:r w:rsidRPr="00A8194B">
        <w:rPr>
          <w:rFonts w:hint="eastAsia"/>
          <w:snapToGrid w:val="0"/>
          <w:spacing w:val="-2"/>
          <w:szCs w:val="21"/>
          <w:lang w:val="en-CA"/>
        </w:rPr>
        <w:t>该《多边投资协定》草案还载有许多给予最惠国待遇的例外情况，包括安全利益、《联合国宪章》规定的义务以及税收。还有许多一直存在争议的例外情况，包括公共债务重组、为实施货币和经济政策而进行的交易以及区域经济一体化协定。</w:t>
      </w:r>
      <w:r w:rsidRPr="00953281">
        <w:rPr>
          <w:snapToGrid w:val="0"/>
          <w:spacing w:val="-2"/>
          <w:w w:val="150"/>
          <w:vertAlign w:val="superscript"/>
          <w:lang w:val="en-CA"/>
        </w:rPr>
        <w:footnoteReference w:id="448"/>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tab/>
      </w:r>
      <w:r w:rsidRPr="002347E9">
        <w:rPr>
          <w:rFonts w:hint="eastAsia"/>
          <w:snapToGrid w:val="0"/>
          <w:lang w:val="en-CA"/>
        </w:rPr>
        <w:tab/>
      </w:r>
      <w:r>
        <w:rPr>
          <w:rFonts w:hint="eastAsia"/>
          <w:snapToGrid w:val="0"/>
          <w:lang w:val="en-CA"/>
        </w:rPr>
        <w:t>第二部分</w:t>
      </w:r>
      <w:r>
        <w:rPr>
          <w:snapToGrid w:val="0"/>
          <w:lang w:val="en-CA"/>
        </w:rPr>
        <w:br/>
      </w:r>
      <w:r w:rsidRPr="002347E9">
        <w:rPr>
          <w:rFonts w:hint="eastAsia"/>
          <w:snapToGrid w:val="0"/>
          <w:lang w:val="en-CA"/>
        </w:rPr>
        <w:t>最惠国条款的当代意义以及与条款解释有关的问题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34.  </w:t>
      </w:r>
      <w:r w:rsidRPr="002347E9">
        <w:rPr>
          <w:rFonts w:hint="eastAsia"/>
          <w:snapToGrid w:val="0"/>
          <w:szCs w:val="21"/>
          <w:lang w:val="en-CA"/>
        </w:rPr>
        <w:t>本部分涉及最惠国条款的性质，以及这些条款目前如何运用于条约中以及如何适用。本部分还研究了与最惠国条款有关的解释问题，特别是国际投资协定背景下的解释问题。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tab/>
        <w:t>A.</w:t>
      </w:r>
      <w:r w:rsidRPr="002347E9">
        <w:rPr>
          <w:rFonts w:hint="eastAsia"/>
          <w:snapToGrid w:val="0"/>
          <w:lang w:val="en-CA"/>
        </w:rPr>
        <w:tab/>
        <w:t>最惠国条款的要素</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lang w:val="en-CA"/>
        </w:rPr>
      </w:pPr>
      <w:r w:rsidRPr="002347E9">
        <w:rPr>
          <w:rFonts w:hint="eastAsia"/>
          <w:snapToGrid w:val="0"/>
          <w:lang w:val="en-CA"/>
        </w:rPr>
        <w:t xml:space="preserve">35.  </w:t>
      </w:r>
      <w:r w:rsidRPr="002347E9">
        <w:rPr>
          <w:rFonts w:hint="eastAsia"/>
          <w:snapToGrid w:val="0"/>
          <w:lang w:val="en-CA"/>
        </w:rPr>
        <w:t>从</w:t>
      </w:r>
      <w:r w:rsidRPr="002347E9">
        <w:rPr>
          <w:rFonts w:hint="eastAsia"/>
          <w:snapToGrid w:val="0"/>
          <w:lang w:val="en-CA"/>
        </w:rPr>
        <w:t>1978</w:t>
      </w:r>
      <w:r w:rsidRPr="002347E9">
        <w:rPr>
          <w:rFonts w:hint="eastAsia"/>
          <w:snapToGrid w:val="0"/>
          <w:lang w:val="en-CA"/>
        </w:rPr>
        <w:t>年条款草案可以看出，双边或多边条约</w:t>
      </w:r>
      <w:r w:rsidRPr="00953281">
        <w:rPr>
          <w:snapToGrid w:val="0"/>
          <w:w w:val="150"/>
          <w:szCs w:val="24"/>
          <w:vertAlign w:val="superscript"/>
          <w:lang w:val="en-CA"/>
        </w:rPr>
        <w:footnoteReference w:id="449"/>
      </w:r>
      <w:r w:rsidRPr="002347E9">
        <w:rPr>
          <w:rFonts w:hint="eastAsia"/>
          <w:snapToGrid w:val="0"/>
          <w:lang w:val="en-CA"/>
        </w:rPr>
        <w:t xml:space="preserve"> </w:t>
      </w:r>
      <w:r w:rsidRPr="002347E9">
        <w:rPr>
          <w:rFonts w:hint="eastAsia"/>
          <w:snapToGrid w:val="0"/>
          <w:lang w:val="en-CA"/>
        </w:rPr>
        <w:t>中的最惠国规定包含以下要素：</w:t>
      </w:r>
    </w:p>
    <w:p w:rsidR="00F53060" w:rsidRPr="002347E9" w:rsidRDefault="00F53060" w:rsidP="00F53060">
      <w:pPr>
        <w:pStyle w:val="SingleTxt"/>
        <w:ind w:left="2126" w:hanging="431"/>
        <w:rPr>
          <w:snapToGrid w:val="0"/>
          <w:lang w:val="fr-CH"/>
        </w:rPr>
      </w:pPr>
      <w:r>
        <w:rPr>
          <w:rFonts w:hint="eastAsia"/>
          <w:snapToGrid w:val="0"/>
          <w:lang w:val="fr-CH"/>
        </w:rPr>
        <w:sym w:font="Symbol" w:char="F0B7"/>
      </w:r>
      <w:r>
        <w:rPr>
          <w:snapToGrid w:val="0"/>
          <w:lang w:val="fr-CH"/>
        </w:rPr>
        <w:tab/>
      </w:r>
      <w:r w:rsidRPr="002347E9">
        <w:rPr>
          <w:rFonts w:hint="eastAsia"/>
          <w:snapToGrid w:val="0"/>
          <w:lang w:val="fr-CH"/>
        </w:rPr>
        <w:t>第一，在这样一项规定下，每个国家同意给予其他一个或多个国家，以及与该一个或多个国家有固定关系的个人和实体特定水平的待遇。</w:t>
      </w:r>
      <w:r w:rsidRPr="00953281">
        <w:rPr>
          <w:snapToGrid w:val="0"/>
          <w:w w:val="150"/>
          <w:szCs w:val="24"/>
          <w:vertAlign w:val="superscript"/>
          <w:lang w:val="fr-CH"/>
        </w:rPr>
        <w:footnoteReference w:id="450"/>
      </w:r>
    </w:p>
    <w:p w:rsidR="00F53060" w:rsidRPr="002347E9" w:rsidRDefault="00F53060" w:rsidP="00F53060">
      <w:pPr>
        <w:pStyle w:val="Bullet2"/>
        <w:spacing w:after="140" w:line="320" w:lineRule="exact"/>
        <w:ind w:left="2126" w:right="1264" w:hanging="431"/>
        <w:rPr>
          <w:lang w:val="fr-CH"/>
        </w:rPr>
      </w:pPr>
      <w:r>
        <w:rPr>
          <w:rFonts w:hint="eastAsia"/>
          <w:lang w:val="fr-CH"/>
        </w:rPr>
        <w:sym w:font="Symbol" w:char="F0B7"/>
      </w:r>
      <w:r>
        <w:rPr>
          <w:lang w:val="fr-CH"/>
        </w:rPr>
        <w:tab/>
      </w:r>
      <w:r w:rsidRPr="002347E9">
        <w:rPr>
          <w:rFonts w:hint="eastAsia"/>
          <w:lang w:val="fr-CH"/>
        </w:rPr>
        <w:t>第二，</w:t>
      </w:r>
      <w:r w:rsidRPr="002347E9">
        <w:rPr>
          <w:rFonts w:hint="eastAsia"/>
          <w:lang w:val="en-CA"/>
        </w:rPr>
        <w:t>最惠国规定提供的待遇水平由给予最惠国待遇的国家给予第三国的待遇决定</w:t>
      </w:r>
      <w:r w:rsidRPr="002347E9">
        <w:rPr>
          <w:rFonts w:hint="eastAsia"/>
          <w:lang w:val="en-CA"/>
        </w:rPr>
        <w:t>(</w:t>
      </w:r>
      <w:r w:rsidRPr="002347E9">
        <w:rPr>
          <w:rFonts w:hint="eastAsia"/>
          <w:lang w:val="en-CA"/>
        </w:rPr>
        <w:t>“待遇不低于”</w:t>
      </w:r>
      <w:r w:rsidRPr="002347E9">
        <w:rPr>
          <w:rFonts w:hint="eastAsia"/>
          <w:lang w:val="en-CA"/>
        </w:rPr>
        <w:t>)</w:t>
      </w:r>
      <w:r w:rsidRPr="002347E9">
        <w:rPr>
          <w:rFonts w:hint="eastAsia"/>
          <w:lang w:val="en-CA"/>
        </w:rPr>
        <w:t>。</w:t>
      </w:r>
      <w:r w:rsidRPr="00953281">
        <w:rPr>
          <w:w w:val="150"/>
          <w:sz w:val="21"/>
          <w:szCs w:val="24"/>
          <w:vertAlign w:val="superscript"/>
          <w:lang w:val="en-CA"/>
        </w:rPr>
        <w:footnoteReference w:id="451"/>
      </w:r>
    </w:p>
    <w:p w:rsidR="00F53060" w:rsidRPr="002347E9" w:rsidRDefault="00F53060" w:rsidP="00F53060">
      <w:pPr>
        <w:pStyle w:val="SingleTxt"/>
        <w:ind w:left="2126" w:hanging="431"/>
        <w:rPr>
          <w:snapToGrid w:val="0"/>
          <w:lang w:val="fr-CH"/>
        </w:rPr>
      </w:pPr>
      <w:r>
        <w:rPr>
          <w:rFonts w:hint="eastAsia"/>
          <w:snapToGrid w:val="0"/>
          <w:lang w:val="en-CA"/>
        </w:rPr>
        <w:sym w:font="Symbol" w:char="F0B7"/>
      </w:r>
      <w:r>
        <w:rPr>
          <w:snapToGrid w:val="0"/>
          <w:lang w:val="en-CA"/>
        </w:rPr>
        <w:tab/>
      </w:r>
      <w:r w:rsidRPr="002869BA">
        <w:rPr>
          <w:rFonts w:hint="eastAsia"/>
          <w:snapToGrid w:val="0"/>
          <w:spacing w:val="2"/>
          <w:lang w:val="en-CA"/>
        </w:rPr>
        <w:t>第三，</w:t>
      </w:r>
      <w:r w:rsidRPr="002869BA">
        <w:rPr>
          <w:rFonts w:hint="eastAsia"/>
          <w:snapToGrid w:val="0"/>
          <w:spacing w:val="2"/>
        </w:rPr>
        <w:t>最惠国承诺仅适用于与给予第三国的待遇同类的待遇</w:t>
      </w:r>
      <w:r w:rsidRPr="002869BA">
        <w:rPr>
          <w:rFonts w:hint="eastAsia"/>
          <w:snapToGrid w:val="0"/>
          <w:spacing w:val="2"/>
        </w:rPr>
        <w:t>(</w:t>
      </w:r>
      <w:r w:rsidRPr="002869BA">
        <w:rPr>
          <w:rFonts w:hint="eastAsia"/>
          <w:snapToGrid w:val="0"/>
          <w:spacing w:val="2"/>
        </w:rPr>
        <w:t>“</w:t>
      </w:r>
      <w:r w:rsidRPr="002869BA">
        <w:rPr>
          <w:rFonts w:ascii="Time New Roman" w:eastAsia="楷体" w:hAnsi="Time New Roman" w:hint="eastAsia"/>
          <w:snapToGrid w:val="0"/>
          <w:spacing w:val="2"/>
        </w:rPr>
        <w:t>同类原则</w:t>
      </w:r>
      <w:r w:rsidRPr="002869BA">
        <w:rPr>
          <w:rFonts w:hint="eastAsia"/>
          <w:snapToGrid w:val="0"/>
          <w:spacing w:val="2"/>
        </w:rPr>
        <w:t>”</w:t>
      </w:r>
      <w:r w:rsidRPr="002869BA">
        <w:rPr>
          <w:rFonts w:hint="eastAsia"/>
          <w:snapToGrid w:val="0"/>
          <w:spacing w:val="2"/>
        </w:rPr>
        <w:t>)</w:t>
      </w:r>
      <w:r w:rsidRPr="002869BA">
        <w:rPr>
          <w:rFonts w:hint="eastAsia"/>
          <w:snapToGrid w:val="0"/>
          <w:spacing w:val="2"/>
        </w:rPr>
        <w:t>。</w:t>
      </w:r>
      <w:r w:rsidRPr="002869BA">
        <w:rPr>
          <w:snapToGrid w:val="0"/>
          <w:spacing w:val="2"/>
          <w:w w:val="150"/>
          <w:szCs w:val="24"/>
          <w:vertAlign w:val="superscript"/>
        </w:rPr>
        <w:footnoteReference w:id="452"/>
      </w:r>
    </w:p>
    <w:p w:rsidR="00F53060" w:rsidRPr="002347E9" w:rsidRDefault="00F53060" w:rsidP="00F53060">
      <w:pPr>
        <w:pStyle w:val="SingleTxt"/>
        <w:ind w:left="2126" w:hanging="431"/>
        <w:rPr>
          <w:snapToGrid w:val="0"/>
          <w:lang w:val="fr-CH"/>
        </w:rPr>
      </w:pPr>
      <w:r>
        <w:rPr>
          <w:rFonts w:hint="eastAsia"/>
          <w:snapToGrid w:val="0"/>
        </w:rPr>
        <w:sym w:font="Symbol" w:char="F0B7"/>
      </w:r>
      <w:r>
        <w:rPr>
          <w:snapToGrid w:val="0"/>
        </w:rPr>
        <w:tab/>
      </w:r>
      <w:r w:rsidRPr="002347E9">
        <w:rPr>
          <w:rFonts w:hint="eastAsia"/>
          <w:snapToGrid w:val="0"/>
        </w:rPr>
        <w:t>第四，有权获得最惠国待遇的个人和实体仅限于那些与第三国有权获得要求的待遇的个人或实体同类的个人或实体。</w:t>
      </w:r>
      <w:r w:rsidRPr="00953281">
        <w:rPr>
          <w:snapToGrid w:val="0"/>
          <w:w w:val="150"/>
          <w:szCs w:val="24"/>
          <w:vertAlign w:val="superscript"/>
        </w:rPr>
        <w:footnoteReference w:id="453"/>
      </w:r>
    </w:p>
    <w:p w:rsidR="00F53060" w:rsidRPr="002347E9" w:rsidRDefault="00F53060" w:rsidP="00F53060">
      <w:pPr>
        <w:pStyle w:val="SingleTxt"/>
        <w:rPr>
          <w:snapToGrid w:val="0"/>
          <w:lang w:val="en-CA"/>
        </w:rPr>
      </w:pPr>
      <w:r w:rsidRPr="002347E9">
        <w:rPr>
          <w:rFonts w:hint="eastAsia"/>
          <w:snapToGrid w:val="0"/>
          <w:lang w:val="en-CA"/>
        </w:rPr>
        <w:lastRenderedPageBreak/>
        <w:t xml:space="preserve">36.  </w:t>
      </w:r>
      <w:r w:rsidRPr="002347E9">
        <w:rPr>
          <w:rFonts w:hint="eastAsia"/>
          <w:snapToGrid w:val="0"/>
          <w:lang w:val="en-CA"/>
        </w:rPr>
        <w:t>在适用最惠国规定时，第二和第三个要素造成的困难最大。什么才算“待遇不低于”，以及要求的待遇是否与给予第三国的待遇同类，这些问题在关贸总协定和世贸组织下都引起了争论。我们将看到，要求的待遇是否与给予第三国的待遇同类正是投资领域当前争论的核心。</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t>1.</w:t>
      </w:r>
      <w:r w:rsidRPr="002347E9">
        <w:rPr>
          <w:rFonts w:hint="eastAsia"/>
          <w:lang w:val="en-CA"/>
        </w:rPr>
        <w:tab/>
        <w:t>最惠国待遇的原理</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SingleTxt"/>
        <w:spacing w:after="0" w:line="120" w:lineRule="exact"/>
        <w:rPr>
          <w:snapToGrid w:val="0"/>
          <w:sz w:val="10"/>
          <w:szCs w:val="21"/>
          <w:lang w:val="en-CA"/>
        </w:rPr>
      </w:pP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37.  </w:t>
      </w:r>
      <w:r w:rsidRPr="002347E9">
        <w:rPr>
          <w:rFonts w:hint="eastAsia"/>
          <w:snapToGrid w:val="0"/>
          <w:szCs w:val="21"/>
          <w:lang w:val="en-CA"/>
        </w:rPr>
        <w:t>最惠国待遇本质上是一种规定一国与其他国家之间不存在区别待遇的方式，因此可以视为主权平等原则的体现。不过，最惠国待遇的起源显示，它基于一种更加实际的愿望</w:t>
      </w:r>
      <w:r>
        <w:rPr>
          <w:rFonts w:hint="eastAsia"/>
          <w:spacing w:val="-50"/>
        </w:rPr>
        <w:t>―</w:t>
      </w:r>
      <w:r>
        <w:rPr>
          <w:rFonts w:hint="eastAsia"/>
        </w:rPr>
        <w:t>―</w:t>
      </w:r>
      <w:r w:rsidRPr="002347E9">
        <w:rPr>
          <w:rFonts w:hint="eastAsia"/>
          <w:snapToGrid w:val="0"/>
          <w:szCs w:val="21"/>
          <w:lang w:val="en-CA"/>
        </w:rPr>
        <w:t>防止经济领域的竞争优势。</w:t>
      </w:r>
      <w:r w:rsidRPr="002347E9">
        <w:rPr>
          <w:rFonts w:hint="eastAsia"/>
          <w:snapToGrid w:val="0"/>
          <w:szCs w:val="21"/>
          <w:lang w:val="en-CA"/>
        </w:rPr>
        <w:t>1978</w:t>
      </w:r>
      <w:r w:rsidRPr="002347E9">
        <w:rPr>
          <w:rFonts w:hint="eastAsia"/>
          <w:snapToGrid w:val="0"/>
          <w:szCs w:val="21"/>
          <w:lang w:val="en-CA"/>
        </w:rPr>
        <w:t>年条款草案的特别报告员在第一份报告中指出，</w:t>
      </w:r>
      <w:r w:rsidRPr="00953281">
        <w:rPr>
          <w:snapToGrid w:val="0"/>
          <w:w w:val="150"/>
          <w:szCs w:val="24"/>
          <w:vertAlign w:val="superscript"/>
          <w:lang w:val="en-CA"/>
        </w:rPr>
        <w:footnoteReference w:id="454"/>
      </w:r>
      <w:r w:rsidRPr="002347E9">
        <w:rPr>
          <w:rFonts w:hint="eastAsia"/>
          <w:snapToGrid w:val="0"/>
          <w:szCs w:val="21"/>
          <w:lang w:val="en-CA"/>
        </w:rPr>
        <w:t xml:space="preserve"> </w:t>
      </w:r>
      <w:r w:rsidRPr="002347E9">
        <w:rPr>
          <w:rFonts w:hint="eastAsia"/>
          <w:snapToGrid w:val="0"/>
          <w:szCs w:val="21"/>
          <w:lang w:val="en-CA"/>
        </w:rPr>
        <w:t>中世纪的商人若无法在外国市场获得垄断地位，则力求待遇不低于其竞争者。这种待遇后来也体现在主权国家之间的协定</w:t>
      </w:r>
      <w:r>
        <w:rPr>
          <w:rFonts w:hint="eastAsia"/>
          <w:spacing w:val="-50"/>
        </w:rPr>
        <w:t>―</w:t>
      </w:r>
      <w:r>
        <w:rPr>
          <w:rFonts w:hint="eastAsia"/>
        </w:rPr>
        <w:t>―</w:t>
      </w:r>
      <w:r w:rsidRPr="002347E9">
        <w:rPr>
          <w:rFonts w:hint="eastAsia"/>
          <w:snapToGrid w:val="0"/>
          <w:szCs w:val="21"/>
          <w:lang w:val="en-CA"/>
        </w:rPr>
        <w:t>友好、通商和航海条约中，并且超出了贸易范围，确保一国臣民在外国的待遇不低于其他国家的臣民在该国的待遇。</w:t>
      </w: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38.  </w:t>
      </w:r>
      <w:r w:rsidRPr="002347E9">
        <w:rPr>
          <w:rFonts w:hint="eastAsia"/>
          <w:snapToGrid w:val="0"/>
          <w:szCs w:val="21"/>
          <w:lang w:val="en-CA"/>
        </w:rPr>
        <w:t>防止歧视也与比较优势这个经济概念有关，比较优势是自由贸易和经济自由化理念的基础。比较优势理论认为，国家应当生产它们最擅长的产品。按照该理论，交易高效率生产的产品将造福消费者，实现福利最大化。</w:t>
      </w:r>
      <w:r w:rsidRPr="00953281">
        <w:rPr>
          <w:snapToGrid w:val="0"/>
          <w:w w:val="150"/>
          <w:szCs w:val="24"/>
          <w:vertAlign w:val="superscript"/>
          <w:lang w:val="en-CA"/>
        </w:rPr>
        <w:footnoteReference w:id="455"/>
      </w:r>
      <w:r w:rsidRPr="002347E9">
        <w:rPr>
          <w:rFonts w:hint="eastAsia"/>
          <w:snapToGrid w:val="0"/>
          <w:szCs w:val="21"/>
          <w:lang w:val="en-CA"/>
        </w:rPr>
        <w:t xml:space="preserve"> </w:t>
      </w:r>
      <w:r w:rsidRPr="002347E9">
        <w:rPr>
          <w:rFonts w:hint="eastAsia"/>
          <w:snapToGrid w:val="0"/>
          <w:szCs w:val="21"/>
          <w:lang w:val="en-CA"/>
        </w:rPr>
        <w:t>不过，如果</w:t>
      </w:r>
      <w:r w:rsidRPr="002347E9">
        <w:rPr>
          <w:rFonts w:hint="eastAsia"/>
          <w:snapToGrid w:val="0"/>
          <w:szCs w:val="21"/>
          <w:lang w:val="en-CA"/>
        </w:rPr>
        <w:t>A</w:t>
      </w:r>
      <w:r w:rsidRPr="002347E9">
        <w:rPr>
          <w:rFonts w:hint="eastAsia"/>
          <w:snapToGrid w:val="0"/>
          <w:szCs w:val="21"/>
          <w:lang w:val="en-CA"/>
        </w:rPr>
        <w:t>国歧视</w:t>
      </w:r>
      <w:r w:rsidRPr="002347E9">
        <w:rPr>
          <w:rFonts w:hint="eastAsia"/>
          <w:snapToGrid w:val="0"/>
          <w:szCs w:val="21"/>
          <w:lang w:val="en-CA"/>
        </w:rPr>
        <w:t>B</w:t>
      </w:r>
      <w:r w:rsidRPr="002347E9">
        <w:rPr>
          <w:rFonts w:hint="eastAsia"/>
          <w:snapToGrid w:val="0"/>
          <w:szCs w:val="21"/>
          <w:lang w:val="en-CA"/>
        </w:rPr>
        <w:t>国的产品，而青睐</w:t>
      </w:r>
      <w:r w:rsidRPr="002347E9">
        <w:rPr>
          <w:rFonts w:hint="eastAsia"/>
          <w:snapToGrid w:val="0"/>
          <w:szCs w:val="21"/>
          <w:lang w:val="en-CA"/>
        </w:rPr>
        <w:t>C</w:t>
      </w:r>
      <w:r w:rsidRPr="002347E9">
        <w:rPr>
          <w:rFonts w:hint="eastAsia"/>
          <w:snapToGrid w:val="0"/>
          <w:szCs w:val="21"/>
          <w:lang w:val="en-CA"/>
        </w:rPr>
        <w:t>国的类似产品，就会丧失效率。最惠国待遇通过确保</w:t>
      </w:r>
      <w:r w:rsidRPr="002347E9">
        <w:rPr>
          <w:rFonts w:hint="eastAsia"/>
          <w:snapToGrid w:val="0"/>
          <w:szCs w:val="21"/>
          <w:lang w:val="en-CA"/>
        </w:rPr>
        <w:t>A</w:t>
      </w:r>
      <w:r w:rsidRPr="002347E9">
        <w:rPr>
          <w:rFonts w:hint="eastAsia"/>
          <w:snapToGrid w:val="0"/>
          <w:szCs w:val="21"/>
          <w:lang w:val="en-CA"/>
        </w:rPr>
        <w:t>国给予</w:t>
      </w:r>
      <w:r w:rsidRPr="002347E9">
        <w:rPr>
          <w:rFonts w:hint="eastAsia"/>
          <w:snapToGrid w:val="0"/>
          <w:szCs w:val="21"/>
          <w:lang w:val="en-CA"/>
        </w:rPr>
        <w:t>B</w:t>
      </w:r>
      <w:r w:rsidRPr="002347E9">
        <w:rPr>
          <w:rFonts w:hint="eastAsia"/>
          <w:snapToGrid w:val="0"/>
          <w:szCs w:val="21"/>
          <w:lang w:val="en-CA"/>
        </w:rPr>
        <w:t>国的待遇不亚于给予</w:t>
      </w:r>
      <w:r w:rsidRPr="002347E9">
        <w:rPr>
          <w:rFonts w:hint="eastAsia"/>
          <w:snapToGrid w:val="0"/>
          <w:szCs w:val="21"/>
          <w:lang w:val="en-CA"/>
        </w:rPr>
        <w:t>C</w:t>
      </w:r>
      <w:r w:rsidRPr="002347E9">
        <w:rPr>
          <w:rFonts w:hint="eastAsia"/>
          <w:snapToGrid w:val="0"/>
          <w:szCs w:val="21"/>
          <w:lang w:val="en-CA"/>
        </w:rPr>
        <w:t>国的待遇，防止了这种歧视。正因为这样，最惠国待遇被视为关贸总协定和世贸组织的基石。</w:t>
      </w:r>
      <w:r w:rsidRPr="00953281">
        <w:rPr>
          <w:snapToGrid w:val="0"/>
          <w:w w:val="150"/>
          <w:szCs w:val="24"/>
          <w:vertAlign w:val="superscript"/>
          <w:lang w:val="en-CA"/>
        </w:rPr>
        <w:footnoteReference w:id="456"/>
      </w: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39.  </w:t>
      </w:r>
      <w:r w:rsidRPr="002347E9">
        <w:rPr>
          <w:rFonts w:hint="eastAsia"/>
          <w:snapToGrid w:val="0"/>
          <w:szCs w:val="21"/>
          <w:lang w:val="en-CA"/>
        </w:rPr>
        <w:t>关于不歧视的好处与优待的好处，特别是对发展中国家的好处，争论由来已久，贸易领域仍有很多方面的问题没有解决。</w:t>
      </w:r>
      <w:r w:rsidRPr="00953281">
        <w:rPr>
          <w:snapToGrid w:val="0"/>
          <w:w w:val="150"/>
          <w:szCs w:val="24"/>
          <w:vertAlign w:val="superscript"/>
          <w:lang w:val="en-CA"/>
        </w:rPr>
        <w:footnoteReference w:id="457"/>
      </w:r>
      <w:r w:rsidRPr="002347E9">
        <w:rPr>
          <w:rFonts w:hint="eastAsia"/>
          <w:snapToGrid w:val="0"/>
          <w:szCs w:val="21"/>
          <w:lang w:val="en-CA"/>
        </w:rPr>
        <w:t xml:space="preserve"> </w:t>
      </w:r>
    </w:p>
    <w:p w:rsidR="00F53060" w:rsidRPr="002347E9" w:rsidRDefault="00F53060" w:rsidP="00F53060">
      <w:pPr>
        <w:pStyle w:val="SingleTxt"/>
        <w:rPr>
          <w:snapToGrid w:val="0"/>
          <w:szCs w:val="21"/>
          <w:lang w:val="en-CA"/>
        </w:rPr>
      </w:pPr>
      <w:r w:rsidRPr="002347E9">
        <w:rPr>
          <w:rFonts w:hint="eastAsia"/>
          <w:snapToGrid w:val="0"/>
          <w:szCs w:val="21"/>
          <w:lang w:val="en-CA"/>
        </w:rPr>
        <w:t xml:space="preserve">40.  </w:t>
      </w:r>
      <w:r w:rsidRPr="002347E9">
        <w:rPr>
          <w:rFonts w:hint="eastAsia"/>
          <w:snapToGrid w:val="0"/>
          <w:szCs w:val="21"/>
          <w:lang w:val="en-CA"/>
        </w:rPr>
        <w:t>将最惠国待遇从货物贸易扩大到服务贸易、投资以及其他领域的经济理由是否成立也是一个争论点。有人认为，在贸易领域，不歧视原则保护了竞争机会</w:t>
      </w:r>
      <w:r w:rsidRPr="002347E9">
        <w:rPr>
          <w:rFonts w:hint="eastAsia"/>
          <w:snapToGrid w:val="0"/>
          <w:szCs w:val="21"/>
          <w:lang w:val="en-CA"/>
        </w:rPr>
        <w:t>(</w:t>
      </w:r>
      <w:r w:rsidRPr="002347E9">
        <w:rPr>
          <w:rFonts w:hint="eastAsia"/>
          <w:snapToGrid w:val="0"/>
          <w:szCs w:val="21"/>
          <w:lang w:val="en-CA"/>
        </w:rPr>
        <w:t>比较优势理论</w:t>
      </w:r>
      <w:r w:rsidRPr="002347E9">
        <w:rPr>
          <w:rFonts w:hint="eastAsia"/>
          <w:snapToGrid w:val="0"/>
          <w:szCs w:val="21"/>
          <w:lang w:val="en-CA"/>
        </w:rPr>
        <w:t>)</w:t>
      </w:r>
      <w:r w:rsidRPr="002347E9">
        <w:rPr>
          <w:rFonts w:hint="eastAsia"/>
          <w:snapToGrid w:val="0"/>
          <w:szCs w:val="21"/>
          <w:lang w:val="en-CA"/>
        </w:rPr>
        <w:t>，但在投资领域，不歧视的目的是保护投资者的权利。</w:t>
      </w:r>
      <w:r w:rsidRPr="00953281">
        <w:rPr>
          <w:snapToGrid w:val="0"/>
          <w:w w:val="150"/>
          <w:szCs w:val="24"/>
          <w:vertAlign w:val="superscript"/>
          <w:lang w:val="en-CA"/>
        </w:rPr>
        <w:footnoteReference w:id="458"/>
      </w:r>
      <w:r w:rsidRPr="002347E9">
        <w:rPr>
          <w:rFonts w:hint="eastAsia"/>
          <w:snapToGrid w:val="0"/>
          <w:szCs w:val="21"/>
          <w:lang w:val="en-CA"/>
        </w:rPr>
        <w:t xml:space="preserve"> </w:t>
      </w:r>
      <w:r w:rsidRPr="002347E9">
        <w:rPr>
          <w:rFonts w:hint="eastAsia"/>
          <w:snapToGrid w:val="0"/>
          <w:szCs w:val="21"/>
          <w:lang w:val="en-CA"/>
        </w:rPr>
        <w:t>不过，不论货物贸易领域之外的不歧视规定有什么具体理由，与投资和服务有关的协定还是继续将最惠国待遇</w:t>
      </w:r>
      <w:r w:rsidRPr="002347E9">
        <w:rPr>
          <w:rFonts w:hint="eastAsia"/>
          <w:snapToGrid w:val="0"/>
          <w:szCs w:val="21"/>
          <w:lang w:val="en-CA"/>
        </w:rPr>
        <w:t>(</w:t>
      </w:r>
      <w:r w:rsidRPr="002347E9">
        <w:rPr>
          <w:rFonts w:hint="eastAsia"/>
          <w:snapToGrid w:val="0"/>
          <w:szCs w:val="21"/>
          <w:lang w:val="en-CA"/>
        </w:rPr>
        <w:t>和国民待遇</w:t>
      </w:r>
      <w:r w:rsidRPr="002347E9">
        <w:rPr>
          <w:rFonts w:hint="eastAsia"/>
          <w:snapToGrid w:val="0"/>
          <w:szCs w:val="21"/>
          <w:lang w:val="en-CA"/>
        </w:rPr>
        <w:t>)</w:t>
      </w:r>
      <w:r w:rsidRPr="002347E9">
        <w:rPr>
          <w:rFonts w:hint="eastAsia"/>
          <w:snapToGrid w:val="0"/>
          <w:szCs w:val="21"/>
          <w:lang w:val="en-CA"/>
        </w:rPr>
        <w:t>纳入其中。注意到这些不同观点后，研究组认为不需要再进一步审议最惠国规定的经济理由问题。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lastRenderedPageBreak/>
        <w:tab/>
        <w:t>B.</w:t>
      </w:r>
      <w:r w:rsidRPr="002347E9">
        <w:rPr>
          <w:rFonts w:hint="eastAsia"/>
          <w:snapToGrid w:val="0"/>
          <w:lang w:val="en-CA"/>
        </w:rPr>
        <w:tab/>
        <w:t>关于最惠国条款的当代实践</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2347E9">
        <w:rPr>
          <w:rFonts w:hint="eastAsia"/>
          <w:lang w:val="en-CA"/>
        </w:rPr>
        <w:tab/>
        <w:t>1.</w:t>
      </w:r>
      <w:r w:rsidRPr="002347E9">
        <w:rPr>
          <w:rFonts w:hint="eastAsia"/>
          <w:lang w:val="en-CA"/>
        </w:rPr>
        <w:tab/>
        <w:t>关贸总协定和世贸组织中的最惠国条款</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SingleTxt"/>
        <w:spacing w:after="0" w:line="120" w:lineRule="exact"/>
        <w:rPr>
          <w:snapToGrid w:val="0"/>
          <w:sz w:val="10"/>
          <w:szCs w:val="21"/>
          <w:lang w:val="en-CA"/>
        </w:rPr>
      </w:pPr>
    </w:p>
    <w:p w:rsidR="00F53060" w:rsidRPr="002347E9" w:rsidRDefault="00F53060" w:rsidP="00F53060">
      <w:pPr>
        <w:pStyle w:val="SingleTxt"/>
        <w:rPr>
          <w:snapToGrid w:val="0"/>
          <w:szCs w:val="21"/>
          <w:lang w:val="en-CA"/>
        </w:rPr>
      </w:pPr>
      <w:r w:rsidRPr="002347E9">
        <w:rPr>
          <w:snapToGrid w:val="0"/>
          <w:szCs w:val="21"/>
          <w:lang w:val="en-CA"/>
        </w:rPr>
        <w:t>41.</w:t>
      </w:r>
      <w:r w:rsidRPr="002347E9">
        <w:rPr>
          <w:rFonts w:hint="eastAsia"/>
          <w:snapToGrid w:val="0"/>
          <w:szCs w:val="21"/>
          <w:lang w:val="en-CA"/>
        </w:rPr>
        <w:t xml:space="preserve">  </w:t>
      </w:r>
      <w:r w:rsidRPr="002347E9">
        <w:rPr>
          <w:rFonts w:hint="eastAsia"/>
          <w:snapToGrid w:val="0"/>
          <w:szCs w:val="21"/>
          <w:lang w:val="en-CA"/>
        </w:rPr>
        <w:t>最惠国待遇一直被视为多边贸易体系的重要义务。《关贸总协定》第</w:t>
      </w:r>
      <w:r w:rsidRPr="002347E9">
        <w:rPr>
          <w:rFonts w:hint="eastAsia"/>
          <w:snapToGrid w:val="0"/>
          <w:szCs w:val="21"/>
          <w:lang w:val="en-CA"/>
        </w:rPr>
        <w:t>1</w:t>
      </w:r>
      <w:r w:rsidRPr="002347E9">
        <w:rPr>
          <w:rFonts w:hint="eastAsia"/>
          <w:snapToGrid w:val="0"/>
          <w:szCs w:val="21"/>
          <w:lang w:val="en-CA"/>
        </w:rPr>
        <w:t>条第</w:t>
      </w:r>
      <w:r w:rsidRPr="002347E9">
        <w:rPr>
          <w:rFonts w:hint="eastAsia"/>
          <w:snapToGrid w:val="0"/>
          <w:szCs w:val="21"/>
          <w:lang w:val="en-CA"/>
        </w:rPr>
        <w:t>1</w:t>
      </w:r>
      <w:r w:rsidRPr="002347E9">
        <w:rPr>
          <w:rFonts w:hint="eastAsia"/>
          <w:snapToGrid w:val="0"/>
          <w:szCs w:val="21"/>
          <w:lang w:val="en-CA"/>
        </w:rPr>
        <w:t>款对其作出了最全面的规定，不过最惠国义务也直接和间接地体现在《关贸总协定》的其他条款中。</w:t>
      </w:r>
      <w:r w:rsidRPr="00953281">
        <w:rPr>
          <w:snapToGrid w:val="0"/>
          <w:w w:val="150"/>
          <w:szCs w:val="21"/>
          <w:vertAlign w:val="superscript"/>
          <w:lang w:val="en-CA" w:eastAsia="ja-JP"/>
        </w:rPr>
        <w:footnoteReference w:id="459"/>
      </w:r>
      <w:r>
        <w:rPr>
          <w:rFonts w:hint="eastAsia"/>
          <w:snapToGrid w:val="0"/>
          <w:szCs w:val="21"/>
          <w:lang w:val="en-CA"/>
        </w:rPr>
        <w:t xml:space="preserve"> </w:t>
      </w:r>
      <w:r w:rsidRPr="002347E9">
        <w:rPr>
          <w:rFonts w:hint="eastAsia"/>
          <w:snapToGrid w:val="0"/>
          <w:szCs w:val="21"/>
          <w:lang w:val="en-CA"/>
        </w:rPr>
        <w:t>《关贸总协定》中的最惠国待遇有两个重要方面。第一，该待遇多边适用，给予一个缔约方的“好处、优惠、特权和豁免”必须给予所有缔约方。第二，给予最惠国待遇是无条件的。</w:t>
      </w:r>
    </w:p>
    <w:p w:rsidR="00F53060" w:rsidRPr="002347E9" w:rsidRDefault="00F53060" w:rsidP="00F53060">
      <w:pPr>
        <w:pStyle w:val="SingleTxt"/>
        <w:rPr>
          <w:snapToGrid w:val="0"/>
          <w:szCs w:val="21"/>
          <w:lang w:val="en-CA"/>
        </w:rPr>
      </w:pPr>
      <w:r w:rsidRPr="002347E9">
        <w:rPr>
          <w:snapToGrid w:val="0"/>
          <w:szCs w:val="21"/>
          <w:lang w:val="en-CA"/>
        </w:rPr>
        <w:t>42.</w:t>
      </w:r>
      <w:r w:rsidRPr="002347E9">
        <w:rPr>
          <w:rFonts w:hint="eastAsia"/>
          <w:snapToGrid w:val="0"/>
          <w:szCs w:val="21"/>
          <w:lang w:val="en-CA"/>
        </w:rPr>
        <w:t xml:space="preserve">  </w:t>
      </w:r>
      <w:r w:rsidRPr="002347E9">
        <w:rPr>
          <w:rFonts w:hint="eastAsia"/>
          <w:snapToGrid w:val="0"/>
          <w:szCs w:val="21"/>
          <w:lang w:val="en-CA"/>
        </w:rPr>
        <w:t>最惠国待遇对关贸总协定的重要作用在于它避免了对跨境货物征收关税以及给予其他待遇方面的歧视。历史上，关税通过双边谈判或国家集团间的谈判达成，然后通过最惠国规定一律适用于所有缔约方。正是通过这种方式保障了贸易商之间的竞争机会平等。</w:t>
      </w:r>
    </w:p>
    <w:p w:rsidR="00F53060" w:rsidRPr="002347E9" w:rsidRDefault="00F53060" w:rsidP="00F53060">
      <w:pPr>
        <w:pStyle w:val="SingleTxt"/>
        <w:rPr>
          <w:snapToGrid w:val="0"/>
          <w:szCs w:val="21"/>
          <w:lang w:val="en-CA"/>
        </w:rPr>
      </w:pPr>
      <w:r w:rsidRPr="002347E9">
        <w:rPr>
          <w:snapToGrid w:val="0"/>
          <w:szCs w:val="21"/>
          <w:lang w:val="en-CA"/>
        </w:rPr>
        <w:t>43.</w:t>
      </w:r>
      <w:r w:rsidRPr="002347E9">
        <w:rPr>
          <w:rFonts w:hint="eastAsia"/>
          <w:snapToGrid w:val="0"/>
          <w:szCs w:val="21"/>
          <w:lang w:val="en-CA"/>
        </w:rPr>
        <w:t xml:space="preserve">  </w:t>
      </w:r>
      <w:r w:rsidRPr="002347E9">
        <w:rPr>
          <w:rFonts w:hint="eastAsia"/>
          <w:snapToGrid w:val="0"/>
          <w:szCs w:val="21"/>
          <w:lang w:val="en-CA"/>
        </w:rPr>
        <w:t>不过，在世贸组织系统内，最惠国待遇从适用于货物贸易扩大到适用于服务贸易的新机制。</w:t>
      </w:r>
      <w:r w:rsidRPr="00953281">
        <w:rPr>
          <w:snapToGrid w:val="0"/>
          <w:w w:val="150"/>
          <w:szCs w:val="21"/>
          <w:vertAlign w:val="superscript"/>
          <w:lang w:val="en-CA" w:eastAsia="ja-JP"/>
        </w:rPr>
        <w:footnoteReference w:id="460"/>
      </w:r>
      <w:r w:rsidRPr="002347E9">
        <w:rPr>
          <w:snapToGrid w:val="0"/>
          <w:szCs w:val="21"/>
          <w:lang w:val="en-CA"/>
        </w:rPr>
        <w:t xml:space="preserve"> </w:t>
      </w:r>
      <w:r w:rsidRPr="002347E9">
        <w:rPr>
          <w:rFonts w:hint="eastAsia"/>
          <w:snapToGrid w:val="0"/>
          <w:szCs w:val="21"/>
          <w:lang w:val="en-CA"/>
        </w:rPr>
        <w:t>最惠国待遇还被纳入世贸组织关于与贸易有关的知识产权的新义务之下。因此，最惠国待遇广泛存在于世贸组织的整个系统中。</w:t>
      </w:r>
    </w:p>
    <w:p w:rsidR="00F53060" w:rsidRPr="002347E9" w:rsidRDefault="00F53060" w:rsidP="00F53060">
      <w:pPr>
        <w:pStyle w:val="SingleTxt"/>
        <w:rPr>
          <w:snapToGrid w:val="0"/>
          <w:szCs w:val="21"/>
          <w:lang w:val="en-CA"/>
        </w:rPr>
      </w:pPr>
      <w:r w:rsidRPr="002347E9">
        <w:rPr>
          <w:snapToGrid w:val="0"/>
          <w:szCs w:val="21"/>
          <w:lang w:val="en-CA"/>
        </w:rPr>
        <w:t>44.</w:t>
      </w:r>
      <w:r w:rsidRPr="002347E9">
        <w:rPr>
          <w:rFonts w:hint="eastAsia"/>
          <w:snapToGrid w:val="0"/>
          <w:szCs w:val="21"/>
          <w:lang w:val="en-CA"/>
        </w:rPr>
        <w:t xml:space="preserve">  </w:t>
      </w:r>
      <w:r w:rsidRPr="002347E9">
        <w:rPr>
          <w:rFonts w:hint="eastAsia"/>
          <w:snapToGrid w:val="0"/>
          <w:szCs w:val="21"/>
          <w:lang w:val="en-CA"/>
        </w:rPr>
        <w:t>研究组研究了关贸总协定和世贸组织对最惠国条款的适用。通过研究，可以就世贸组织系统内最惠国待遇的范围以及适用得出一些一般性结论。</w:t>
      </w:r>
    </w:p>
    <w:p w:rsidR="00F53060" w:rsidRPr="002347E9" w:rsidRDefault="00F53060" w:rsidP="00F53060">
      <w:pPr>
        <w:pStyle w:val="SingleTxt"/>
        <w:rPr>
          <w:snapToGrid w:val="0"/>
          <w:szCs w:val="21"/>
          <w:lang w:val="en-CA"/>
        </w:rPr>
      </w:pPr>
      <w:r w:rsidRPr="002347E9">
        <w:rPr>
          <w:snapToGrid w:val="0"/>
          <w:szCs w:val="21"/>
          <w:lang w:val="en-CA"/>
        </w:rPr>
        <w:t>45.</w:t>
      </w:r>
      <w:r w:rsidRPr="002347E9">
        <w:rPr>
          <w:rFonts w:hint="eastAsia"/>
          <w:snapToGrid w:val="0"/>
          <w:szCs w:val="21"/>
          <w:lang w:val="en-CA"/>
        </w:rPr>
        <w:t xml:space="preserve">  </w:t>
      </w:r>
      <w:r w:rsidRPr="002347E9">
        <w:rPr>
          <w:rFonts w:hint="eastAsia"/>
          <w:snapToGrid w:val="0"/>
          <w:szCs w:val="21"/>
          <w:lang w:val="en-CA"/>
        </w:rPr>
        <w:t>首先，虽然世贸组织中最惠国条款的措辞与关贸总协定中不同，但是上诉机构的方针是将二者视为具有相同的含义。</w:t>
      </w:r>
      <w:r w:rsidRPr="00953281">
        <w:rPr>
          <w:snapToGrid w:val="0"/>
          <w:w w:val="150"/>
          <w:szCs w:val="21"/>
          <w:vertAlign w:val="superscript"/>
          <w:lang w:val="en-CA" w:eastAsia="ja-JP"/>
        </w:rPr>
        <w:footnoteReference w:id="461"/>
      </w:r>
      <w:r w:rsidRPr="002347E9">
        <w:rPr>
          <w:snapToGrid w:val="0"/>
          <w:szCs w:val="21"/>
          <w:lang w:val="en-CA"/>
        </w:rPr>
        <w:t xml:space="preserve"> </w:t>
      </w:r>
      <w:r w:rsidRPr="002347E9">
        <w:rPr>
          <w:rFonts w:hint="eastAsia"/>
          <w:snapToGrid w:val="0"/>
          <w:szCs w:val="21"/>
          <w:lang w:val="en-CA"/>
        </w:rPr>
        <w:t>最惠国待遇的精神比字面上的解读更重要。</w:t>
      </w:r>
    </w:p>
    <w:p w:rsidR="00F53060" w:rsidRPr="002347E9" w:rsidRDefault="00F53060" w:rsidP="00F53060">
      <w:pPr>
        <w:pStyle w:val="SingleTxt"/>
        <w:rPr>
          <w:snapToGrid w:val="0"/>
          <w:szCs w:val="21"/>
          <w:lang w:val="en-CA"/>
        </w:rPr>
      </w:pPr>
      <w:r w:rsidRPr="002347E9">
        <w:rPr>
          <w:snapToGrid w:val="0"/>
          <w:szCs w:val="21"/>
          <w:lang w:val="en-CA"/>
        </w:rPr>
        <w:t xml:space="preserve">46. </w:t>
      </w:r>
      <w:r w:rsidRPr="002347E9">
        <w:rPr>
          <w:rFonts w:hint="eastAsia"/>
          <w:snapToGrid w:val="0"/>
          <w:szCs w:val="21"/>
          <w:lang w:val="en-CA"/>
        </w:rPr>
        <w:t xml:space="preserve"> </w:t>
      </w:r>
      <w:r w:rsidRPr="002347E9">
        <w:rPr>
          <w:rFonts w:hint="eastAsia"/>
          <w:snapToGrid w:val="0"/>
          <w:szCs w:val="21"/>
          <w:lang w:val="en-CA"/>
        </w:rPr>
        <w:t>第二，上诉机构将《关贸总协定》第</w:t>
      </w:r>
      <w:r w:rsidRPr="002347E9">
        <w:rPr>
          <w:rFonts w:hint="eastAsia"/>
          <w:snapToGrid w:val="0"/>
          <w:szCs w:val="21"/>
          <w:lang w:val="en-CA"/>
        </w:rPr>
        <w:t>1</w:t>
      </w:r>
      <w:r w:rsidRPr="002347E9">
        <w:rPr>
          <w:rFonts w:hint="eastAsia"/>
          <w:snapToGrid w:val="0"/>
          <w:szCs w:val="21"/>
          <w:lang w:val="en-CA"/>
        </w:rPr>
        <w:t>条下的最惠国待遇解读为具有</w:t>
      </w:r>
      <w:r w:rsidRPr="002347E9">
        <w:rPr>
          <w:rFonts w:hint="eastAsia"/>
          <w:snapToGrid w:val="0"/>
          <w:spacing w:val="-2"/>
          <w:szCs w:val="21"/>
          <w:lang w:val="en-CA"/>
        </w:rPr>
        <w:t>尽可能广泛的运用。上诉机构指出，“所有”好处、优惠和特权真的是指“所有”。</w:t>
      </w:r>
      <w:r w:rsidRPr="00953281">
        <w:rPr>
          <w:snapToGrid w:val="0"/>
          <w:spacing w:val="-2"/>
          <w:w w:val="150"/>
          <w:szCs w:val="21"/>
          <w:vertAlign w:val="superscript"/>
          <w:lang w:val="en-CA" w:eastAsia="ja-JP"/>
        </w:rPr>
        <w:footnoteReference w:id="462"/>
      </w:r>
      <w:r>
        <w:rPr>
          <w:rFonts w:hint="eastAsia"/>
          <w:snapToGrid w:val="0"/>
          <w:spacing w:val="-2"/>
          <w:szCs w:val="21"/>
          <w:lang w:val="en-CA"/>
        </w:rPr>
        <w:t xml:space="preserve"> </w:t>
      </w:r>
      <w:r w:rsidRPr="002347E9">
        <w:rPr>
          <w:rFonts w:hint="eastAsia"/>
          <w:snapToGrid w:val="0"/>
          <w:szCs w:val="21"/>
          <w:lang w:val="en-CA"/>
        </w:rPr>
        <w:t>上诉机构尚未处理最惠国待遇是否既适用于实体权利，也适用于程序权利这一具体问题。</w:t>
      </w:r>
    </w:p>
    <w:p w:rsidR="00F53060" w:rsidRPr="002347E9" w:rsidRDefault="00F53060" w:rsidP="00F53060">
      <w:pPr>
        <w:pStyle w:val="SingleTxt"/>
        <w:rPr>
          <w:snapToGrid w:val="0"/>
          <w:szCs w:val="21"/>
          <w:lang w:val="en-CA"/>
        </w:rPr>
      </w:pPr>
      <w:r w:rsidRPr="002347E9">
        <w:rPr>
          <w:snapToGrid w:val="0"/>
          <w:szCs w:val="21"/>
          <w:lang w:val="en-CA"/>
        </w:rPr>
        <w:t>47.</w:t>
      </w:r>
      <w:r w:rsidRPr="002347E9">
        <w:rPr>
          <w:rFonts w:hint="eastAsia"/>
          <w:snapToGrid w:val="0"/>
          <w:szCs w:val="21"/>
          <w:lang w:val="en-CA"/>
        </w:rPr>
        <w:t xml:space="preserve">  </w:t>
      </w:r>
      <w:r w:rsidRPr="002347E9">
        <w:rPr>
          <w:rFonts w:hint="eastAsia"/>
          <w:snapToGrid w:val="0"/>
          <w:szCs w:val="21"/>
          <w:lang w:val="en-CA"/>
        </w:rPr>
        <w:t>第三，虽然最惠国待遇原本应该是无条件的，但是世贸组织的所有协定都载有适用最惠国待遇的例外情况，因此其实际运用比看起来更加有限。针对关税同盟和自由贸易区、</w:t>
      </w:r>
      <w:r w:rsidRPr="00953281">
        <w:rPr>
          <w:snapToGrid w:val="0"/>
          <w:w w:val="150"/>
          <w:szCs w:val="21"/>
          <w:vertAlign w:val="superscript"/>
          <w:lang w:val="en-CA" w:eastAsia="ja-JP"/>
        </w:rPr>
        <w:footnoteReference w:id="463"/>
      </w:r>
      <w:r w:rsidRPr="002347E9">
        <w:rPr>
          <w:snapToGrid w:val="0"/>
          <w:szCs w:val="21"/>
          <w:lang w:val="en-CA"/>
        </w:rPr>
        <w:t xml:space="preserve"> </w:t>
      </w:r>
      <w:r w:rsidRPr="002347E9">
        <w:rPr>
          <w:rFonts w:hint="eastAsia"/>
          <w:snapToGrid w:val="0"/>
          <w:szCs w:val="21"/>
          <w:lang w:val="en-CA"/>
        </w:rPr>
        <w:t>保障措施以及其他贸易补救的例外，一般例外以及关于“特殊和优惠待遇”的规定都限制了世贸组织协定下最惠国待遇的实际范围。虽然上诉机构</w:t>
      </w:r>
      <w:r w:rsidRPr="002347E9">
        <w:rPr>
          <w:rFonts w:hint="eastAsia"/>
          <w:snapToGrid w:val="0"/>
          <w:szCs w:val="21"/>
          <w:lang w:val="en-CA"/>
        </w:rPr>
        <w:lastRenderedPageBreak/>
        <w:t>经常对例外作出狭义的解释，</w:t>
      </w:r>
      <w:r w:rsidRPr="00953281">
        <w:rPr>
          <w:snapToGrid w:val="0"/>
          <w:w w:val="150"/>
          <w:szCs w:val="21"/>
          <w:vertAlign w:val="superscript"/>
          <w:lang w:val="en-CA" w:eastAsia="ja-JP"/>
        </w:rPr>
        <w:footnoteReference w:id="464"/>
      </w:r>
      <w:r w:rsidRPr="002347E9">
        <w:rPr>
          <w:snapToGrid w:val="0"/>
          <w:szCs w:val="21"/>
          <w:lang w:val="en-CA"/>
        </w:rPr>
        <w:t xml:space="preserve"> </w:t>
      </w:r>
      <w:r w:rsidRPr="002347E9">
        <w:rPr>
          <w:rFonts w:hint="eastAsia"/>
          <w:snapToGrid w:val="0"/>
          <w:szCs w:val="21"/>
          <w:lang w:val="en-CA"/>
        </w:rPr>
        <w:t>但是例外的范围和覆盖面还是经常限制世贸组织协定下最惠国待遇的范围及适用。</w:t>
      </w:r>
    </w:p>
    <w:p w:rsidR="00F53060" w:rsidRPr="002347E9" w:rsidRDefault="00F53060" w:rsidP="00F53060">
      <w:pPr>
        <w:pStyle w:val="SingleTxt"/>
        <w:rPr>
          <w:snapToGrid w:val="0"/>
          <w:szCs w:val="21"/>
          <w:lang w:val="en-CA"/>
        </w:rPr>
      </w:pPr>
      <w:r w:rsidRPr="002347E9">
        <w:rPr>
          <w:snapToGrid w:val="0"/>
          <w:szCs w:val="21"/>
          <w:lang w:val="en-CA"/>
        </w:rPr>
        <w:t>48.</w:t>
      </w:r>
      <w:r w:rsidRPr="002347E9">
        <w:rPr>
          <w:rFonts w:hint="eastAsia"/>
          <w:snapToGrid w:val="0"/>
          <w:szCs w:val="21"/>
          <w:lang w:val="en-CA"/>
        </w:rPr>
        <w:t xml:space="preserve">  </w:t>
      </w:r>
      <w:r w:rsidRPr="002347E9">
        <w:rPr>
          <w:rFonts w:hint="eastAsia"/>
          <w:snapToGrid w:val="0"/>
          <w:szCs w:val="21"/>
          <w:lang w:val="en-CA"/>
        </w:rPr>
        <w:t>鉴于世贸组织系统的特殊性质，再加上它有自己的一套协定以及解释和适用这些协定的争端解决程序，世贸组织对最惠国条款的解释不太会直接影响其他协定中最惠国条款的解释。不论其他情况下如何解释最惠国条款，世贸组织系统都可以按自己的一套方式解释最惠国待遇。</w:t>
      </w:r>
    </w:p>
    <w:p w:rsidR="00F53060" w:rsidRPr="002347E9" w:rsidRDefault="00F53060" w:rsidP="00F53060">
      <w:pPr>
        <w:pStyle w:val="SingleTxt"/>
        <w:rPr>
          <w:snapToGrid w:val="0"/>
          <w:szCs w:val="21"/>
          <w:lang w:val="en-CA"/>
        </w:rPr>
      </w:pPr>
      <w:r w:rsidRPr="002347E9">
        <w:rPr>
          <w:snapToGrid w:val="0"/>
          <w:szCs w:val="21"/>
          <w:lang w:val="en-CA"/>
        </w:rPr>
        <w:t>49.</w:t>
      </w:r>
      <w:r w:rsidRPr="002347E9">
        <w:rPr>
          <w:rFonts w:hint="eastAsia"/>
          <w:snapToGrid w:val="0"/>
          <w:szCs w:val="21"/>
          <w:lang w:val="en-CA"/>
        </w:rPr>
        <w:t xml:space="preserve">  </w:t>
      </w:r>
      <w:r w:rsidRPr="002347E9">
        <w:rPr>
          <w:rFonts w:hint="eastAsia"/>
          <w:snapToGrid w:val="0"/>
          <w:szCs w:val="21"/>
          <w:lang w:val="en-CA"/>
        </w:rPr>
        <w:t>不过，世贸组织系统内的最惠国待遇也不完全局限在该系统内。它也可以适用于世贸组织协定以外的文书。在世贸组织成立前，就出现了这一问题：《关贸总协定》的缔约方是否可以凭借最惠国条款，要求获得其尚未加入的东京回合“守则”提供的好处。这个问题一直没有解决。现在的问题是：对于一个与世贸组织协定有关、但并非其组成部分的“诸边协议”，未加入该协议的世贸组织成员能否凭借最惠国条款，要求获得该诸边协议给予的好处。同样，这个问题也尚未解决。</w:t>
      </w:r>
    </w:p>
    <w:p w:rsidR="00F53060" w:rsidRPr="002347E9" w:rsidRDefault="00F53060" w:rsidP="00F53060">
      <w:pPr>
        <w:pStyle w:val="SingleTxt"/>
        <w:rPr>
          <w:snapToGrid w:val="0"/>
          <w:szCs w:val="21"/>
          <w:lang w:val="en-CA"/>
        </w:rPr>
      </w:pPr>
      <w:r w:rsidRPr="002347E9">
        <w:rPr>
          <w:snapToGrid w:val="0"/>
          <w:szCs w:val="21"/>
        </w:rPr>
        <w:t>50.</w:t>
      </w:r>
      <w:r w:rsidRPr="002347E9">
        <w:rPr>
          <w:rFonts w:hint="eastAsia"/>
          <w:snapToGrid w:val="0"/>
          <w:szCs w:val="21"/>
        </w:rPr>
        <w:t xml:space="preserve">  </w:t>
      </w:r>
      <w:r w:rsidRPr="002347E9">
        <w:rPr>
          <w:rFonts w:hint="eastAsia"/>
          <w:snapToGrid w:val="0"/>
          <w:szCs w:val="21"/>
        </w:rPr>
        <w:t>《服务贸易总协定》中的最惠国规定也出现了相关问题。《服务贸易总协定》下</w:t>
      </w:r>
      <w:r w:rsidRPr="002347E9">
        <w:rPr>
          <w:rFonts w:hint="eastAsia"/>
          <w:snapToGrid w:val="0"/>
          <w:szCs w:val="21"/>
          <w:lang w:val="en-CA"/>
        </w:rPr>
        <w:t>的服务贸易包括一个成员的供应商通过自然人在另一个成员境内的商业存在提供服务。</w:t>
      </w:r>
      <w:r w:rsidRPr="00953281">
        <w:rPr>
          <w:snapToGrid w:val="0"/>
          <w:w w:val="150"/>
          <w:szCs w:val="21"/>
          <w:vertAlign w:val="superscript"/>
          <w:lang w:val="en-CA" w:eastAsia="ja-JP"/>
        </w:rPr>
        <w:footnoteReference w:id="465"/>
      </w:r>
      <w:r w:rsidRPr="002347E9">
        <w:rPr>
          <w:snapToGrid w:val="0"/>
          <w:szCs w:val="21"/>
          <w:lang w:val="en-CA"/>
        </w:rPr>
        <w:t xml:space="preserve"> </w:t>
      </w:r>
      <w:r w:rsidRPr="002347E9">
        <w:rPr>
          <w:rFonts w:hint="eastAsia"/>
          <w:snapToGrid w:val="0"/>
          <w:szCs w:val="21"/>
          <w:lang w:val="en-CA"/>
        </w:rPr>
        <w:t>《服务贸易总协定》第</w:t>
      </w:r>
      <w:r w:rsidRPr="002347E9">
        <w:rPr>
          <w:rFonts w:hint="eastAsia"/>
          <w:snapToGrid w:val="0"/>
          <w:szCs w:val="21"/>
          <w:lang w:val="en-CA"/>
        </w:rPr>
        <w:t>2</w:t>
      </w:r>
      <w:r w:rsidRPr="002347E9">
        <w:rPr>
          <w:rFonts w:hint="eastAsia"/>
          <w:snapToGrid w:val="0"/>
          <w:szCs w:val="21"/>
          <w:lang w:val="en-CA"/>
        </w:rPr>
        <w:t>条规定：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“在本协定项下的任何措施方面，各成员应立即和无条件地予任何其他成员的服务和服务提供者以不低于其给予任何其他国家相同的服务和服务提供者的待遇。”</w:t>
      </w:r>
    </w:p>
    <w:p w:rsidR="00F53060" w:rsidRPr="002347E9" w:rsidRDefault="00F53060" w:rsidP="00F53060">
      <w:pPr>
        <w:pStyle w:val="SingleTxt"/>
        <w:rPr>
          <w:snapToGrid w:val="0"/>
          <w:szCs w:val="21"/>
          <w:lang w:val="en-CA"/>
        </w:rPr>
      </w:pPr>
      <w:r w:rsidRPr="002347E9">
        <w:rPr>
          <w:snapToGrid w:val="0"/>
          <w:szCs w:val="21"/>
          <w:lang w:val="en-CA"/>
        </w:rPr>
        <w:t>51.</w:t>
      </w:r>
      <w:r w:rsidRPr="002347E9">
        <w:rPr>
          <w:rFonts w:hint="eastAsia"/>
          <w:snapToGrid w:val="0"/>
          <w:szCs w:val="21"/>
          <w:lang w:val="en-CA"/>
        </w:rPr>
        <w:t xml:space="preserve">  </w:t>
      </w:r>
      <w:r w:rsidRPr="002347E9">
        <w:rPr>
          <w:rFonts w:hint="eastAsia"/>
          <w:snapToGrid w:val="0"/>
          <w:szCs w:val="21"/>
          <w:lang w:val="en-CA"/>
        </w:rPr>
        <w:t>与第三国的双边投资条约中出现的影响服务提供商的措施可能属于第</w:t>
      </w:r>
      <w:r w:rsidRPr="002347E9">
        <w:rPr>
          <w:rFonts w:hint="eastAsia"/>
          <w:snapToGrid w:val="0"/>
          <w:szCs w:val="21"/>
          <w:lang w:val="en-CA"/>
        </w:rPr>
        <w:t>2</w:t>
      </w:r>
      <w:r w:rsidRPr="002347E9">
        <w:rPr>
          <w:rFonts w:hint="eastAsia"/>
          <w:snapToGrid w:val="0"/>
          <w:szCs w:val="21"/>
          <w:lang w:val="en-CA"/>
        </w:rPr>
        <w:t>条的范畴。换言之，问题是世贸组织的一个成员如果发现另一个成员在与第三国的双边投资条约中给予该第三国的服务提供商更优惠的待遇，是否可以援引《服务贸易总协定》第</w:t>
      </w:r>
      <w:r w:rsidRPr="002347E9">
        <w:rPr>
          <w:rFonts w:hint="eastAsia"/>
          <w:snapToGrid w:val="0"/>
          <w:szCs w:val="21"/>
          <w:lang w:val="en-CA"/>
        </w:rPr>
        <w:t>2</w:t>
      </w:r>
      <w:r w:rsidRPr="002347E9">
        <w:rPr>
          <w:rFonts w:hint="eastAsia"/>
          <w:snapToGrid w:val="0"/>
          <w:szCs w:val="21"/>
          <w:lang w:val="en-CA"/>
        </w:rPr>
        <w:t>条，要求获得该双边投资条约中规定的好处。研究组尚未发现这方面的实践或判例。</w:t>
      </w:r>
    </w:p>
    <w:p w:rsidR="00F53060" w:rsidRPr="002347E9" w:rsidRDefault="00F53060" w:rsidP="00F53060">
      <w:pPr>
        <w:pStyle w:val="SingleTxt"/>
        <w:rPr>
          <w:snapToGrid w:val="0"/>
          <w:szCs w:val="21"/>
          <w:lang w:val="en-CA"/>
        </w:rPr>
      </w:pPr>
      <w:r w:rsidRPr="002347E9">
        <w:rPr>
          <w:snapToGrid w:val="0"/>
          <w:szCs w:val="21"/>
          <w:lang w:val="en-CA"/>
        </w:rPr>
        <w:t>52.</w:t>
      </w:r>
      <w:r w:rsidRPr="002347E9">
        <w:rPr>
          <w:rFonts w:hint="eastAsia"/>
          <w:snapToGrid w:val="0"/>
          <w:szCs w:val="21"/>
          <w:lang w:val="en-CA"/>
        </w:rPr>
        <w:t xml:space="preserve">  </w:t>
      </w:r>
      <w:r w:rsidRPr="002347E9">
        <w:rPr>
          <w:rFonts w:hint="eastAsia"/>
          <w:snapToGrid w:val="0"/>
          <w:szCs w:val="21"/>
          <w:lang w:val="en-CA"/>
        </w:rPr>
        <w:t>虽然世贸组织下的最惠国待遇方面存在尚未解决的问题，今后可能会引起争议，</w:t>
      </w:r>
      <w:r w:rsidRPr="00953281">
        <w:rPr>
          <w:rFonts w:hint="eastAsia"/>
          <w:snapToGrid w:val="0"/>
          <w:spacing w:val="2"/>
          <w:szCs w:val="21"/>
          <w:lang w:val="en-CA"/>
        </w:rPr>
        <w:t>但是研究组认为现在研究这些问题可能不会有什么帮助。世贸组织有自己的争端解决机制，世贸组织的协定依据《维也纳条约法公约》第三十一条和第三十二条解释。</w:t>
      </w:r>
      <w:r w:rsidRPr="00953281">
        <w:rPr>
          <w:snapToGrid w:val="0"/>
          <w:spacing w:val="2"/>
          <w:w w:val="150"/>
          <w:szCs w:val="21"/>
          <w:vertAlign w:val="superscript"/>
          <w:lang w:val="en-CA" w:eastAsia="ja-JP"/>
        </w:rPr>
        <w:footnoteReference w:id="466"/>
      </w:r>
      <w:r w:rsidRPr="002347E9">
        <w:rPr>
          <w:snapToGrid w:val="0"/>
          <w:szCs w:val="21"/>
          <w:lang w:val="en-CA"/>
        </w:rPr>
        <w:t xml:space="preserve"> </w:t>
      </w:r>
      <w:r w:rsidRPr="002347E9">
        <w:rPr>
          <w:rFonts w:hint="eastAsia"/>
          <w:snapToGrid w:val="0"/>
          <w:szCs w:val="21"/>
          <w:lang w:val="en-CA"/>
        </w:rPr>
        <w:t>存在上诉机构确保了可以重新审议专家小组对不同协定中最惠国条款的解释，如有必要可以推翻原解释。</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2.</w:t>
      </w:r>
      <w:r w:rsidRPr="002347E9">
        <w:rPr>
          <w:lang w:val="en-CA"/>
        </w:rPr>
        <w:tab/>
      </w:r>
      <w:r w:rsidRPr="002347E9">
        <w:rPr>
          <w:rFonts w:hint="eastAsia"/>
          <w:lang w:val="en-CA"/>
        </w:rPr>
        <w:t>其他贸易协定中的最惠国条款</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snapToGrid w:val="0"/>
          <w:szCs w:val="21"/>
          <w:lang w:val="en-CA"/>
        </w:rPr>
        <w:t>53.</w:t>
      </w:r>
      <w:r w:rsidRPr="002347E9">
        <w:rPr>
          <w:rFonts w:hint="eastAsia"/>
          <w:snapToGrid w:val="0"/>
          <w:szCs w:val="21"/>
          <w:lang w:val="en-CA"/>
        </w:rPr>
        <w:t xml:space="preserve">  </w:t>
      </w:r>
      <w:r w:rsidRPr="002347E9">
        <w:rPr>
          <w:rFonts w:hint="eastAsia"/>
          <w:snapToGrid w:val="0"/>
          <w:szCs w:val="21"/>
          <w:lang w:val="en-CA"/>
        </w:rPr>
        <w:t>区域和双边贸易协定</w:t>
      </w:r>
      <w:r w:rsidRPr="00953281">
        <w:rPr>
          <w:snapToGrid w:val="0"/>
          <w:w w:val="150"/>
          <w:szCs w:val="21"/>
          <w:vertAlign w:val="superscript"/>
          <w:lang w:val="en-CA" w:eastAsia="ja-JP"/>
        </w:rPr>
        <w:footnoteReference w:id="467"/>
      </w:r>
      <w:r w:rsidRPr="002347E9">
        <w:rPr>
          <w:rFonts w:hint="eastAsia"/>
          <w:snapToGrid w:val="0"/>
          <w:szCs w:val="21"/>
          <w:lang w:val="en-CA"/>
        </w:rPr>
        <w:t>通常不包含货物贸易方面的最惠国规定。这类协定已经向所有缔约方提供关税待遇方面的优待，所以最惠国待遇意义不大，倒是国民待遇</w:t>
      </w:r>
      <w:r w:rsidRPr="002347E9">
        <w:rPr>
          <w:rFonts w:hint="eastAsia"/>
          <w:snapToGrid w:val="0"/>
          <w:szCs w:val="21"/>
          <w:lang w:val="en-CA"/>
        </w:rPr>
        <w:lastRenderedPageBreak/>
        <w:t>很重要。不过，一些区域协定载有关于货物贸易的某种形式的最惠国条款，规定如果最惠国关税下降，一旦低于区域贸易协定的协定关税，则应当予以其他缔约方这一关税水平。</w:t>
      </w:r>
      <w:r w:rsidRPr="00953281">
        <w:rPr>
          <w:snapToGrid w:val="0"/>
          <w:w w:val="150"/>
          <w:szCs w:val="21"/>
          <w:vertAlign w:val="superscript"/>
          <w:lang w:val="en-CA" w:eastAsia="ja-JP"/>
        </w:rPr>
        <w:footnoteReference w:id="468"/>
      </w:r>
      <w:r w:rsidRPr="002347E9">
        <w:rPr>
          <w:snapToGrid w:val="0"/>
          <w:szCs w:val="21"/>
          <w:lang w:val="en-CA"/>
        </w:rPr>
        <w:t xml:space="preserve"> </w:t>
      </w:r>
    </w:p>
    <w:p w:rsidR="00F53060" w:rsidRPr="002347E9" w:rsidRDefault="00F53060" w:rsidP="00F53060">
      <w:pPr>
        <w:pStyle w:val="SingleTxt"/>
        <w:rPr>
          <w:snapToGrid w:val="0"/>
          <w:szCs w:val="21"/>
          <w:lang w:val="en-CA"/>
        </w:rPr>
      </w:pPr>
      <w:r w:rsidRPr="002347E9">
        <w:rPr>
          <w:snapToGrid w:val="0"/>
          <w:szCs w:val="21"/>
          <w:lang w:val="en-CA"/>
        </w:rPr>
        <w:t>54.</w:t>
      </w:r>
      <w:r w:rsidRPr="002347E9">
        <w:rPr>
          <w:rFonts w:hint="eastAsia"/>
          <w:snapToGrid w:val="0"/>
          <w:szCs w:val="21"/>
          <w:lang w:val="en-CA"/>
        </w:rPr>
        <w:t xml:space="preserve">  </w:t>
      </w:r>
      <w:r w:rsidRPr="00953281">
        <w:rPr>
          <w:rFonts w:hint="eastAsia"/>
          <w:snapToGrid w:val="0"/>
          <w:spacing w:val="2"/>
          <w:szCs w:val="21"/>
          <w:lang w:val="en-CA"/>
        </w:rPr>
        <w:t>相反，贸易领域外的区域或双边经济协定规定了服务和投资方面的最惠国待遇。</w:t>
      </w:r>
      <w:r w:rsidRPr="00953281">
        <w:rPr>
          <w:snapToGrid w:val="0"/>
          <w:spacing w:val="2"/>
          <w:w w:val="150"/>
          <w:szCs w:val="21"/>
          <w:vertAlign w:val="superscript"/>
          <w:lang w:val="en-CA" w:eastAsia="ja-JP"/>
        </w:rPr>
        <w:footnoteReference w:id="469"/>
      </w:r>
      <w:r w:rsidRPr="00953281">
        <w:rPr>
          <w:snapToGrid w:val="0"/>
          <w:spacing w:val="2"/>
          <w:szCs w:val="21"/>
          <w:lang w:val="en-CA"/>
        </w:rPr>
        <w:t xml:space="preserve"> </w:t>
      </w:r>
      <w:r w:rsidRPr="002347E9">
        <w:rPr>
          <w:rFonts w:hint="eastAsia"/>
          <w:snapToGrid w:val="0"/>
          <w:szCs w:val="21"/>
          <w:lang w:val="en-CA"/>
        </w:rPr>
        <w:t>在这方面，它们与世贸组织的服务或双边投资协定没有什么不同。对于这类协定，最惠国待遇的解释方法应当与双边投资协定的解释方法相同。不过，目前似乎还没有关于这些规定的司法评注，学术界也基本上没有这方面的分析。</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eastAsia="ja-JP"/>
        </w:rPr>
      </w:pPr>
      <w:r w:rsidRPr="002347E9">
        <w:rPr>
          <w:rFonts w:hint="eastAsia"/>
          <w:lang w:val="en-CA"/>
        </w:rPr>
        <w:tab/>
      </w:r>
      <w:r w:rsidRPr="002347E9">
        <w:rPr>
          <w:lang w:val="en-CA"/>
        </w:rPr>
        <w:t>3.</w:t>
      </w:r>
      <w:r w:rsidRPr="002347E9">
        <w:rPr>
          <w:lang w:val="en-CA"/>
        </w:rPr>
        <w:tab/>
      </w:r>
      <w:r w:rsidRPr="002347E9">
        <w:rPr>
          <w:rFonts w:hint="eastAsia"/>
          <w:lang w:val="en-CA"/>
        </w:rPr>
        <w:t>投资条约中的最惠国条款</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SingleTxt"/>
        <w:spacing w:after="0" w:line="120" w:lineRule="exact"/>
        <w:rPr>
          <w:snapToGrid w:val="0"/>
          <w:sz w:val="10"/>
          <w:szCs w:val="21"/>
          <w:lang w:val="en-CA"/>
        </w:rPr>
      </w:pPr>
    </w:p>
    <w:p w:rsidR="00F53060" w:rsidRPr="002347E9" w:rsidRDefault="00F53060" w:rsidP="00F53060">
      <w:pPr>
        <w:pStyle w:val="SingleTxt"/>
        <w:rPr>
          <w:snapToGrid w:val="0"/>
          <w:szCs w:val="21"/>
          <w:lang w:val="en-CA"/>
        </w:rPr>
      </w:pPr>
      <w:r w:rsidRPr="002347E9">
        <w:rPr>
          <w:snapToGrid w:val="0"/>
          <w:szCs w:val="21"/>
          <w:lang w:val="en-CA"/>
        </w:rPr>
        <w:t>55.</w:t>
      </w:r>
      <w:r w:rsidRPr="002347E9">
        <w:rPr>
          <w:rFonts w:hint="eastAsia"/>
          <w:snapToGrid w:val="0"/>
          <w:szCs w:val="21"/>
          <w:lang w:val="en-CA"/>
        </w:rPr>
        <w:t xml:space="preserve">  </w:t>
      </w:r>
      <w:r w:rsidRPr="002347E9">
        <w:rPr>
          <w:rFonts w:hint="eastAsia"/>
          <w:snapToGrid w:val="0"/>
          <w:szCs w:val="21"/>
          <w:lang w:val="en-CA"/>
        </w:rPr>
        <w:t>长期以来，投资协定一直规定了提供最惠国待遇的义务。早期的友好、通商和航海条约中就有这类义务，并延续到现代的双边投资条约以及包含投资条款的区域贸易协定中。与《关贸总协定》一样，双边投资条约也将最惠国待遇和国民待遇作为基本义务列入其中。</w:t>
      </w:r>
    </w:p>
    <w:p w:rsidR="00F53060" w:rsidRPr="002347E9" w:rsidRDefault="00F53060" w:rsidP="00F53060">
      <w:pPr>
        <w:pStyle w:val="SingleTxt"/>
        <w:rPr>
          <w:snapToGrid w:val="0"/>
          <w:szCs w:val="21"/>
          <w:lang w:val="en-CA"/>
        </w:rPr>
      </w:pPr>
      <w:r w:rsidRPr="002347E9">
        <w:rPr>
          <w:snapToGrid w:val="0"/>
          <w:szCs w:val="21"/>
          <w:lang w:val="en-CA"/>
        </w:rPr>
        <w:t>56.</w:t>
      </w:r>
      <w:r w:rsidRPr="002347E9">
        <w:rPr>
          <w:rFonts w:hint="eastAsia"/>
          <w:snapToGrid w:val="0"/>
          <w:szCs w:val="21"/>
          <w:lang w:val="en-CA"/>
        </w:rPr>
        <w:t xml:space="preserve">  </w:t>
      </w:r>
      <w:r w:rsidRPr="002347E9">
        <w:rPr>
          <w:rFonts w:hint="eastAsia"/>
          <w:snapToGrid w:val="0"/>
          <w:szCs w:val="21"/>
          <w:lang w:val="en-CA"/>
        </w:rPr>
        <w:t>虽然各项投资协定中最惠国条款的措辞不同，但是基本体现了《关贸总协定》第</w:t>
      </w:r>
      <w:r w:rsidRPr="002347E9">
        <w:rPr>
          <w:rFonts w:hint="eastAsia"/>
          <w:snapToGrid w:val="0"/>
          <w:szCs w:val="21"/>
          <w:lang w:val="en-CA"/>
        </w:rPr>
        <w:t>2</w:t>
      </w:r>
      <w:r w:rsidRPr="002347E9">
        <w:rPr>
          <w:rFonts w:hint="eastAsia"/>
          <w:snapToGrid w:val="0"/>
          <w:szCs w:val="21"/>
          <w:lang w:val="en-CA"/>
        </w:rPr>
        <w:t>条采用的“待遇不低于”的意思。例如，</w:t>
      </w:r>
      <w:r w:rsidRPr="002347E9">
        <w:rPr>
          <w:rFonts w:hint="eastAsia"/>
          <w:snapToGrid w:val="0"/>
          <w:szCs w:val="21"/>
          <w:lang w:val="en-CA"/>
        </w:rPr>
        <w:t>1990</w:t>
      </w:r>
      <w:r w:rsidRPr="002347E9">
        <w:rPr>
          <w:rFonts w:hint="eastAsia"/>
          <w:snapToGrid w:val="0"/>
          <w:szCs w:val="21"/>
          <w:lang w:val="en-CA"/>
        </w:rPr>
        <w:t>年</w:t>
      </w:r>
      <w:r w:rsidRPr="002347E9">
        <w:rPr>
          <w:rFonts w:hint="eastAsia"/>
          <w:snapToGrid w:val="0"/>
          <w:szCs w:val="21"/>
          <w:lang w:val="en-CA"/>
        </w:rPr>
        <w:t>10</w:t>
      </w:r>
      <w:r w:rsidRPr="002347E9">
        <w:rPr>
          <w:rFonts w:hint="eastAsia"/>
          <w:snapToGrid w:val="0"/>
          <w:szCs w:val="21"/>
          <w:lang w:val="en-CA"/>
        </w:rPr>
        <w:t>月</w:t>
      </w:r>
      <w:r w:rsidRPr="002347E9">
        <w:rPr>
          <w:rFonts w:hint="eastAsia"/>
          <w:snapToGrid w:val="0"/>
          <w:szCs w:val="21"/>
          <w:lang w:val="en-CA"/>
        </w:rPr>
        <w:t>15</w:t>
      </w:r>
      <w:r w:rsidRPr="002347E9">
        <w:rPr>
          <w:rFonts w:hint="eastAsia"/>
          <w:snapToGrid w:val="0"/>
          <w:szCs w:val="21"/>
          <w:lang w:val="en-CA"/>
        </w:rPr>
        <w:t>日奥地利与捷克斯洛伐克共和国的协定规定：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“每个缔约方予以缔约另一方投资者的待遇不得低于其予以本国投资者或第三国投资者及其投资的待遇。”</w:t>
      </w:r>
      <w:r w:rsidRPr="00953281">
        <w:rPr>
          <w:snapToGrid w:val="0"/>
          <w:w w:val="150"/>
          <w:szCs w:val="21"/>
          <w:vertAlign w:val="superscript"/>
          <w:lang w:val="en-CA" w:eastAsia="ja-JP"/>
        </w:rPr>
        <w:footnoteReference w:id="470"/>
      </w:r>
    </w:p>
    <w:p w:rsidR="00F53060" w:rsidRPr="002347E9" w:rsidRDefault="00F53060" w:rsidP="00F53060">
      <w:pPr>
        <w:pStyle w:val="SingleTxt"/>
        <w:rPr>
          <w:snapToGrid w:val="0"/>
          <w:szCs w:val="21"/>
          <w:lang w:val="en-CA"/>
        </w:rPr>
      </w:pPr>
      <w:r w:rsidRPr="002347E9">
        <w:rPr>
          <w:snapToGrid w:val="0"/>
          <w:szCs w:val="21"/>
          <w:lang w:val="en-CA"/>
        </w:rPr>
        <w:t>57.</w:t>
      </w:r>
      <w:r w:rsidRPr="002347E9">
        <w:rPr>
          <w:rFonts w:hint="eastAsia"/>
          <w:snapToGrid w:val="0"/>
          <w:szCs w:val="21"/>
          <w:lang w:val="en-CA"/>
        </w:rPr>
        <w:t xml:space="preserve">  </w:t>
      </w:r>
      <w:r w:rsidRPr="002347E9">
        <w:rPr>
          <w:rFonts w:hint="eastAsia"/>
          <w:snapToGrid w:val="0"/>
          <w:szCs w:val="21"/>
          <w:lang w:val="en-CA"/>
        </w:rPr>
        <w:t>有时，最惠国条款既包括提供最惠国待遇的义务，又包括提供国民待遇的义务。例如，</w:t>
      </w:r>
      <w:r w:rsidRPr="002347E9">
        <w:rPr>
          <w:rFonts w:hint="eastAsia"/>
          <w:snapToGrid w:val="0"/>
          <w:szCs w:val="21"/>
          <w:lang w:val="en-CA"/>
        </w:rPr>
        <w:t>1990</w:t>
      </w:r>
      <w:r w:rsidRPr="002347E9">
        <w:rPr>
          <w:rFonts w:hint="eastAsia"/>
          <w:snapToGrid w:val="0"/>
          <w:szCs w:val="21"/>
          <w:lang w:val="en-CA"/>
        </w:rPr>
        <w:t>年</w:t>
      </w:r>
      <w:r w:rsidRPr="002347E9">
        <w:rPr>
          <w:rFonts w:hint="eastAsia"/>
          <w:snapToGrid w:val="0"/>
          <w:szCs w:val="21"/>
          <w:lang w:val="en-CA"/>
        </w:rPr>
        <w:t>12</w:t>
      </w:r>
      <w:r w:rsidRPr="002347E9">
        <w:rPr>
          <w:rFonts w:hint="eastAsia"/>
          <w:snapToGrid w:val="0"/>
          <w:szCs w:val="21"/>
          <w:lang w:val="en-CA"/>
        </w:rPr>
        <w:t>月</w:t>
      </w:r>
      <w:r w:rsidRPr="002347E9">
        <w:rPr>
          <w:rFonts w:hint="eastAsia"/>
          <w:snapToGrid w:val="0"/>
          <w:szCs w:val="21"/>
          <w:lang w:val="en-CA"/>
        </w:rPr>
        <w:t>11</w:t>
      </w:r>
      <w:r w:rsidRPr="002347E9">
        <w:rPr>
          <w:rFonts w:hint="eastAsia"/>
          <w:snapToGrid w:val="0"/>
          <w:szCs w:val="21"/>
          <w:lang w:val="en-CA"/>
        </w:rPr>
        <w:t>日阿根廷与联合王国的协定规定：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“缔约任何一方在其领土内给予缔约另一方投资者或公司的投资或收益的待遇不应低于其给予本国投资者或公司的投资或收益或其给予任何第三国国民或公司的投资或收益的待遇。”</w:t>
      </w:r>
      <w:r w:rsidRPr="00953281">
        <w:rPr>
          <w:snapToGrid w:val="0"/>
          <w:w w:val="150"/>
          <w:szCs w:val="21"/>
          <w:vertAlign w:val="superscript"/>
          <w:lang w:val="en-CA" w:eastAsia="ja-JP"/>
        </w:rPr>
        <w:footnoteReference w:id="471"/>
      </w:r>
    </w:p>
    <w:p w:rsidR="00F53060" w:rsidRPr="002347E9" w:rsidRDefault="00F53060" w:rsidP="00F53060">
      <w:pPr>
        <w:pStyle w:val="SingleTxt"/>
        <w:rPr>
          <w:snapToGrid w:val="0"/>
          <w:szCs w:val="21"/>
          <w:lang w:val="en-CA"/>
        </w:rPr>
      </w:pPr>
      <w:r w:rsidRPr="002347E9">
        <w:rPr>
          <w:snapToGrid w:val="0"/>
          <w:szCs w:val="21"/>
          <w:lang w:val="en-CA"/>
        </w:rPr>
        <w:t>58.</w:t>
      </w:r>
      <w:r w:rsidRPr="002347E9">
        <w:rPr>
          <w:rFonts w:hint="eastAsia"/>
          <w:snapToGrid w:val="0"/>
          <w:szCs w:val="21"/>
          <w:lang w:val="en-CA"/>
        </w:rPr>
        <w:t xml:space="preserve">  </w:t>
      </w:r>
      <w:r w:rsidRPr="002347E9">
        <w:rPr>
          <w:rFonts w:hint="eastAsia"/>
          <w:snapToGrid w:val="0"/>
          <w:szCs w:val="21"/>
          <w:lang w:val="en-CA"/>
        </w:rPr>
        <w:t>提供最惠国待遇的义务有时还体现为提供公正与公平待遇的义务。例如，</w:t>
      </w:r>
      <w:r w:rsidRPr="002347E9">
        <w:rPr>
          <w:rFonts w:hint="eastAsia"/>
          <w:snapToGrid w:val="0"/>
          <w:szCs w:val="21"/>
          <w:lang w:val="en-CA"/>
        </w:rPr>
        <w:t>1994</w:t>
      </w:r>
      <w:r w:rsidRPr="002347E9">
        <w:rPr>
          <w:rFonts w:hint="eastAsia"/>
          <w:snapToGrid w:val="0"/>
          <w:szCs w:val="21"/>
          <w:lang w:val="en-CA"/>
        </w:rPr>
        <w:t>年</w:t>
      </w:r>
      <w:r w:rsidRPr="002347E9">
        <w:rPr>
          <w:rFonts w:hint="eastAsia"/>
          <w:snapToGrid w:val="0"/>
          <w:szCs w:val="21"/>
          <w:lang w:val="en-CA"/>
        </w:rPr>
        <w:t>6</w:t>
      </w:r>
      <w:r w:rsidRPr="002347E9">
        <w:rPr>
          <w:rFonts w:hint="eastAsia"/>
          <w:snapToGrid w:val="0"/>
          <w:szCs w:val="21"/>
          <w:lang w:val="en-CA"/>
        </w:rPr>
        <w:t>月</w:t>
      </w:r>
      <w:r w:rsidRPr="002347E9">
        <w:rPr>
          <w:rFonts w:hint="eastAsia"/>
          <w:snapToGrid w:val="0"/>
          <w:szCs w:val="21"/>
          <w:lang w:val="en-CA"/>
        </w:rPr>
        <w:t>9</w:t>
      </w:r>
      <w:r w:rsidRPr="002347E9">
        <w:rPr>
          <w:rFonts w:hint="eastAsia"/>
          <w:snapToGrid w:val="0"/>
          <w:szCs w:val="21"/>
          <w:lang w:val="en-CA"/>
        </w:rPr>
        <w:t>日中国与秘鲁的协定规定：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“缔约任何一方的投资者在缔约另一方领土内的投资和与投资有关的活动应受到公正与公平的待遇和保护。</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lastRenderedPageBreak/>
        <w:tab/>
      </w:r>
      <w:r w:rsidRPr="002347E9">
        <w:rPr>
          <w:rFonts w:hint="eastAsia"/>
          <w:snapToGrid w:val="0"/>
          <w:szCs w:val="21"/>
          <w:lang w:val="en-CA"/>
        </w:rPr>
        <w:t>本条第一款所述的待遇和保护，应不低于给予任何第三国投资者的投资和与投资者有关的活动的待遇和保护。”</w:t>
      </w:r>
      <w:r w:rsidRPr="00953281">
        <w:rPr>
          <w:snapToGrid w:val="0"/>
          <w:w w:val="150"/>
          <w:szCs w:val="21"/>
          <w:vertAlign w:val="superscript"/>
          <w:lang w:val="en-CA" w:eastAsia="ja-JP"/>
        </w:rPr>
        <w:footnoteReference w:id="472"/>
      </w:r>
    </w:p>
    <w:p w:rsidR="00F53060" w:rsidRPr="002347E9" w:rsidRDefault="00F53060" w:rsidP="00F53060">
      <w:pPr>
        <w:pStyle w:val="SingleTxt"/>
        <w:rPr>
          <w:snapToGrid w:val="0"/>
          <w:szCs w:val="21"/>
          <w:lang w:val="en-CA"/>
        </w:rPr>
      </w:pPr>
      <w:r w:rsidRPr="002347E9">
        <w:rPr>
          <w:snapToGrid w:val="0"/>
          <w:szCs w:val="21"/>
          <w:lang w:val="en-CA"/>
        </w:rPr>
        <w:t>59.</w:t>
      </w:r>
      <w:r w:rsidRPr="002347E9">
        <w:rPr>
          <w:rFonts w:hint="eastAsia"/>
          <w:snapToGrid w:val="0"/>
          <w:szCs w:val="21"/>
          <w:lang w:val="en-CA"/>
        </w:rPr>
        <w:t xml:space="preserve">  </w:t>
      </w:r>
      <w:r w:rsidRPr="002347E9">
        <w:rPr>
          <w:rFonts w:hint="eastAsia"/>
          <w:snapToGrid w:val="0"/>
          <w:szCs w:val="21"/>
          <w:lang w:val="en-CA"/>
        </w:rPr>
        <w:t>虽然双边投资条约中都载有提供最惠国待遇的义务，但是这种义务的表述各不相同。可以发现六种类型的义务，不过一些协定可能将不同类型的义务纳入同一条最惠国条款。</w:t>
      </w:r>
    </w:p>
    <w:p w:rsidR="00F53060" w:rsidRPr="002347E9" w:rsidRDefault="00F53060" w:rsidP="00F53060">
      <w:pPr>
        <w:pStyle w:val="SingleTxt"/>
        <w:rPr>
          <w:snapToGrid w:val="0"/>
          <w:szCs w:val="21"/>
          <w:lang w:val="en-CA"/>
        </w:rPr>
      </w:pPr>
      <w:r w:rsidRPr="002347E9">
        <w:rPr>
          <w:snapToGrid w:val="0"/>
          <w:szCs w:val="21"/>
          <w:lang w:val="en-CA"/>
        </w:rPr>
        <w:t>60.</w:t>
      </w:r>
      <w:r w:rsidRPr="002347E9">
        <w:rPr>
          <w:rFonts w:hint="eastAsia"/>
          <w:snapToGrid w:val="0"/>
          <w:szCs w:val="21"/>
          <w:lang w:val="en-CA"/>
        </w:rPr>
        <w:t xml:space="preserve">  </w:t>
      </w:r>
      <w:r w:rsidRPr="002347E9">
        <w:rPr>
          <w:rFonts w:hint="eastAsia"/>
          <w:snapToGrid w:val="0"/>
          <w:szCs w:val="21"/>
          <w:lang w:val="en-CA"/>
        </w:rPr>
        <w:t>第一类：最惠国义务只涉及给予投资者或投资的“待遇”，例如奥地利与捷克斯洛伐克共和国的协定。</w:t>
      </w:r>
    </w:p>
    <w:p w:rsidR="00F53060" w:rsidRPr="002347E9" w:rsidRDefault="00F53060" w:rsidP="00F53060">
      <w:pPr>
        <w:pStyle w:val="SingleTxt"/>
        <w:rPr>
          <w:snapToGrid w:val="0"/>
          <w:szCs w:val="21"/>
          <w:lang w:val="en-CA"/>
        </w:rPr>
      </w:pPr>
      <w:r w:rsidRPr="002347E9">
        <w:rPr>
          <w:snapToGrid w:val="0"/>
          <w:szCs w:val="21"/>
          <w:lang w:val="en-CA"/>
        </w:rPr>
        <w:t>61.</w:t>
      </w:r>
      <w:r w:rsidRPr="002347E9">
        <w:rPr>
          <w:rFonts w:hint="eastAsia"/>
          <w:snapToGrid w:val="0"/>
          <w:szCs w:val="21"/>
          <w:lang w:val="en-CA"/>
        </w:rPr>
        <w:t xml:space="preserve">  </w:t>
      </w:r>
      <w:r w:rsidRPr="002347E9">
        <w:rPr>
          <w:rFonts w:hint="eastAsia"/>
          <w:snapToGrid w:val="0"/>
          <w:szCs w:val="21"/>
          <w:lang w:val="en-CA"/>
        </w:rPr>
        <w:t>第二类：提到了“所有”待遇，扩大了所给予待遇的范围，例如阿根廷与西班牙的协定，其中规定最惠国条款适用于“本协定约束的所有事项”。</w:t>
      </w:r>
      <w:r w:rsidRPr="00953281">
        <w:rPr>
          <w:snapToGrid w:val="0"/>
          <w:w w:val="150"/>
          <w:szCs w:val="21"/>
          <w:vertAlign w:val="superscript"/>
          <w:lang w:val="en-CA" w:eastAsia="ja-JP"/>
        </w:rPr>
        <w:footnoteReference w:id="473"/>
      </w:r>
      <w:r w:rsidRPr="002347E9">
        <w:rPr>
          <w:snapToGrid w:val="0"/>
          <w:szCs w:val="21"/>
          <w:lang w:val="en-CA"/>
        </w:rPr>
        <w:t xml:space="preserve"> </w:t>
      </w:r>
    </w:p>
    <w:p w:rsidR="00F53060" w:rsidRPr="002347E9" w:rsidRDefault="00F53060" w:rsidP="00F53060">
      <w:pPr>
        <w:pStyle w:val="SingleTxt"/>
        <w:rPr>
          <w:snapToGrid w:val="0"/>
          <w:szCs w:val="21"/>
          <w:lang w:val="en-CA"/>
        </w:rPr>
      </w:pPr>
      <w:r w:rsidRPr="002347E9">
        <w:rPr>
          <w:snapToGrid w:val="0"/>
          <w:szCs w:val="21"/>
          <w:lang w:val="en-CA"/>
        </w:rPr>
        <w:t>62.</w:t>
      </w:r>
      <w:r w:rsidRPr="002347E9">
        <w:rPr>
          <w:rFonts w:hint="eastAsia"/>
          <w:snapToGrid w:val="0"/>
          <w:szCs w:val="21"/>
          <w:lang w:val="en-CA"/>
        </w:rPr>
        <w:t xml:space="preserve">  </w:t>
      </w:r>
      <w:r w:rsidRPr="002347E9">
        <w:rPr>
          <w:rFonts w:hint="eastAsia"/>
          <w:snapToGrid w:val="0"/>
          <w:szCs w:val="21"/>
          <w:lang w:val="en-CA"/>
        </w:rPr>
        <w:t>第三类：“待遇”一词涉及投资进程的具体方面，例如对投资的“管理”、“维持”、“使用”和“处置”等方面适用最惠国待遇。</w:t>
      </w:r>
      <w:r w:rsidRPr="00953281">
        <w:rPr>
          <w:snapToGrid w:val="0"/>
          <w:w w:val="150"/>
          <w:szCs w:val="21"/>
          <w:vertAlign w:val="superscript"/>
          <w:lang w:val="en-CA" w:eastAsia="ja-JP"/>
        </w:rPr>
        <w:footnoteReference w:id="474"/>
      </w:r>
      <w:r w:rsidRPr="002347E9">
        <w:rPr>
          <w:snapToGrid w:val="0"/>
          <w:szCs w:val="21"/>
          <w:lang w:val="en-CA"/>
        </w:rPr>
        <w:t xml:space="preserve"> </w:t>
      </w:r>
      <w:r w:rsidRPr="002347E9">
        <w:rPr>
          <w:rFonts w:hint="eastAsia"/>
          <w:snapToGrid w:val="0"/>
          <w:szCs w:val="21"/>
          <w:lang w:val="en-CA"/>
        </w:rPr>
        <w:t>一些投资协定规定了投资的“设立”方面的最惠国待遇，从而为投资前以及投资后的阶段提供保护。</w:t>
      </w:r>
      <w:r w:rsidRPr="00953281">
        <w:rPr>
          <w:snapToGrid w:val="0"/>
          <w:w w:val="150"/>
          <w:szCs w:val="21"/>
          <w:vertAlign w:val="superscript"/>
          <w:lang w:val="en-CA" w:eastAsia="ja-JP"/>
        </w:rPr>
        <w:footnoteReference w:id="475"/>
      </w:r>
    </w:p>
    <w:p w:rsidR="00F53060" w:rsidRPr="002347E9" w:rsidRDefault="00F53060" w:rsidP="00F53060">
      <w:pPr>
        <w:pStyle w:val="SingleTxt"/>
        <w:rPr>
          <w:snapToGrid w:val="0"/>
          <w:szCs w:val="21"/>
          <w:lang w:val="en-CA"/>
        </w:rPr>
      </w:pPr>
      <w:r w:rsidRPr="002347E9">
        <w:rPr>
          <w:snapToGrid w:val="0"/>
          <w:szCs w:val="21"/>
          <w:lang w:val="en-CA"/>
        </w:rPr>
        <w:t>63.</w:t>
      </w:r>
      <w:r w:rsidRPr="002347E9">
        <w:rPr>
          <w:rFonts w:hint="eastAsia"/>
          <w:snapToGrid w:val="0"/>
          <w:szCs w:val="21"/>
          <w:lang w:val="en-CA"/>
        </w:rPr>
        <w:t xml:space="preserve">  </w:t>
      </w:r>
      <w:r w:rsidRPr="002347E9">
        <w:rPr>
          <w:rFonts w:hint="eastAsia"/>
          <w:snapToGrid w:val="0"/>
          <w:szCs w:val="21"/>
          <w:lang w:val="en-CA"/>
        </w:rPr>
        <w:t>第四类：最惠国待遇涉及条约下的具体义务，例如提供公正与公平待遇的义务。</w:t>
      </w:r>
    </w:p>
    <w:p w:rsidR="00F53060" w:rsidRPr="002347E9" w:rsidRDefault="00F53060" w:rsidP="00F53060">
      <w:pPr>
        <w:pStyle w:val="SingleTxt"/>
        <w:rPr>
          <w:snapToGrid w:val="0"/>
          <w:szCs w:val="21"/>
          <w:lang w:val="en-CA"/>
        </w:rPr>
      </w:pPr>
      <w:r w:rsidRPr="002347E9">
        <w:rPr>
          <w:snapToGrid w:val="0"/>
          <w:szCs w:val="21"/>
          <w:lang w:val="en-CA"/>
        </w:rPr>
        <w:t>64.</w:t>
      </w:r>
      <w:r w:rsidRPr="002347E9">
        <w:rPr>
          <w:rFonts w:hint="eastAsia"/>
          <w:snapToGrid w:val="0"/>
          <w:szCs w:val="21"/>
          <w:lang w:val="en-CA"/>
        </w:rPr>
        <w:t xml:space="preserve">  </w:t>
      </w:r>
      <w:r w:rsidRPr="002347E9">
        <w:rPr>
          <w:rFonts w:hint="eastAsia"/>
          <w:snapToGrid w:val="0"/>
          <w:szCs w:val="21"/>
          <w:lang w:val="en-CA"/>
        </w:rPr>
        <w:t>第五类：规定最惠国待遇只提供给与对照的投资者或投资处于“同类情形”</w:t>
      </w:r>
      <w:r w:rsidRPr="00953281">
        <w:rPr>
          <w:snapToGrid w:val="0"/>
          <w:w w:val="150"/>
          <w:szCs w:val="21"/>
          <w:vertAlign w:val="superscript"/>
          <w:lang w:val="en-CA" w:eastAsia="ja-JP"/>
        </w:rPr>
        <w:footnoteReference w:id="476"/>
      </w:r>
      <w:r w:rsidRPr="002347E9">
        <w:rPr>
          <w:snapToGrid w:val="0"/>
          <w:szCs w:val="21"/>
          <w:lang w:val="en-CA"/>
        </w:rPr>
        <w:t xml:space="preserve"> </w:t>
      </w:r>
      <w:r w:rsidRPr="002347E9">
        <w:rPr>
          <w:rFonts w:hint="eastAsia"/>
          <w:snapToGrid w:val="0"/>
          <w:szCs w:val="21"/>
          <w:lang w:val="en-CA"/>
        </w:rPr>
        <w:t>或</w:t>
      </w:r>
      <w:r w:rsidRPr="002347E9">
        <w:rPr>
          <w:rFonts w:hint="eastAsia"/>
          <w:snapToGrid w:val="0"/>
          <w:szCs w:val="21"/>
        </w:rPr>
        <w:t>“</w:t>
      </w:r>
      <w:r w:rsidRPr="002347E9">
        <w:rPr>
          <w:rFonts w:hint="eastAsia"/>
          <w:snapToGrid w:val="0"/>
          <w:szCs w:val="21"/>
          <w:lang w:val="en-CA"/>
        </w:rPr>
        <w:t>类似情况”</w:t>
      </w:r>
      <w:r w:rsidRPr="00953281">
        <w:rPr>
          <w:snapToGrid w:val="0"/>
          <w:w w:val="150"/>
          <w:szCs w:val="21"/>
          <w:vertAlign w:val="superscript"/>
          <w:lang w:val="en-CA" w:eastAsia="ja-JP"/>
        </w:rPr>
        <w:footnoteReference w:id="477"/>
      </w:r>
      <w:r w:rsidRPr="002347E9">
        <w:rPr>
          <w:snapToGrid w:val="0"/>
          <w:szCs w:val="21"/>
          <w:lang w:val="en-CA"/>
        </w:rPr>
        <w:t xml:space="preserve"> </w:t>
      </w:r>
      <w:r w:rsidRPr="002347E9">
        <w:rPr>
          <w:rFonts w:hint="eastAsia"/>
          <w:snapToGrid w:val="0"/>
          <w:szCs w:val="21"/>
          <w:lang w:val="en-CA"/>
        </w:rPr>
        <w:t>的投资者或投资。</w:t>
      </w:r>
    </w:p>
    <w:p w:rsidR="00F53060" w:rsidRPr="002347E9" w:rsidRDefault="00F53060" w:rsidP="00F53060">
      <w:pPr>
        <w:pStyle w:val="SingleTxt"/>
        <w:rPr>
          <w:snapToGrid w:val="0"/>
          <w:szCs w:val="21"/>
          <w:lang w:val="en-CA"/>
        </w:rPr>
      </w:pPr>
      <w:r w:rsidRPr="002347E9">
        <w:rPr>
          <w:snapToGrid w:val="0"/>
          <w:szCs w:val="21"/>
          <w:lang w:val="en-CA"/>
        </w:rPr>
        <w:t>65.</w:t>
      </w:r>
      <w:r w:rsidRPr="002347E9">
        <w:rPr>
          <w:rFonts w:hint="eastAsia"/>
          <w:snapToGrid w:val="0"/>
          <w:szCs w:val="21"/>
          <w:lang w:val="en-CA"/>
        </w:rPr>
        <w:t xml:space="preserve">  </w:t>
      </w:r>
      <w:r w:rsidRPr="002347E9">
        <w:rPr>
          <w:rFonts w:hint="eastAsia"/>
          <w:snapToGrid w:val="0"/>
          <w:szCs w:val="21"/>
          <w:lang w:val="en-CA"/>
        </w:rPr>
        <w:t>第六类：协定似乎引入了地域限制。例如，</w:t>
      </w:r>
      <w:r w:rsidRPr="002347E9">
        <w:rPr>
          <w:rFonts w:hint="eastAsia"/>
          <w:snapToGrid w:val="0"/>
          <w:szCs w:val="21"/>
          <w:lang w:val="en-CA"/>
        </w:rPr>
        <w:t>1996</w:t>
      </w:r>
      <w:r w:rsidRPr="002347E9">
        <w:rPr>
          <w:rFonts w:hint="eastAsia"/>
          <w:snapToGrid w:val="0"/>
          <w:szCs w:val="21"/>
          <w:lang w:val="en-CA"/>
        </w:rPr>
        <w:t>年</w:t>
      </w:r>
      <w:r w:rsidRPr="002347E9">
        <w:rPr>
          <w:rFonts w:hint="eastAsia"/>
          <w:snapToGrid w:val="0"/>
          <w:szCs w:val="21"/>
          <w:lang w:val="en-CA"/>
        </w:rPr>
        <w:t>7</w:t>
      </w:r>
      <w:r w:rsidRPr="002347E9">
        <w:rPr>
          <w:rFonts w:hint="eastAsia"/>
          <w:snapToGrid w:val="0"/>
          <w:szCs w:val="21"/>
          <w:lang w:val="en-CA"/>
        </w:rPr>
        <w:t>月</w:t>
      </w:r>
      <w:r w:rsidRPr="002347E9">
        <w:rPr>
          <w:rFonts w:hint="eastAsia"/>
          <w:snapToGrid w:val="0"/>
          <w:szCs w:val="21"/>
          <w:lang w:val="en-CA"/>
        </w:rPr>
        <w:t>21</w:t>
      </w:r>
      <w:r w:rsidRPr="002347E9">
        <w:rPr>
          <w:rFonts w:hint="eastAsia"/>
          <w:snapToGrid w:val="0"/>
          <w:szCs w:val="21"/>
          <w:lang w:val="en-CA"/>
        </w:rPr>
        <w:t>日意大利与约旦的协定规定，缔约双方商定“在本国领土范围内”提供最惠国待遇。</w:t>
      </w:r>
      <w:r w:rsidRPr="00953281">
        <w:rPr>
          <w:snapToGrid w:val="0"/>
          <w:w w:val="150"/>
          <w:szCs w:val="21"/>
          <w:vertAlign w:val="superscript"/>
          <w:lang w:val="en-CA" w:eastAsia="ja-JP"/>
        </w:rPr>
        <w:footnoteReference w:id="478"/>
      </w:r>
    </w:p>
    <w:p w:rsidR="00F53060" w:rsidRPr="002347E9" w:rsidRDefault="00F53060" w:rsidP="00F53060">
      <w:pPr>
        <w:pStyle w:val="SingleTxt"/>
        <w:rPr>
          <w:snapToGrid w:val="0"/>
          <w:szCs w:val="21"/>
          <w:lang w:val="en-CA"/>
        </w:rPr>
      </w:pPr>
      <w:r w:rsidRPr="002347E9">
        <w:rPr>
          <w:snapToGrid w:val="0"/>
          <w:szCs w:val="21"/>
          <w:lang w:val="en-CA"/>
        </w:rPr>
        <w:t>66.</w:t>
      </w:r>
      <w:r w:rsidRPr="002347E9">
        <w:rPr>
          <w:rFonts w:hint="eastAsia"/>
          <w:snapToGrid w:val="0"/>
          <w:szCs w:val="21"/>
          <w:lang w:val="en-CA"/>
        </w:rPr>
        <w:t xml:space="preserve">  </w:t>
      </w:r>
      <w:r w:rsidRPr="002347E9">
        <w:rPr>
          <w:rFonts w:hint="eastAsia"/>
          <w:snapToGrid w:val="0"/>
          <w:szCs w:val="21"/>
          <w:lang w:val="en-CA"/>
        </w:rPr>
        <w:t>投资协定中的最惠国条款通常也规定了不适用最惠国待遇的例外情况。最常见的例外涉及税收、政府采购或缔约方通过加入关税同盟得到的好处。</w:t>
      </w:r>
      <w:r w:rsidRPr="00953281">
        <w:rPr>
          <w:snapToGrid w:val="0"/>
          <w:w w:val="150"/>
          <w:szCs w:val="21"/>
          <w:vertAlign w:val="superscript"/>
          <w:lang w:val="en-CA" w:eastAsia="ja-JP"/>
        </w:rPr>
        <w:footnoteReference w:id="479"/>
      </w:r>
      <w:r w:rsidRPr="002347E9">
        <w:rPr>
          <w:snapToGrid w:val="0"/>
          <w:szCs w:val="21"/>
          <w:lang w:val="en-CA"/>
        </w:rPr>
        <w:t xml:space="preserve"> </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lastRenderedPageBreak/>
        <w:tab/>
      </w:r>
      <w:r w:rsidRPr="002347E9">
        <w:rPr>
          <w:snapToGrid w:val="0"/>
          <w:lang w:val="en-CA"/>
        </w:rPr>
        <w:t>C.</w:t>
      </w:r>
      <w:r w:rsidRPr="002347E9">
        <w:rPr>
          <w:snapToGrid w:val="0"/>
          <w:lang w:val="en-CA"/>
        </w:rPr>
        <w:tab/>
      </w:r>
      <w:r w:rsidRPr="002347E9">
        <w:rPr>
          <w:rFonts w:hint="eastAsia"/>
          <w:snapToGrid w:val="0"/>
          <w:lang w:val="en-CA"/>
        </w:rPr>
        <w:t>有关投资协定中最惠国规定的解释性问题</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snapToGrid w:val="0"/>
          <w:szCs w:val="21"/>
          <w:lang w:val="en-CA"/>
        </w:rPr>
        <w:t>67.</w:t>
      </w:r>
      <w:r w:rsidRPr="002347E9">
        <w:rPr>
          <w:rFonts w:hint="eastAsia"/>
          <w:snapToGrid w:val="0"/>
          <w:szCs w:val="21"/>
          <w:lang w:val="en-CA"/>
        </w:rPr>
        <w:t xml:space="preserve">  </w:t>
      </w:r>
      <w:r w:rsidRPr="002347E9">
        <w:rPr>
          <w:rFonts w:hint="eastAsia"/>
          <w:snapToGrid w:val="0"/>
          <w:szCs w:val="21"/>
          <w:lang w:val="en-CA"/>
        </w:rPr>
        <w:t>投资争端解决法庭普遍认为，</w:t>
      </w:r>
      <w:r w:rsidRPr="002347E9">
        <w:rPr>
          <w:rFonts w:ascii="宋体" w:hAnsi="宋体" w:cs="宋体" w:hint="eastAsia"/>
          <w:snapToGrid w:val="0"/>
          <w:szCs w:val="21"/>
          <w:lang w:val="en-CA"/>
        </w:rPr>
        <w:t>最惠国条款</w:t>
      </w:r>
      <w:r w:rsidRPr="002347E9">
        <w:rPr>
          <w:rFonts w:hint="eastAsia"/>
          <w:snapToGrid w:val="0"/>
          <w:szCs w:val="21"/>
          <w:lang w:val="en-CA"/>
        </w:rPr>
        <w:t>作为条约条款，必须依照</w:t>
      </w:r>
      <w:r w:rsidRPr="002347E9">
        <w:rPr>
          <w:rFonts w:ascii="宋体" w:hAnsi="宋体" w:cs="宋体" w:hint="eastAsia"/>
          <w:snapToGrid w:val="0"/>
          <w:szCs w:val="21"/>
        </w:rPr>
        <w:t>《维也纳条约法公约》第三十一条和第三十二条规定的</w:t>
      </w:r>
      <w:r w:rsidRPr="002347E9">
        <w:rPr>
          <w:rFonts w:hint="eastAsia"/>
          <w:snapToGrid w:val="0"/>
          <w:szCs w:val="21"/>
          <w:lang w:val="en-CA"/>
        </w:rPr>
        <w:t>条约解释通则解释。然而，</w:t>
      </w:r>
      <w:r w:rsidRPr="002347E9">
        <w:rPr>
          <w:rFonts w:ascii="宋体" w:hAnsi="宋体" w:cs="宋体" w:hint="eastAsia"/>
          <w:snapToGrid w:val="0"/>
          <w:szCs w:val="21"/>
          <w:lang w:val="en-CA"/>
        </w:rPr>
        <w:t>解释最惠国条款时出现的争议有时</w:t>
      </w:r>
      <w:r w:rsidRPr="002347E9">
        <w:rPr>
          <w:rFonts w:hint="eastAsia"/>
          <w:snapToGrid w:val="0"/>
          <w:szCs w:val="21"/>
          <w:lang w:val="en-CA"/>
        </w:rPr>
        <w:t>反映了适用《维也纳条约法公约》规定方面的根本差异。</w:t>
      </w:r>
      <w:r w:rsidRPr="00953281">
        <w:rPr>
          <w:snapToGrid w:val="0"/>
          <w:w w:val="150"/>
          <w:szCs w:val="21"/>
          <w:vertAlign w:val="superscript"/>
          <w:lang w:val="en-CA"/>
        </w:rPr>
        <w:footnoteReference w:id="480"/>
      </w:r>
    </w:p>
    <w:p w:rsidR="00F53060" w:rsidRPr="002347E9" w:rsidRDefault="00F53060" w:rsidP="00F53060">
      <w:pPr>
        <w:pStyle w:val="SingleTxt"/>
        <w:rPr>
          <w:snapToGrid w:val="0"/>
          <w:szCs w:val="21"/>
          <w:lang w:val="en-CA" w:eastAsia="ja-JP"/>
        </w:rPr>
      </w:pPr>
      <w:r w:rsidRPr="002347E9">
        <w:rPr>
          <w:snapToGrid w:val="0"/>
          <w:szCs w:val="21"/>
          <w:lang w:val="en-CA"/>
        </w:rPr>
        <w:t>68.</w:t>
      </w:r>
      <w:r w:rsidRPr="002347E9">
        <w:rPr>
          <w:rFonts w:hint="eastAsia"/>
          <w:snapToGrid w:val="0"/>
          <w:szCs w:val="21"/>
          <w:lang w:val="en-CA"/>
        </w:rPr>
        <w:t xml:space="preserve">  </w:t>
      </w:r>
      <w:r w:rsidRPr="002347E9">
        <w:rPr>
          <w:rFonts w:hint="eastAsia"/>
          <w:snapToGrid w:val="0"/>
          <w:szCs w:val="21"/>
          <w:lang w:val="en-CA"/>
        </w:rPr>
        <w:t>尽管</w:t>
      </w:r>
      <w:r w:rsidRPr="002347E9">
        <w:rPr>
          <w:snapToGrid w:val="0"/>
          <w:szCs w:val="21"/>
          <w:lang w:val="en-CA"/>
        </w:rPr>
        <w:t>最惠国条款</w:t>
      </w:r>
      <w:r w:rsidRPr="002347E9">
        <w:rPr>
          <w:rFonts w:hint="eastAsia"/>
          <w:snapToGrid w:val="0"/>
          <w:szCs w:val="21"/>
          <w:lang w:val="en-CA"/>
        </w:rPr>
        <w:t>的措辞各不相同，但无论是在贸易、投资还是服务领域，此类条款都存在一些共同的解释性问题。</w:t>
      </w:r>
      <w:r w:rsidRPr="002347E9">
        <w:rPr>
          <w:rFonts w:ascii="宋体" w:hAnsi="宋体" w:cs="宋体" w:hint="eastAsia"/>
          <w:snapToGrid w:val="0"/>
          <w:szCs w:val="21"/>
          <w:lang w:val="en-CA"/>
        </w:rPr>
        <w:t>下面将逐一探讨最惠国规定中引起解释性问题的三方面内容：</w:t>
      </w:r>
      <w:r w:rsidRPr="002347E9">
        <w:rPr>
          <w:rFonts w:hint="eastAsia"/>
          <w:snapToGrid w:val="0"/>
          <w:szCs w:val="21"/>
          <w:lang w:val="en-CA"/>
        </w:rPr>
        <w:t>界定</w:t>
      </w:r>
      <w:r w:rsidRPr="002347E9">
        <w:rPr>
          <w:rFonts w:ascii="宋体" w:hAnsi="宋体" w:cs="宋体" w:hint="eastAsia"/>
          <w:snapToGrid w:val="0"/>
          <w:szCs w:val="21"/>
          <w:lang w:val="en-CA"/>
        </w:rPr>
        <w:t>最惠国条款的受惠方、界定必要待遇、界定条款范围</w:t>
      </w:r>
      <w:r w:rsidRPr="002347E9">
        <w:rPr>
          <w:rFonts w:hint="eastAsia"/>
          <w:snapToGrid w:val="0"/>
          <w:szCs w:val="21"/>
          <w:lang w:val="en-CA"/>
        </w:rPr>
        <w:t>。这三个主要的解释性问题中，只有根据最惠国规定应给予“待遇”的范围问题在投资法庭得到了大量的讨论和争论。</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1.</w:t>
      </w:r>
      <w:r w:rsidRPr="002347E9">
        <w:rPr>
          <w:lang w:val="en-CA"/>
        </w:rPr>
        <w:tab/>
      </w:r>
      <w:r w:rsidRPr="002347E9">
        <w:rPr>
          <w:rFonts w:ascii="宋体" w:hAnsi="宋体" w:cs="宋体" w:hint="eastAsia"/>
          <w:lang w:val="en-CA"/>
        </w:rPr>
        <w:t>最惠国规定</w:t>
      </w:r>
      <w:r w:rsidRPr="002347E9">
        <w:rPr>
          <w:rFonts w:hint="eastAsia"/>
          <w:lang w:val="en-CA"/>
        </w:rPr>
        <w:t>的受惠方</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SingleTxt"/>
        <w:spacing w:after="0" w:line="120" w:lineRule="exact"/>
        <w:rPr>
          <w:snapToGrid w:val="0"/>
          <w:sz w:val="10"/>
          <w:szCs w:val="21"/>
          <w:lang w:val="en-CA"/>
        </w:rPr>
      </w:pPr>
    </w:p>
    <w:p w:rsidR="00F53060" w:rsidRPr="002347E9" w:rsidRDefault="00F53060" w:rsidP="00F53060">
      <w:pPr>
        <w:pStyle w:val="SingleTxt"/>
        <w:rPr>
          <w:snapToGrid w:val="0"/>
          <w:szCs w:val="21"/>
          <w:lang w:val="en-CA" w:eastAsia="ja-JP"/>
        </w:rPr>
      </w:pPr>
      <w:r w:rsidRPr="002347E9">
        <w:rPr>
          <w:snapToGrid w:val="0"/>
          <w:szCs w:val="21"/>
          <w:lang w:val="en-CA"/>
        </w:rPr>
        <w:t>69.</w:t>
      </w:r>
      <w:r w:rsidRPr="002347E9">
        <w:rPr>
          <w:rFonts w:hint="eastAsia"/>
          <w:snapToGrid w:val="0"/>
          <w:szCs w:val="21"/>
          <w:lang w:val="en-CA"/>
        </w:rPr>
        <w:t xml:space="preserve">  </w:t>
      </w:r>
      <w:r w:rsidRPr="002347E9">
        <w:rPr>
          <w:rFonts w:hint="eastAsia"/>
          <w:snapToGrid w:val="0"/>
          <w:szCs w:val="21"/>
          <w:lang w:val="en-CA"/>
        </w:rPr>
        <w:t>第一个</w:t>
      </w:r>
      <w:r w:rsidRPr="002347E9">
        <w:rPr>
          <w:rFonts w:ascii="宋体" w:hAnsi="宋体" w:cs="宋体" w:hint="eastAsia"/>
          <w:snapToGrid w:val="0"/>
          <w:szCs w:val="21"/>
          <w:lang w:val="en-CA"/>
        </w:rPr>
        <w:t>解释性问题是界定最惠国条款的受惠方。</w:t>
      </w:r>
      <w:r w:rsidRPr="002347E9">
        <w:rPr>
          <w:snapToGrid w:val="0"/>
          <w:szCs w:val="21"/>
          <w:lang w:val="en-CA" w:eastAsia="ja-JP"/>
        </w:rPr>
        <w:t>1978</w:t>
      </w:r>
      <w:r w:rsidRPr="002347E9">
        <w:rPr>
          <w:rFonts w:hint="eastAsia"/>
          <w:snapToGrid w:val="0"/>
          <w:szCs w:val="21"/>
          <w:lang w:val="en-CA"/>
        </w:rPr>
        <w:t>年，委员会指出，最惠国规定的好处，其享有权属于“</w:t>
      </w:r>
      <w:r w:rsidRPr="002347E9">
        <w:rPr>
          <w:rFonts w:ascii="宋体" w:hAnsi="宋体" w:cs="宋体"/>
          <w:snapToGrid w:val="0"/>
          <w:szCs w:val="21"/>
          <w:lang w:val="en-CA"/>
        </w:rPr>
        <w:t>受惠国或与之有确定关系的人或事</w:t>
      </w:r>
      <w:r w:rsidRPr="002347E9">
        <w:rPr>
          <w:rFonts w:ascii="宋体" w:hAnsi="宋体" w:cs="宋体" w:hint="eastAsia"/>
          <w:snapToGrid w:val="0"/>
          <w:szCs w:val="21"/>
          <w:lang w:val="en-CA"/>
        </w:rPr>
        <w:t>”。在</w:t>
      </w:r>
      <w:r w:rsidRPr="002347E9">
        <w:rPr>
          <w:snapToGrid w:val="0"/>
          <w:szCs w:val="21"/>
          <w:lang w:val="en-CA" w:eastAsia="ja-JP"/>
        </w:rPr>
        <w:t>投</w:t>
      </w:r>
      <w:r w:rsidRPr="002347E9">
        <w:rPr>
          <w:rFonts w:ascii="宋体" w:hAnsi="宋体" w:cs="宋体" w:hint="eastAsia"/>
          <w:snapToGrid w:val="0"/>
          <w:szCs w:val="21"/>
          <w:lang w:val="en-CA" w:eastAsia="ja-JP"/>
        </w:rPr>
        <w:t>资协</w:t>
      </w:r>
      <w:r w:rsidRPr="002347E9">
        <w:rPr>
          <w:rFonts w:ascii="MS Mincho" w:hAnsi="MS Mincho" w:cs="MS Mincho" w:hint="eastAsia"/>
          <w:snapToGrid w:val="0"/>
          <w:szCs w:val="21"/>
          <w:lang w:val="en-CA" w:eastAsia="ja-JP"/>
        </w:rPr>
        <w:t>定</w:t>
      </w:r>
      <w:r w:rsidRPr="002347E9">
        <w:rPr>
          <w:rFonts w:ascii="MS Mincho" w:hAnsi="MS Mincho" w:cs="MS Mincho" w:hint="eastAsia"/>
          <w:snapToGrid w:val="0"/>
          <w:szCs w:val="21"/>
          <w:lang w:val="en-CA"/>
        </w:rPr>
        <w:t>中，</w:t>
      </w:r>
      <w:r w:rsidRPr="002347E9">
        <w:rPr>
          <w:rFonts w:hint="eastAsia"/>
          <w:snapToGrid w:val="0"/>
          <w:szCs w:val="21"/>
          <w:lang w:val="en-CA"/>
        </w:rPr>
        <w:t>通常明确规定此项义务是给予“投资者”或其“投资”最惠国待遇。一些协定将</w:t>
      </w:r>
      <w:r w:rsidRPr="002347E9">
        <w:rPr>
          <w:snapToGrid w:val="0"/>
          <w:szCs w:val="21"/>
          <w:lang w:val="en-CA" w:eastAsia="ja-JP"/>
        </w:rPr>
        <w:t>最惠国</w:t>
      </w:r>
      <w:r w:rsidRPr="002347E9">
        <w:rPr>
          <w:rFonts w:hint="eastAsia"/>
          <w:snapToGrid w:val="0"/>
          <w:szCs w:val="21"/>
          <w:lang w:val="en-CA"/>
        </w:rPr>
        <w:t>规定</w:t>
      </w:r>
      <w:r w:rsidRPr="002347E9">
        <w:rPr>
          <w:snapToGrid w:val="0"/>
          <w:szCs w:val="21"/>
          <w:lang w:val="en-CA" w:eastAsia="ja-JP"/>
        </w:rPr>
        <w:t>的</w:t>
      </w:r>
      <w:r w:rsidRPr="002347E9">
        <w:rPr>
          <w:rFonts w:hint="eastAsia"/>
          <w:snapToGrid w:val="0"/>
          <w:szCs w:val="21"/>
          <w:lang w:val="en-CA"/>
        </w:rPr>
        <w:t>好处限制在投资范围内。</w:t>
      </w:r>
      <w:r w:rsidRPr="00953281">
        <w:rPr>
          <w:snapToGrid w:val="0"/>
          <w:w w:val="150"/>
          <w:szCs w:val="21"/>
          <w:vertAlign w:val="superscript"/>
          <w:lang w:val="en-CA" w:eastAsia="ja-JP"/>
        </w:rPr>
        <w:footnoteReference w:id="481"/>
      </w:r>
      <w:r w:rsidRPr="002347E9">
        <w:rPr>
          <w:snapToGrid w:val="0"/>
          <w:szCs w:val="21"/>
          <w:lang w:val="en-CA" w:eastAsia="ja-JP"/>
        </w:rPr>
        <w:t xml:space="preserve"> </w:t>
      </w:r>
      <w:r w:rsidRPr="002347E9">
        <w:rPr>
          <w:rFonts w:hint="eastAsia"/>
          <w:snapToGrid w:val="0"/>
          <w:szCs w:val="21"/>
          <w:lang w:val="en-CA"/>
        </w:rPr>
        <w:t>然而，虽然有些</w:t>
      </w:r>
      <w:r w:rsidRPr="002347E9">
        <w:rPr>
          <w:snapToGrid w:val="0"/>
          <w:szCs w:val="21"/>
          <w:lang w:val="en-CA" w:eastAsia="ja-JP"/>
        </w:rPr>
        <w:t>投</w:t>
      </w:r>
      <w:r w:rsidRPr="002347E9">
        <w:rPr>
          <w:rFonts w:ascii="宋体" w:hAnsi="宋体" w:cs="宋体" w:hint="eastAsia"/>
          <w:snapToGrid w:val="0"/>
          <w:szCs w:val="21"/>
          <w:lang w:val="en-CA" w:eastAsia="ja-JP"/>
        </w:rPr>
        <w:t>资协</w:t>
      </w:r>
      <w:r w:rsidRPr="002347E9">
        <w:rPr>
          <w:rFonts w:ascii="MS Mincho" w:hAnsi="MS Mincho" w:cs="MS Mincho" w:hint="eastAsia"/>
          <w:snapToGrid w:val="0"/>
          <w:szCs w:val="21"/>
          <w:lang w:val="en-CA" w:eastAsia="ja-JP"/>
        </w:rPr>
        <w:t>定</w:t>
      </w:r>
      <w:r w:rsidRPr="002347E9">
        <w:rPr>
          <w:rFonts w:ascii="MS Mincho" w:hAnsi="MS Mincho" w:cs="MS Mincho" w:hint="eastAsia"/>
          <w:snapToGrid w:val="0"/>
          <w:szCs w:val="21"/>
          <w:lang w:val="en-CA"/>
        </w:rPr>
        <w:t>未另做其他规定，但有些协定</w:t>
      </w:r>
      <w:r w:rsidRPr="002347E9">
        <w:rPr>
          <w:rFonts w:hint="eastAsia"/>
          <w:snapToGrid w:val="0"/>
          <w:szCs w:val="21"/>
          <w:lang w:val="en-CA"/>
        </w:rPr>
        <w:t>规定，受惠方必须是与对照方处于“同类情形”或“类似情况”的投资者或投资。</w:t>
      </w:r>
    </w:p>
    <w:p w:rsidR="00F53060" w:rsidRPr="002347E9" w:rsidRDefault="00F53060" w:rsidP="00F53060">
      <w:pPr>
        <w:pStyle w:val="SingleTxt"/>
        <w:rPr>
          <w:snapToGrid w:val="0"/>
          <w:szCs w:val="21"/>
          <w:lang w:val="en-CA"/>
        </w:rPr>
      </w:pPr>
      <w:r w:rsidRPr="002347E9">
        <w:rPr>
          <w:snapToGrid w:val="0"/>
          <w:szCs w:val="21"/>
          <w:lang w:val="en-CA" w:eastAsia="ja-JP"/>
        </w:rPr>
        <w:t>70.</w:t>
      </w:r>
      <w:r w:rsidRPr="002347E9">
        <w:rPr>
          <w:rFonts w:hint="eastAsia"/>
          <w:snapToGrid w:val="0"/>
          <w:szCs w:val="21"/>
          <w:lang w:val="en-CA"/>
        </w:rPr>
        <w:t xml:space="preserve">  </w:t>
      </w:r>
      <w:r w:rsidRPr="002347E9">
        <w:rPr>
          <w:rFonts w:hint="eastAsia"/>
          <w:snapToGrid w:val="0"/>
          <w:szCs w:val="21"/>
          <w:lang w:val="en-CA"/>
        </w:rPr>
        <w:t>这引起了大量争议：什么能构成“投资”，特别是投资是否必须对东道国的经济发展做出贡献。</w:t>
      </w:r>
      <w:r w:rsidRPr="00953281">
        <w:rPr>
          <w:snapToGrid w:val="0"/>
          <w:w w:val="150"/>
          <w:szCs w:val="21"/>
          <w:vertAlign w:val="superscript"/>
          <w:lang w:val="en-CA"/>
        </w:rPr>
        <w:footnoteReference w:id="482"/>
      </w:r>
      <w:r w:rsidRPr="002347E9">
        <w:rPr>
          <w:snapToGrid w:val="0"/>
          <w:szCs w:val="21"/>
          <w:lang w:val="en-CA"/>
        </w:rPr>
        <w:t xml:space="preserve"> </w:t>
      </w:r>
      <w:r w:rsidRPr="002347E9">
        <w:rPr>
          <w:rFonts w:hint="eastAsia"/>
          <w:snapToGrid w:val="0"/>
          <w:szCs w:val="21"/>
          <w:lang w:val="en-CA"/>
        </w:rPr>
        <w:t>然而，“投资”的定义是一个涉及整个投资协定的问题，没有引发关于最惠国规定或如何解释最惠国规定的系统性问题。因此，研究组认为没有必要进一步探讨此事。</w:t>
      </w:r>
    </w:p>
    <w:p w:rsidR="00F53060" w:rsidRPr="002347E9" w:rsidRDefault="00F53060" w:rsidP="00F53060">
      <w:pPr>
        <w:pStyle w:val="SingleTxt"/>
        <w:rPr>
          <w:snapToGrid w:val="0"/>
          <w:szCs w:val="21"/>
          <w:lang w:val="en-CA"/>
        </w:rPr>
      </w:pPr>
      <w:r w:rsidRPr="002347E9">
        <w:rPr>
          <w:snapToGrid w:val="0"/>
          <w:szCs w:val="21"/>
          <w:lang w:val="en-CA"/>
        </w:rPr>
        <w:t>71.</w:t>
      </w:r>
      <w:r w:rsidRPr="002347E9">
        <w:rPr>
          <w:rFonts w:hint="eastAsia"/>
          <w:snapToGrid w:val="0"/>
          <w:szCs w:val="21"/>
          <w:lang w:val="en-CA"/>
        </w:rPr>
        <w:t xml:space="preserve">  </w:t>
      </w:r>
      <w:r w:rsidRPr="002347E9">
        <w:rPr>
          <w:rFonts w:hint="eastAsia"/>
          <w:snapToGrid w:val="0"/>
          <w:szCs w:val="21"/>
          <w:lang w:val="en-CA"/>
        </w:rPr>
        <w:t>“同类情形”一词出现在《北美自由贸易协定》中关于投资的章节，但其他许多协定中并未提及。这一措辞似乎对哪些投资者和投资可要求享有</w:t>
      </w:r>
      <w:r w:rsidRPr="002347E9">
        <w:rPr>
          <w:rFonts w:ascii="宋体" w:hAnsi="宋体" w:cs="宋体" w:hint="eastAsia"/>
          <w:snapToGrid w:val="0"/>
          <w:szCs w:val="21"/>
          <w:lang w:val="en-CA"/>
        </w:rPr>
        <w:t>最惠国规定的好处施加了一些限制，或许意味着只有那些与对照条约中的对象处于</w:t>
      </w:r>
      <w:r w:rsidRPr="002347E9">
        <w:rPr>
          <w:rFonts w:hint="eastAsia"/>
          <w:snapToGrid w:val="0"/>
          <w:szCs w:val="21"/>
          <w:lang w:val="en-CA"/>
        </w:rPr>
        <w:t>“</w:t>
      </w:r>
      <w:r w:rsidRPr="002347E9">
        <w:rPr>
          <w:rFonts w:ascii="宋体" w:hAnsi="宋体" w:cs="宋体" w:hint="eastAsia"/>
          <w:snapToGrid w:val="0"/>
          <w:szCs w:val="21"/>
          <w:lang w:val="en-CA"/>
        </w:rPr>
        <w:t>同类情形</w:t>
      </w:r>
      <w:r w:rsidRPr="002347E9">
        <w:rPr>
          <w:rFonts w:hint="eastAsia"/>
          <w:snapToGrid w:val="0"/>
          <w:szCs w:val="21"/>
          <w:lang w:val="en-CA"/>
        </w:rPr>
        <w:t>”的投资者和投资才能如此。</w:t>
      </w:r>
    </w:p>
    <w:p w:rsidR="00F53060" w:rsidRPr="002347E9" w:rsidRDefault="00F53060" w:rsidP="00F53060">
      <w:pPr>
        <w:pStyle w:val="SingleTxt"/>
        <w:rPr>
          <w:snapToGrid w:val="0"/>
          <w:szCs w:val="21"/>
          <w:lang w:val="en-CA"/>
        </w:rPr>
      </w:pPr>
      <w:r w:rsidRPr="002347E9">
        <w:rPr>
          <w:snapToGrid w:val="0"/>
          <w:szCs w:val="21"/>
          <w:lang w:val="en-CA"/>
        </w:rPr>
        <w:t>72.</w:t>
      </w:r>
      <w:r w:rsidRPr="002347E9">
        <w:rPr>
          <w:rFonts w:hint="eastAsia"/>
          <w:snapToGrid w:val="0"/>
          <w:szCs w:val="21"/>
          <w:lang w:val="en-CA"/>
        </w:rPr>
        <w:t xml:space="preserve">  </w:t>
      </w:r>
      <w:r w:rsidRPr="002347E9">
        <w:rPr>
          <w:rFonts w:hint="eastAsia"/>
          <w:snapToGrid w:val="0"/>
          <w:szCs w:val="21"/>
          <w:lang w:val="en-CA"/>
        </w:rPr>
        <w:t>于是出现了这个问题：加上“</w:t>
      </w:r>
      <w:r w:rsidRPr="002347E9">
        <w:rPr>
          <w:rFonts w:ascii="宋体" w:hAnsi="宋体" w:cs="宋体" w:hint="eastAsia"/>
          <w:snapToGrid w:val="0"/>
          <w:szCs w:val="21"/>
          <w:lang w:val="en-CA"/>
        </w:rPr>
        <w:t>同类情形</w:t>
      </w:r>
      <w:r w:rsidRPr="002347E9">
        <w:rPr>
          <w:rFonts w:hint="eastAsia"/>
          <w:snapToGrid w:val="0"/>
          <w:szCs w:val="21"/>
          <w:lang w:val="en-CA"/>
        </w:rPr>
        <w:t>”这一限制条件是否对</w:t>
      </w:r>
      <w:r w:rsidRPr="002347E9">
        <w:rPr>
          <w:rFonts w:ascii="宋体" w:hAnsi="宋体" w:cs="宋体" w:hint="eastAsia"/>
          <w:snapToGrid w:val="0"/>
          <w:szCs w:val="21"/>
          <w:lang w:val="en-CA"/>
        </w:rPr>
        <w:t>最惠国条款作出了任何补充。根据</w:t>
      </w:r>
      <w:r w:rsidRPr="002347E9">
        <w:rPr>
          <w:rFonts w:eastAsia="楷体" w:hint="eastAsia"/>
          <w:snapToGrid w:val="0"/>
          <w:szCs w:val="21"/>
          <w:lang w:val="en-CA"/>
        </w:rPr>
        <w:t>同类</w:t>
      </w:r>
      <w:r w:rsidRPr="002347E9">
        <w:rPr>
          <w:rFonts w:hint="eastAsia"/>
          <w:snapToGrid w:val="0"/>
          <w:szCs w:val="21"/>
          <w:lang w:val="en-CA"/>
        </w:rPr>
        <w:t>原则，无论如何，只能就同一主题事项，以及与对照方具有同样关系的人或事适用最惠国待遇。这是</w:t>
      </w:r>
      <w:r w:rsidRPr="002347E9">
        <w:rPr>
          <w:snapToGrid w:val="0"/>
          <w:szCs w:val="21"/>
          <w:lang w:val="en-CA"/>
        </w:rPr>
        <w:t>1978</w:t>
      </w:r>
      <w:r w:rsidRPr="002347E9">
        <w:rPr>
          <w:rFonts w:hint="eastAsia"/>
          <w:snapToGrid w:val="0"/>
          <w:szCs w:val="21"/>
          <w:lang w:val="en-CA"/>
        </w:rPr>
        <w:t>年条款草案第九条和第十条的含义。</w:t>
      </w:r>
    </w:p>
    <w:p w:rsidR="00F53060" w:rsidRPr="002347E9" w:rsidRDefault="00F53060" w:rsidP="00F53060">
      <w:pPr>
        <w:pStyle w:val="SingleTxt"/>
        <w:rPr>
          <w:snapToGrid w:val="0"/>
          <w:szCs w:val="21"/>
          <w:lang w:val="en-CA"/>
        </w:rPr>
      </w:pPr>
      <w:r w:rsidRPr="002347E9">
        <w:rPr>
          <w:snapToGrid w:val="0"/>
          <w:szCs w:val="21"/>
          <w:lang w:val="en-CA"/>
        </w:rPr>
        <w:t>73.</w:t>
      </w:r>
      <w:r w:rsidRPr="002347E9">
        <w:rPr>
          <w:rFonts w:hint="eastAsia"/>
          <w:snapToGrid w:val="0"/>
          <w:szCs w:val="21"/>
          <w:lang w:val="en-CA"/>
        </w:rPr>
        <w:t xml:space="preserve">  </w:t>
      </w:r>
      <w:r w:rsidRPr="002347E9">
        <w:rPr>
          <w:rFonts w:hint="eastAsia"/>
          <w:snapToGrid w:val="0"/>
          <w:szCs w:val="21"/>
          <w:lang w:val="en-CA"/>
        </w:rPr>
        <w:t>在《多边投资协定》的谈判中，各方正是在这一点上出现分歧，因此从未就是否在谈判案文中加上“</w:t>
      </w:r>
      <w:r w:rsidRPr="002347E9">
        <w:rPr>
          <w:rFonts w:ascii="宋体" w:hAnsi="宋体" w:cs="宋体" w:hint="eastAsia"/>
          <w:snapToGrid w:val="0"/>
          <w:szCs w:val="21"/>
          <w:lang w:val="en-CA"/>
        </w:rPr>
        <w:t>同类情形</w:t>
      </w:r>
      <w:r w:rsidRPr="002347E9">
        <w:rPr>
          <w:rFonts w:hint="eastAsia"/>
          <w:snapToGrid w:val="0"/>
          <w:szCs w:val="21"/>
          <w:lang w:val="en-CA"/>
        </w:rPr>
        <w:t>”一词达成一致。这个问题在实践中的重要性在于，</w:t>
      </w:r>
      <w:r w:rsidRPr="002347E9">
        <w:rPr>
          <w:rFonts w:hint="eastAsia"/>
          <w:snapToGrid w:val="0"/>
          <w:szCs w:val="21"/>
          <w:lang w:val="en-CA"/>
        </w:rPr>
        <w:lastRenderedPageBreak/>
        <w:t>对包含“</w:t>
      </w:r>
      <w:r w:rsidRPr="002347E9">
        <w:rPr>
          <w:rFonts w:ascii="宋体" w:hAnsi="宋体" w:cs="宋体" w:hint="eastAsia"/>
          <w:snapToGrid w:val="0"/>
          <w:szCs w:val="21"/>
          <w:lang w:val="en-CA"/>
        </w:rPr>
        <w:t>同类情形”一词的协定的解释是否对解释不包含该术语的协定具有参考意义</w:t>
      </w:r>
      <w:r w:rsidRPr="002347E9">
        <w:rPr>
          <w:rFonts w:hint="eastAsia"/>
          <w:snapToGrid w:val="0"/>
          <w:szCs w:val="21"/>
          <w:lang w:val="en-CA"/>
        </w:rPr>
        <w:t>。如下文所指，将一项投资协定的解释照搬适用于其他协定存在危险，若两项协定措辞不同，危险尤甚。</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2.</w:t>
      </w:r>
      <w:r w:rsidRPr="002347E9">
        <w:rPr>
          <w:lang w:val="en-CA"/>
        </w:rPr>
        <w:tab/>
      </w:r>
      <w:r w:rsidRPr="002347E9">
        <w:rPr>
          <w:rFonts w:hint="eastAsia"/>
          <w:lang w:val="en-CA"/>
        </w:rPr>
        <w:t>“待遇不低于”的含义</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BC38CF" w:rsidRPr="00BC38CF" w:rsidRDefault="00BC38CF" w:rsidP="00BC38CF">
      <w:pPr>
        <w:pStyle w:val="SingleTxt"/>
        <w:spacing w:after="0" w:line="120" w:lineRule="exact"/>
        <w:rPr>
          <w:snapToGrid w:val="0"/>
          <w:sz w:val="10"/>
          <w:szCs w:val="21"/>
          <w:lang w:val="en-CA" w:eastAsia="ja-JP"/>
        </w:rPr>
      </w:pPr>
    </w:p>
    <w:p w:rsidR="00F53060" w:rsidRPr="002347E9" w:rsidRDefault="00F53060" w:rsidP="00F53060">
      <w:pPr>
        <w:pStyle w:val="SingleTxt"/>
        <w:rPr>
          <w:snapToGrid w:val="0"/>
          <w:szCs w:val="21"/>
          <w:lang w:val="en-CA"/>
        </w:rPr>
      </w:pPr>
      <w:r w:rsidRPr="002347E9">
        <w:rPr>
          <w:snapToGrid w:val="0"/>
          <w:szCs w:val="21"/>
          <w:lang w:val="en-CA" w:eastAsia="ja-JP"/>
        </w:rPr>
        <w:t>74.</w:t>
      </w:r>
      <w:r w:rsidRPr="002347E9">
        <w:rPr>
          <w:rFonts w:hint="eastAsia"/>
          <w:snapToGrid w:val="0"/>
          <w:szCs w:val="21"/>
          <w:lang w:val="en-CA"/>
        </w:rPr>
        <w:t xml:space="preserve">  </w:t>
      </w:r>
      <w:r w:rsidRPr="002347E9">
        <w:rPr>
          <w:rFonts w:hint="eastAsia"/>
          <w:snapToGrid w:val="0"/>
          <w:szCs w:val="21"/>
          <w:lang w:val="en-CA"/>
        </w:rPr>
        <w:t>第二个</w:t>
      </w:r>
      <w:r w:rsidRPr="002347E9">
        <w:rPr>
          <w:snapToGrid w:val="0"/>
          <w:szCs w:val="21"/>
          <w:lang w:val="en-CA" w:eastAsia="ja-JP"/>
        </w:rPr>
        <w:t>解</w:t>
      </w:r>
      <w:r w:rsidRPr="002347E9">
        <w:rPr>
          <w:rFonts w:ascii="宋体" w:hAnsi="宋体" w:cs="宋体" w:hint="eastAsia"/>
          <w:snapToGrid w:val="0"/>
          <w:szCs w:val="21"/>
          <w:lang w:val="en-CA" w:eastAsia="ja-JP"/>
        </w:rPr>
        <w:t>释</w:t>
      </w:r>
      <w:r w:rsidRPr="002347E9">
        <w:rPr>
          <w:rFonts w:ascii="宋体" w:hAnsi="宋体" w:cs="宋体" w:hint="eastAsia"/>
          <w:snapToGrid w:val="0"/>
          <w:szCs w:val="21"/>
          <w:lang w:val="en-CA"/>
        </w:rPr>
        <w:t>性</w:t>
      </w:r>
      <w:r w:rsidRPr="002347E9">
        <w:rPr>
          <w:rFonts w:ascii="宋体" w:hAnsi="宋体" w:cs="宋体" w:hint="eastAsia"/>
          <w:snapToGrid w:val="0"/>
          <w:szCs w:val="21"/>
          <w:lang w:val="en-CA" w:eastAsia="ja-JP"/>
        </w:rPr>
        <w:t>问题</w:t>
      </w:r>
      <w:r w:rsidRPr="002347E9">
        <w:rPr>
          <w:rFonts w:ascii="宋体" w:hAnsi="宋体" w:cs="宋体" w:hint="eastAsia"/>
          <w:snapToGrid w:val="0"/>
          <w:szCs w:val="21"/>
          <w:lang w:val="en-CA"/>
        </w:rPr>
        <w:t>是确定“待遇不低于”的含义是什么。委员会</w:t>
      </w:r>
      <w:r w:rsidRPr="002347E9">
        <w:rPr>
          <w:rFonts w:asciiTheme="majorBidi" w:hAnsiTheme="majorBidi" w:cstheme="majorBidi"/>
          <w:snapToGrid w:val="0"/>
          <w:szCs w:val="21"/>
          <w:lang w:val="en-CA"/>
        </w:rPr>
        <w:t>在</w:t>
      </w:r>
      <w:r w:rsidRPr="002347E9">
        <w:rPr>
          <w:rFonts w:asciiTheme="majorBidi" w:hAnsiTheme="majorBidi" w:cstheme="majorBidi"/>
          <w:snapToGrid w:val="0"/>
          <w:szCs w:val="21"/>
          <w:lang w:val="en-CA"/>
        </w:rPr>
        <w:t>1978</w:t>
      </w:r>
      <w:r w:rsidRPr="002347E9">
        <w:rPr>
          <w:rFonts w:asciiTheme="majorBidi" w:hAnsiTheme="majorBidi" w:cstheme="majorBidi"/>
          <w:snapToGrid w:val="0"/>
          <w:szCs w:val="21"/>
          <w:lang w:val="en-CA"/>
        </w:rPr>
        <w:t>年</w:t>
      </w:r>
      <w:r w:rsidRPr="002347E9">
        <w:rPr>
          <w:rFonts w:ascii="宋体" w:hAnsi="宋体" w:cs="宋体" w:hint="eastAsia"/>
          <w:snapToGrid w:val="0"/>
          <w:szCs w:val="21"/>
          <w:lang w:val="en-CA"/>
        </w:rPr>
        <w:t>对此没做多少评论，仅仅解释了为何使用“不低于”，而没有使用“平等”一词</w:t>
      </w:r>
      <w:r w:rsidRPr="002347E9">
        <w:rPr>
          <w:rFonts w:hint="eastAsia"/>
          <w:snapToGrid w:val="0"/>
          <w:szCs w:val="21"/>
          <w:lang w:val="en-CA"/>
        </w:rPr>
        <w:t>，以及待遇不低于可以适用于对照方事实上没有获得但有权获得的待遇</w:t>
      </w:r>
      <w:r w:rsidRPr="002347E9">
        <w:rPr>
          <w:rFonts w:ascii="宋体" w:hAnsi="宋体" w:cs="宋体" w:hint="eastAsia"/>
          <w:snapToGrid w:val="0"/>
          <w:szCs w:val="21"/>
          <w:lang w:val="en-CA"/>
        </w:rPr>
        <w:t>。</w:t>
      </w:r>
      <w:r w:rsidRPr="00953281">
        <w:rPr>
          <w:snapToGrid w:val="0"/>
          <w:w w:val="150"/>
          <w:szCs w:val="21"/>
          <w:vertAlign w:val="superscript"/>
          <w:lang w:val="en-CA" w:eastAsia="ja-JP"/>
        </w:rPr>
        <w:footnoteReference w:id="483"/>
      </w:r>
      <w:r w:rsidRPr="002347E9">
        <w:rPr>
          <w:snapToGrid w:val="0"/>
          <w:szCs w:val="21"/>
          <w:lang w:val="en-CA" w:eastAsia="ja-JP"/>
        </w:rPr>
        <w:t xml:space="preserve"> </w:t>
      </w:r>
      <w:r w:rsidRPr="002347E9">
        <w:rPr>
          <w:rFonts w:hint="eastAsia"/>
          <w:snapToGrid w:val="0"/>
          <w:szCs w:val="21"/>
          <w:lang w:val="en-CA"/>
        </w:rPr>
        <w:t>在某种程度上，这个问题涉及第三个问题</w:t>
      </w:r>
      <w:r w:rsidRPr="002347E9">
        <w:rPr>
          <w:rFonts w:hint="eastAsia"/>
          <w:snapToGrid w:val="0"/>
          <w:spacing w:val="-50"/>
          <w:szCs w:val="21"/>
          <w:lang w:val="en-CA"/>
        </w:rPr>
        <w:t>―</w:t>
      </w:r>
      <w:r w:rsidRPr="002347E9">
        <w:rPr>
          <w:rFonts w:hint="eastAsia"/>
          <w:snapToGrid w:val="0"/>
          <w:szCs w:val="21"/>
          <w:lang w:val="en-CA"/>
        </w:rPr>
        <w:t>―确定待遇的范围。</w:t>
      </w:r>
    </w:p>
    <w:p w:rsidR="00F53060" w:rsidRPr="002347E9" w:rsidRDefault="00F53060" w:rsidP="00F53060">
      <w:pPr>
        <w:pStyle w:val="SingleTxt"/>
        <w:rPr>
          <w:snapToGrid w:val="0"/>
          <w:szCs w:val="21"/>
          <w:lang w:val="en-CA" w:eastAsia="ja-JP"/>
        </w:rPr>
      </w:pPr>
      <w:r w:rsidRPr="002347E9">
        <w:rPr>
          <w:snapToGrid w:val="0"/>
          <w:szCs w:val="21"/>
          <w:lang w:val="en-CA" w:eastAsia="ja-JP"/>
        </w:rPr>
        <w:t>75.</w:t>
      </w:r>
      <w:r w:rsidRPr="002347E9">
        <w:rPr>
          <w:rFonts w:hint="eastAsia"/>
          <w:snapToGrid w:val="0"/>
          <w:szCs w:val="21"/>
          <w:lang w:val="en-CA"/>
        </w:rPr>
        <w:t xml:space="preserve">  </w:t>
      </w:r>
      <w:r w:rsidRPr="002347E9">
        <w:rPr>
          <w:rFonts w:hint="eastAsia"/>
          <w:snapToGrid w:val="0"/>
          <w:szCs w:val="21"/>
          <w:lang w:val="en-CA"/>
        </w:rPr>
        <w:t>一种意见认为，给予“</w:t>
      </w:r>
      <w:r w:rsidRPr="002347E9">
        <w:rPr>
          <w:snapToGrid w:val="0"/>
          <w:szCs w:val="21"/>
          <w:lang w:val="en-CA" w:eastAsia="ja-JP"/>
        </w:rPr>
        <w:t>不低于</w:t>
      </w:r>
      <w:r w:rsidRPr="002347E9">
        <w:rPr>
          <w:rFonts w:hint="eastAsia"/>
          <w:snapToGrid w:val="0"/>
          <w:szCs w:val="21"/>
          <w:lang w:val="en-CA"/>
        </w:rPr>
        <w:t>”待遇的根本原因在于</w:t>
      </w:r>
      <w:r w:rsidRPr="002347E9">
        <w:rPr>
          <w:snapToGrid w:val="0"/>
          <w:szCs w:val="21"/>
          <w:lang w:val="en-CA" w:eastAsia="ja-JP"/>
        </w:rPr>
        <w:t>受惠国</w:t>
      </w:r>
      <w:r w:rsidRPr="002347E9">
        <w:rPr>
          <w:rFonts w:hint="eastAsia"/>
          <w:snapToGrid w:val="0"/>
          <w:szCs w:val="21"/>
          <w:lang w:val="en-CA"/>
        </w:rPr>
        <w:t>欲确保本国国民与</w:t>
      </w:r>
      <w:r w:rsidRPr="002347E9">
        <w:rPr>
          <w:snapToGrid w:val="0"/>
          <w:szCs w:val="21"/>
          <w:lang w:val="en-CA" w:eastAsia="ja-JP"/>
        </w:rPr>
        <w:t>第三国</w:t>
      </w:r>
      <w:r w:rsidRPr="002347E9">
        <w:rPr>
          <w:rFonts w:hint="eastAsia"/>
          <w:snapToGrid w:val="0"/>
          <w:szCs w:val="21"/>
          <w:lang w:val="en-CA"/>
        </w:rPr>
        <w:t>国民拥有平等的竞争机会。</w:t>
      </w:r>
      <w:r w:rsidRPr="00953281">
        <w:rPr>
          <w:snapToGrid w:val="0"/>
          <w:w w:val="150"/>
          <w:szCs w:val="21"/>
          <w:vertAlign w:val="superscript"/>
          <w:lang w:val="en-CA" w:eastAsia="ja-JP"/>
        </w:rPr>
        <w:footnoteReference w:id="484"/>
      </w:r>
      <w:r w:rsidRPr="002347E9">
        <w:rPr>
          <w:snapToGrid w:val="0"/>
          <w:szCs w:val="21"/>
          <w:lang w:val="en-CA" w:eastAsia="ja-JP"/>
        </w:rPr>
        <w:t xml:space="preserve"> </w:t>
      </w:r>
      <w:r w:rsidRPr="002347E9">
        <w:rPr>
          <w:rFonts w:hint="eastAsia"/>
          <w:snapToGrid w:val="0"/>
          <w:szCs w:val="21"/>
          <w:lang w:val="en-CA"/>
        </w:rPr>
        <w:t>这是关贸总协定和世贸组织规定在货物贸易领域提供最惠国待遇的理由，也是投资者及其投资要求享有最惠国待遇的根本原因。另一种看法是，最惠国待遇和国民待遇的目的是承认和落实“投资者的权利”。</w:t>
      </w:r>
      <w:r w:rsidRPr="00953281">
        <w:rPr>
          <w:snapToGrid w:val="0"/>
          <w:w w:val="150"/>
          <w:szCs w:val="21"/>
          <w:vertAlign w:val="superscript"/>
          <w:lang w:val="en-CA" w:eastAsia="ja-JP"/>
        </w:rPr>
        <w:footnoteReference w:id="485"/>
      </w:r>
      <w:r w:rsidRPr="002347E9">
        <w:rPr>
          <w:snapToGrid w:val="0"/>
          <w:szCs w:val="21"/>
          <w:lang w:val="en-CA" w:eastAsia="ja-JP"/>
        </w:rPr>
        <w:t xml:space="preserve"> </w:t>
      </w:r>
      <w:r w:rsidRPr="002347E9">
        <w:rPr>
          <w:rFonts w:hint="eastAsia"/>
          <w:snapToGrid w:val="0"/>
          <w:szCs w:val="21"/>
          <w:lang w:val="en-CA"/>
        </w:rPr>
        <w:t>即便如此，在最惠国和</w:t>
      </w:r>
      <w:r w:rsidRPr="002347E9">
        <w:rPr>
          <w:snapToGrid w:val="0"/>
          <w:szCs w:val="21"/>
          <w:lang w:val="en-CA" w:eastAsia="ja-JP"/>
        </w:rPr>
        <w:t>国民待遇</w:t>
      </w:r>
      <w:r w:rsidRPr="002347E9">
        <w:rPr>
          <w:rFonts w:hint="eastAsia"/>
          <w:snapToGrid w:val="0"/>
          <w:szCs w:val="21"/>
          <w:lang w:val="en-CA"/>
        </w:rPr>
        <w:t>方面的“权利”，其目的也是确保投资者与其他外国投资者或本国国民</w:t>
      </w:r>
      <w:r w:rsidRPr="002347E9">
        <w:rPr>
          <w:rFonts w:hint="eastAsia"/>
          <w:snapToGrid w:val="0"/>
          <w:szCs w:val="21"/>
          <w:lang w:val="en-CA"/>
        </w:rPr>
        <w:t>(</w:t>
      </w:r>
      <w:r w:rsidRPr="002347E9">
        <w:rPr>
          <w:rFonts w:hint="eastAsia"/>
          <w:snapToGrid w:val="0"/>
          <w:szCs w:val="21"/>
          <w:lang w:val="en-CA"/>
        </w:rPr>
        <w:t>视情形而定</w:t>
      </w:r>
      <w:r w:rsidRPr="002347E9">
        <w:rPr>
          <w:rFonts w:hint="eastAsia"/>
          <w:snapToGrid w:val="0"/>
          <w:szCs w:val="21"/>
          <w:lang w:val="en-CA"/>
        </w:rPr>
        <w:t>)</w:t>
      </w:r>
      <w:r w:rsidRPr="002347E9">
        <w:rPr>
          <w:rFonts w:hint="eastAsia"/>
          <w:snapToGrid w:val="0"/>
          <w:szCs w:val="21"/>
          <w:lang w:val="en-CA"/>
        </w:rPr>
        <w:t>拥有平等的竞争机会。</w:t>
      </w:r>
    </w:p>
    <w:p w:rsidR="00F53060" w:rsidRPr="002347E9" w:rsidRDefault="00F53060" w:rsidP="00F53060">
      <w:pPr>
        <w:pStyle w:val="SingleTxt"/>
        <w:rPr>
          <w:snapToGrid w:val="0"/>
          <w:szCs w:val="21"/>
          <w:lang w:val="en-CA"/>
        </w:rPr>
      </w:pPr>
      <w:r w:rsidRPr="002347E9">
        <w:rPr>
          <w:snapToGrid w:val="0"/>
          <w:szCs w:val="21"/>
          <w:lang w:val="en-CA" w:eastAsia="ja-JP"/>
        </w:rPr>
        <w:t>76.</w:t>
      </w:r>
      <w:r w:rsidRPr="002347E9">
        <w:rPr>
          <w:rFonts w:hint="eastAsia"/>
          <w:snapToGrid w:val="0"/>
          <w:szCs w:val="21"/>
          <w:lang w:val="en-CA"/>
        </w:rPr>
        <w:t xml:space="preserve">  </w:t>
      </w:r>
      <w:r w:rsidRPr="002347E9">
        <w:rPr>
          <w:rFonts w:hint="eastAsia"/>
          <w:snapToGrid w:val="0"/>
          <w:szCs w:val="21"/>
          <w:lang w:val="en-CA"/>
        </w:rPr>
        <w:t>若“</w:t>
      </w:r>
      <w:r w:rsidRPr="002347E9">
        <w:rPr>
          <w:snapToGrid w:val="0"/>
          <w:szCs w:val="21"/>
          <w:lang w:val="en-CA" w:eastAsia="ja-JP"/>
        </w:rPr>
        <w:t>不低于</w:t>
      </w:r>
      <w:r w:rsidRPr="002347E9">
        <w:rPr>
          <w:rFonts w:hint="eastAsia"/>
          <w:snapToGrid w:val="0"/>
          <w:szCs w:val="21"/>
          <w:lang w:val="en-CA"/>
        </w:rPr>
        <w:t>”条款涉及到“</w:t>
      </w:r>
      <w:r w:rsidRPr="002347E9">
        <w:rPr>
          <w:snapToGrid w:val="0"/>
          <w:szCs w:val="21"/>
          <w:lang w:val="en-CA" w:eastAsia="ja-JP"/>
        </w:rPr>
        <w:t>国民待遇</w:t>
      </w:r>
      <w:r w:rsidRPr="002347E9">
        <w:rPr>
          <w:rFonts w:hint="eastAsia"/>
          <w:snapToGrid w:val="0"/>
          <w:szCs w:val="21"/>
          <w:lang w:val="en-CA"/>
        </w:rPr>
        <w:t>”规定，则</w:t>
      </w:r>
      <w:r w:rsidRPr="002347E9">
        <w:rPr>
          <w:snapToGrid w:val="0"/>
          <w:szCs w:val="21"/>
          <w:lang w:val="en-CA" w:eastAsia="ja-JP"/>
        </w:rPr>
        <w:t>授与国</w:t>
      </w:r>
      <w:r w:rsidRPr="002347E9">
        <w:rPr>
          <w:rFonts w:hint="eastAsia"/>
          <w:snapToGrid w:val="0"/>
          <w:szCs w:val="21"/>
          <w:lang w:val="en-CA"/>
        </w:rPr>
        <w:t>答应给予的待遇“</w:t>
      </w:r>
      <w:r w:rsidRPr="002347E9">
        <w:rPr>
          <w:snapToGrid w:val="0"/>
          <w:szCs w:val="21"/>
          <w:lang w:val="en-CA" w:eastAsia="ja-JP"/>
        </w:rPr>
        <w:t>不低于</w:t>
      </w:r>
      <w:r w:rsidRPr="002347E9">
        <w:rPr>
          <w:rFonts w:hint="eastAsia"/>
          <w:snapToGrid w:val="0"/>
          <w:szCs w:val="21"/>
          <w:lang w:val="en-CA"/>
        </w:rPr>
        <w:t>”给予本国国民的待遇。这种</w:t>
      </w:r>
      <w:r w:rsidRPr="002347E9">
        <w:rPr>
          <w:snapToGrid w:val="0"/>
          <w:szCs w:val="21"/>
          <w:lang w:val="en-CA" w:eastAsia="ja-JP"/>
        </w:rPr>
        <w:t>国民待遇</w:t>
      </w:r>
      <w:r w:rsidRPr="002347E9">
        <w:rPr>
          <w:rFonts w:hint="eastAsia"/>
          <w:snapToGrid w:val="0"/>
          <w:szCs w:val="21"/>
          <w:lang w:val="en-CA"/>
        </w:rPr>
        <w:t>规定也同样存在确定主题事项是否充分类似的“同类原则”问题。同样，</w:t>
      </w:r>
      <w:r w:rsidRPr="002347E9">
        <w:rPr>
          <w:snapToGrid w:val="0"/>
          <w:szCs w:val="21"/>
          <w:lang w:val="en-CA" w:eastAsia="ja-JP"/>
        </w:rPr>
        <w:t>国民待遇</w:t>
      </w:r>
      <w:r w:rsidRPr="002347E9">
        <w:rPr>
          <w:rFonts w:hint="eastAsia"/>
          <w:snapToGrid w:val="0"/>
          <w:szCs w:val="21"/>
          <w:lang w:val="en-CA"/>
        </w:rPr>
        <w:t>规定与</w:t>
      </w:r>
      <w:r w:rsidRPr="002347E9">
        <w:rPr>
          <w:snapToGrid w:val="0"/>
          <w:szCs w:val="21"/>
          <w:lang w:val="en-CA" w:eastAsia="ja-JP"/>
        </w:rPr>
        <w:t>最惠国</w:t>
      </w:r>
      <w:r w:rsidRPr="002347E9">
        <w:rPr>
          <w:rFonts w:hint="eastAsia"/>
          <w:snapToGrid w:val="0"/>
          <w:szCs w:val="21"/>
          <w:lang w:val="en-CA"/>
        </w:rPr>
        <w:t>规定一样，往往使用“</w:t>
      </w:r>
      <w:r w:rsidRPr="002347E9">
        <w:rPr>
          <w:snapToGrid w:val="0"/>
          <w:szCs w:val="21"/>
          <w:lang w:val="en-CA" w:eastAsia="ja-JP"/>
        </w:rPr>
        <w:t>同</w:t>
      </w:r>
      <w:r w:rsidRPr="002347E9">
        <w:rPr>
          <w:rFonts w:ascii="宋体" w:hAnsi="宋体" w:cs="宋体" w:hint="eastAsia"/>
          <w:snapToGrid w:val="0"/>
          <w:szCs w:val="21"/>
          <w:lang w:val="en-CA" w:eastAsia="ja-JP"/>
        </w:rPr>
        <w:t>类</w:t>
      </w:r>
      <w:r w:rsidRPr="002347E9">
        <w:rPr>
          <w:rFonts w:ascii="MS Mincho" w:hAnsi="MS Mincho" w:cs="MS Mincho" w:hint="eastAsia"/>
          <w:snapToGrid w:val="0"/>
          <w:szCs w:val="21"/>
          <w:lang w:val="en-CA" w:eastAsia="ja-JP"/>
        </w:rPr>
        <w:t>情形</w:t>
      </w:r>
      <w:r w:rsidRPr="002347E9">
        <w:rPr>
          <w:rFonts w:hint="eastAsia"/>
          <w:snapToGrid w:val="0"/>
          <w:szCs w:val="21"/>
          <w:lang w:val="en-CA"/>
        </w:rPr>
        <w:t>”或“</w:t>
      </w:r>
      <w:r w:rsidRPr="002347E9">
        <w:rPr>
          <w:rFonts w:ascii="宋体" w:hAnsi="宋体" w:cs="宋体" w:hint="eastAsia"/>
          <w:snapToGrid w:val="0"/>
          <w:szCs w:val="21"/>
          <w:lang w:val="en-CA" w:eastAsia="ja-JP"/>
        </w:rPr>
        <w:t>类</w:t>
      </w:r>
      <w:r w:rsidRPr="002347E9">
        <w:rPr>
          <w:rFonts w:ascii="MS Mincho" w:hAnsi="MS Mincho" w:cs="MS Mincho" w:hint="eastAsia"/>
          <w:snapToGrid w:val="0"/>
          <w:szCs w:val="21"/>
          <w:lang w:val="en-CA" w:eastAsia="ja-JP"/>
        </w:rPr>
        <w:t>似情况</w:t>
      </w:r>
      <w:r w:rsidRPr="002347E9">
        <w:rPr>
          <w:rFonts w:hint="eastAsia"/>
          <w:snapToGrid w:val="0"/>
          <w:szCs w:val="21"/>
          <w:lang w:val="en-CA"/>
        </w:rPr>
        <w:t>”来界定</w:t>
      </w:r>
      <w:r w:rsidRPr="002347E9">
        <w:rPr>
          <w:snapToGrid w:val="0"/>
          <w:szCs w:val="21"/>
          <w:lang w:val="en-CA" w:eastAsia="ja-JP"/>
        </w:rPr>
        <w:t>国民待遇</w:t>
      </w:r>
      <w:r w:rsidRPr="002347E9">
        <w:rPr>
          <w:rFonts w:hint="eastAsia"/>
          <w:snapToGrid w:val="0"/>
          <w:szCs w:val="21"/>
          <w:lang w:val="en-CA"/>
        </w:rPr>
        <w:t>规定的</w:t>
      </w:r>
      <w:r w:rsidRPr="002347E9">
        <w:rPr>
          <w:snapToGrid w:val="0"/>
          <w:szCs w:val="21"/>
          <w:lang w:val="en-CA" w:eastAsia="ja-JP"/>
        </w:rPr>
        <w:t>受惠方</w:t>
      </w:r>
      <w:r w:rsidRPr="002347E9">
        <w:rPr>
          <w:rFonts w:hint="eastAsia"/>
          <w:snapToGrid w:val="0"/>
          <w:szCs w:val="21"/>
          <w:lang w:val="en-CA"/>
        </w:rPr>
        <w:t>享有权利的范围。因此，这两种条款引发同一类解释性问题。</w:t>
      </w:r>
    </w:p>
    <w:p w:rsidR="00F53060" w:rsidRPr="002347E9" w:rsidRDefault="00F53060" w:rsidP="00F53060">
      <w:pPr>
        <w:pStyle w:val="SingleTxt"/>
        <w:rPr>
          <w:snapToGrid w:val="0"/>
          <w:szCs w:val="21"/>
          <w:lang w:val="en-CA" w:eastAsia="ja-JP"/>
        </w:rPr>
      </w:pPr>
      <w:r w:rsidRPr="002347E9">
        <w:rPr>
          <w:snapToGrid w:val="0"/>
          <w:szCs w:val="21"/>
          <w:lang w:val="en-CA" w:eastAsia="ja-JP"/>
        </w:rPr>
        <w:t>77.</w:t>
      </w:r>
      <w:r w:rsidRPr="002347E9">
        <w:rPr>
          <w:rFonts w:hint="eastAsia"/>
          <w:snapToGrid w:val="0"/>
          <w:szCs w:val="21"/>
          <w:lang w:val="en-CA"/>
        </w:rPr>
        <w:t xml:space="preserve">  </w:t>
      </w:r>
      <w:r w:rsidRPr="002347E9">
        <w:rPr>
          <w:snapToGrid w:val="0"/>
          <w:szCs w:val="21"/>
          <w:lang w:val="en-CA" w:eastAsia="ja-JP"/>
        </w:rPr>
        <w:t>1978</w:t>
      </w:r>
      <w:r w:rsidRPr="002347E9">
        <w:rPr>
          <w:snapToGrid w:val="0"/>
          <w:szCs w:val="21"/>
          <w:lang w:val="en-CA" w:eastAsia="ja-JP"/>
        </w:rPr>
        <w:t>年条款草案</w:t>
      </w:r>
      <w:r w:rsidRPr="002347E9">
        <w:rPr>
          <w:rFonts w:ascii="宋体" w:hAnsi="宋体" w:cs="宋体" w:hint="eastAsia"/>
          <w:snapToGrid w:val="0"/>
          <w:szCs w:val="21"/>
          <w:lang w:val="en-CA"/>
        </w:rPr>
        <w:t>未就最惠国待遇和</w:t>
      </w:r>
      <w:r w:rsidRPr="002347E9">
        <w:rPr>
          <w:snapToGrid w:val="0"/>
          <w:szCs w:val="21"/>
          <w:lang w:val="en-CA" w:eastAsia="ja-JP"/>
        </w:rPr>
        <w:t>国民待遇</w:t>
      </w:r>
      <w:r w:rsidRPr="002347E9">
        <w:rPr>
          <w:rFonts w:hint="eastAsia"/>
          <w:snapToGrid w:val="0"/>
          <w:szCs w:val="21"/>
          <w:lang w:val="en-CA"/>
        </w:rPr>
        <w:t>之间的联系多做评论。草案规定，二者可在同一文书中并存，而不影响</w:t>
      </w:r>
      <w:r w:rsidRPr="002347E9">
        <w:rPr>
          <w:snapToGrid w:val="0"/>
          <w:szCs w:val="21"/>
          <w:lang w:val="en-CA" w:eastAsia="ja-JP"/>
        </w:rPr>
        <w:t>最惠国待遇</w:t>
      </w:r>
      <w:r w:rsidRPr="002347E9">
        <w:rPr>
          <w:rFonts w:hint="eastAsia"/>
          <w:snapToGrid w:val="0"/>
          <w:szCs w:val="21"/>
          <w:lang w:val="en-CA"/>
        </w:rPr>
        <w:t>。</w:t>
      </w:r>
      <w:r w:rsidRPr="00953281">
        <w:rPr>
          <w:snapToGrid w:val="0"/>
          <w:w w:val="150"/>
          <w:szCs w:val="21"/>
          <w:vertAlign w:val="superscript"/>
          <w:lang w:val="en-CA" w:eastAsia="ja-JP"/>
        </w:rPr>
        <w:footnoteReference w:id="486"/>
      </w:r>
      <w:r w:rsidRPr="002347E9">
        <w:rPr>
          <w:snapToGrid w:val="0"/>
          <w:szCs w:val="21"/>
          <w:lang w:val="en-CA" w:eastAsia="ja-JP"/>
        </w:rPr>
        <w:t xml:space="preserve"> </w:t>
      </w:r>
      <w:r w:rsidRPr="002347E9">
        <w:rPr>
          <w:rFonts w:hint="eastAsia"/>
          <w:snapToGrid w:val="0"/>
          <w:szCs w:val="21"/>
          <w:lang w:val="en-CA"/>
        </w:rPr>
        <w:t>草案还规定，即使给予第三国的待遇系按</w:t>
      </w:r>
      <w:r w:rsidRPr="002347E9">
        <w:rPr>
          <w:snapToGrid w:val="0"/>
          <w:szCs w:val="21"/>
          <w:lang w:val="en-CA" w:eastAsia="ja-JP"/>
        </w:rPr>
        <w:t>国民待遇</w:t>
      </w:r>
      <w:r w:rsidRPr="002347E9">
        <w:rPr>
          <w:rFonts w:hint="eastAsia"/>
          <w:snapToGrid w:val="0"/>
          <w:szCs w:val="21"/>
          <w:lang w:val="en-CA"/>
        </w:rPr>
        <w:t>授与，</w:t>
      </w:r>
      <w:r w:rsidRPr="002347E9">
        <w:rPr>
          <w:snapToGrid w:val="0"/>
          <w:szCs w:val="21"/>
          <w:lang w:val="en-CA" w:eastAsia="ja-JP"/>
        </w:rPr>
        <w:t>最惠国待遇</w:t>
      </w:r>
      <w:r w:rsidRPr="002347E9">
        <w:rPr>
          <w:rFonts w:hint="eastAsia"/>
          <w:snapToGrid w:val="0"/>
          <w:szCs w:val="21"/>
          <w:lang w:val="en-CA"/>
        </w:rPr>
        <w:t>依然适用。研究组认为，对</w:t>
      </w:r>
      <w:r w:rsidRPr="002347E9">
        <w:rPr>
          <w:snapToGrid w:val="0"/>
          <w:szCs w:val="21"/>
          <w:lang w:val="en-CA" w:eastAsia="ja-JP"/>
        </w:rPr>
        <w:t>国民待遇</w:t>
      </w:r>
      <w:r w:rsidRPr="002347E9">
        <w:rPr>
          <w:rFonts w:hint="eastAsia"/>
          <w:snapToGrid w:val="0"/>
          <w:szCs w:val="21"/>
          <w:lang w:val="en-CA"/>
        </w:rPr>
        <w:t>规定中“</w:t>
      </w:r>
      <w:r w:rsidRPr="002347E9">
        <w:rPr>
          <w:snapToGrid w:val="0"/>
          <w:szCs w:val="21"/>
          <w:lang w:val="en-CA" w:eastAsia="ja-JP"/>
        </w:rPr>
        <w:t>同</w:t>
      </w:r>
      <w:r w:rsidRPr="002347E9">
        <w:rPr>
          <w:rFonts w:ascii="宋体" w:hAnsi="宋体" w:cs="宋体" w:hint="eastAsia"/>
          <w:snapToGrid w:val="0"/>
          <w:szCs w:val="21"/>
          <w:lang w:val="en-CA" w:eastAsia="ja-JP"/>
        </w:rPr>
        <w:t>类</w:t>
      </w:r>
      <w:r w:rsidRPr="002347E9">
        <w:rPr>
          <w:rFonts w:ascii="MS Mincho" w:hAnsi="MS Mincho" w:cs="MS Mincho" w:hint="eastAsia"/>
          <w:snapToGrid w:val="0"/>
          <w:szCs w:val="21"/>
          <w:lang w:val="en-CA" w:eastAsia="ja-JP"/>
        </w:rPr>
        <w:t>情形</w:t>
      </w:r>
      <w:r w:rsidRPr="002347E9">
        <w:rPr>
          <w:rFonts w:hint="eastAsia"/>
          <w:snapToGrid w:val="0"/>
          <w:szCs w:val="21"/>
          <w:lang w:val="en-CA"/>
        </w:rPr>
        <w:t>”或“</w:t>
      </w:r>
      <w:r w:rsidRPr="002347E9">
        <w:rPr>
          <w:rFonts w:ascii="宋体" w:hAnsi="宋体" w:cs="宋体" w:hint="eastAsia"/>
          <w:snapToGrid w:val="0"/>
          <w:szCs w:val="21"/>
          <w:lang w:val="en-CA" w:eastAsia="ja-JP"/>
        </w:rPr>
        <w:t>类</w:t>
      </w:r>
      <w:r w:rsidRPr="002347E9">
        <w:rPr>
          <w:rFonts w:ascii="MS Mincho" w:hAnsi="MS Mincho" w:cs="MS Mincho" w:hint="eastAsia"/>
          <w:snapToGrid w:val="0"/>
          <w:szCs w:val="21"/>
          <w:lang w:val="en-CA" w:eastAsia="ja-JP"/>
        </w:rPr>
        <w:t>似情况</w:t>
      </w:r>
      <w:r w:rsidRPr="002347E9">
        <w:rPr>
          <w:rFonts w:hint="eastAsia"/>
          <w:snapToGrid w:val="0"/>
          <w:szCs w:val="21"/>
          <w:lang w:val="en-CA"/>
        </w:rPr>
        <w:t>”等词语的解释，可以为这些术语在</w:t>
      </w:r>
      <w:r w:rsidRPr="002347E9">
        <w:rPr>
          <w:snapToGrid w:val="0"/>
          <w:szCs w:val="21"/>
          <w:lang w:val="en-CA" w:eastAsia="ja-JP"/>
        </w:rPr>
        <w:t>最惠国条款</w:t>
      </w:r>
      <w:r w:rsidRPr="002347E9">
        <w:rPr>
          <w:rFonts w:hint="eastAsia"/>
          <w:snapToGrid w:val="0"/>
          <w:szCs w:val="21"/>
          <w:lang w:val="en-CA"/>
        </w:rPr>
        <w:t>中的解释提供重要指导。</w:t>
      </w:r>
    </w:p>
    <w:p w:rsidR="00F53060" w:rsidRPr="002347E9" w:rsidRDefault="00F53060" w:rsidP="00F53060">
      <w:pPr>
        <w:pStyle w:val="SingleTxt"/>
        <w:rPr>
          <w:snapToGrid w:val="0"/>
          <w:szCs w:val="21"/>
          <w:lang w:val="en-CA" w:eastAsia="ja-JP"/>
        </w:rPr>
      </w:pPr>
      <w:r w:rsidRPr="002347E9">
        <w:rPr>
          <w:snapToGrid w:val="0"/>
          <w:szCs w:val="21"/>
          <w:lang w:val="en-CA" w:eastAsia="ja-JP"/>
        </w:rPr>
        <w:t>78.</w:t>
      </w:r>
      <w:r w:rsidRPr="002347E9">
        <w:rPr>
          <w:rFonts w:hint="eastAsia"/>
          <w:snapToGrid w:val="0"/>
          <w:szCs w:val="21"/>
          <w:lang w:val="en-CA"/>
        </w:rPr>
        <w:t xml:space="preserve">  </w:t>
      </w:r>
      <w:r w:rsidRPr="002347E9">
        <w:rPr>
          <w:rFonts w:hint="eastAsia"/>
          <w:snapToGrid w:val="0"/>
          <w:szCs w:val="21"/>
          <w:lang w:val="en-CA"/>
        </w:rPr>
        <w:t>在涉及</w:t>
      </w:r>
      <w:r w:rsidRPr="002347E9">
        <w:rPr>
          <w:snapToGrid w:val="0"/>
          <w:szCs w:val="21"/>
          <w:lang w:val="en-CA" w:eastAsia="ja-JP"/>
        </w:rPr>
        <w:t>最惠国待遇</w:t>
      </w:r>
      <w:r w:rsidRPr="002347E9">
        <w:rPr>
          <w:rFonts w:hint="eastAsia"/>
          <w:snapToGrid w:val="0"/>
          <w:szCs w:val="21"/>
          <w:lang w:val="en-CA"/>
        </w:rPr>
        <w:t>的投资争端中，“</w:t>
      </w:r>
      <w:r w:rsidRPr="002347E9">
        <w:rPr>
          <w:snapToGrid w:val="0"/>
          <w:szCs w:val="21"/>
          <w:lang w:val="en-CA" w:eastAsia="ja-JP"/>
        </w:rPr>
        <w:t>不低于</w:t>
      </w:r>
      <w:r w:rsidRPr="002347E9">
        <w:rPr>
          <w:rFonts w:hint="eastAsia"/>
          <w:snapToGrid w:val="0"/>
          <w:szCs w:val="21"/>
          <w:lang w:val="en-CA"/>
        </w:rPr>
        <w:t>”的含义并未引起多少争议。在</w:t>
      </w:r>
      <w:r w:rsidRPr="002347E9">
        <w:rPr>
          <w:rFonts w:hint="eastAsia"/>
          <w:snapToGrid w:val="0"/>
          <w:szCs w:val="21"/>
          <w:lang w:val="en-CA" w:eastAsia="ja-JP"/>
        </w:rPr>
        <w:t>《多</w:t>
      </w:r>
      <w:r w:rsidRPr="002347E9">
        <w:rPr>
          <w:rFonts w:ascii="宋体" w:hAnsi="宋体" w:cs="宋体" w:hint="eastAsia"/>
          <w:snapToGrid w:val="0"/>
          <w:szCs w:val="21"/>
          <w:lang w:val="en-CA" w:eastAsia="ja-JP"/>
        </w:rPr>
        <w:t>边</w:t>
      </w:r>
      <w:r w:rsidRPr="002347E9">
        <w:rPr>
          <w:rFonts w:ascii="MS Mincho" w:hAnsi="MS Mincho" w:cs="MS Mincho" w:hint="eastAsia"/>
          <w:snapToGrid w:val="0"/>
          <w:szCs w:val="21"/>
          <w:lang w:val="en-CA" w:eastAsia="ja-JP"/>
        </w:rPr>
        <w:t>投</w:t>
      </w:r>
      <w:r w:rsidRPr="002347E9">
        <w:rPr>
          <w:rFonts w:ascii="宋体" w:hAnsi="宋体" w:cs="宋体" w:hint="eastAsia"/>
          <w:snapToGrid w:val="0"/>
          <w:szCs w:val="21"/>
          <w:lang w:val="en-CA" w:eastAsia="ja-JP"/>
        </w:rPr>
        <w:t>资协</w:t>
      </w:r>
      <w:r w:rsidRPr="002347E9">
        <w:rPr>
          <w:rFonts w:ascii="MS Mincho" w:hAnsi="MS Mincho" w:cs="MS Mincho" w:hint="eastAsia"/>
          <w:snapToGrid w:val="0"/>
          <w:szCs w:val="21"/>
          <w:lang w:val="en-CA" w:eastAsia="ja-JP"/>
        </w:rPr>
        <w:t>定》</w:t>
      </w:r>
      <w:r w:rsidRPr="002347E9">
        <w:rPr>
          <w:rFonts w:ascii="MS Mincho" w:hAnsi="MS Mincho" w:cs="MS Mincho" w:hint="eastAsia"/>
          <w:snapToGrid w:val="0"/>
          <w:szCs w:val="21"/>
          <w:lang w:val="en-CA"/>
        </w:rPr>
        <w:t>的</w:t>
      </w:r>
      <w:r w:rsidRPr="002347E9">
        <w:rPr>
          <w:rFonts w:ascii="宋体" w:hAnsi="宋体" w:cs="宋体" w:hint="eastAsia"/>
          <w:snapToGrid w:val="0"/>
          <w:szCs w:val="21"/>
          <w:lang w:val="en-CA" w:eastAsia="ja-JP"/>
        </w:rPr>
        <w:t>谈</w:t>
      </w:r>
      <w:r w:rsidRPr="002347E9">
        <w:rPr>
          <w:rFonts w:ascii="MS Mincho" w:hAnsi="MS Mincho" w:cs="MS Mincho" w:hint="eastAsia"/>
          <w:snapToGrid w:val="0"/>
          <w:szCs w:val="21"/>
          <w:lang w:val="en-CA" w:eastAsia="ja-JP"/>
        </w:rPr>
        <w:t>判中</w:t>
      </w:r>
      <w:r w:rsidRPr="002347E9">
        <w:rPr>
          <w:rFonts w:ascii="MS Mincho" w:hAnsi="MS Mincho" w:cs="MS Mincho" w:hint="eastAsia"/>
          <w:snapToGrid w:val="0"/>
          <w:szCs w:val="21"/>
          <w:lang w:val="en-CA"/>
        </w:rPr>
        <w:t>，有人建议使用“平等”</w:t>
      </w:r>
      <w:r w:rsidRPr="002347E9">
        <w:rPr>
          <w:rFonts w:hint="eastAsia"/>
          <w:snapToGrid w:val="0"/>
          <w:szCs w:val="21"/>
          <w:lang w:val="en-CA"/>
        </w:rPr>
        <w:t>而不是“</w:t>
      </w:r>
      <w:r w:rsidRPr="002347E9">
        <w:rPr>
          <w:snapToGrid w:val="0"/>
          <w:szCs w:val="21"/>
          <w:lang w:val="en-CA" w:eastAsia="ja-JP"/>
        </w:rPr>
        <w:t>不低于</w:t>
      </w:r>
      <w:r w:rsidRPr="002347E9">
        <w:rPr>
          <w:rFonts w:hint="eastAsia"/>
          <w:snapToGrid w:val="0"/>
          <w:szCs w:val="21"/>
          <w:lang w:val="en-CA"/>
        </w:rPr>
        <w:t>”来描述</w:t>
      </w:r>
      <w:r w:rsidRPr="002347E9">
        <w:rPr>
          <w:snapToGrid w:val="0"/>
          <w:szCs w:val="21"/>
          <w:lang w:val="en-CA" w:eastAsia="ja-JP"/>
        </w:rPr>
        <w:t>最惠国条款</w:t>
      </w:r>
      <w:r w:rsidRPr="002347E9">
        <w:rPr>
          <w:rFonts w:hint="eastAsia"/>
          <w:snapToGrid w:val="0"/>
          <w:szCs w:val="21"/>
          <w:lang w:val="en-CA"/>
        </w:rPr>
        <w:t>规定的待遇标准。虽然这一事项从未最终解决，但反对意见认为，</w:t>
      </w:r>
      <w:r w:rsidRPr="002347E9">
        <w:rPr>
          <w:snapToGrid w:val="0"/>
          <w:szCs w:val="21"/>
          <w:lang w:val="en-CA" w:eastAsia="ja-JP"/>
        </w:rPr>
        <w:t>最惠国</w:t>
      </w:r>
      <w:r w:rsidRPr="002347E9">
        <w:rPr>
          <w:rFonts w:hint="eastAsia"/>
          <w:snapToGrid w:val="0"/>
          <w:szCs w:val="21"/>
          <w:lang w:val="en-CA"/>
        </w:rPr>
        <w:t>条款的目的不是限制</w:t>
      </w:r>
      <w:r w:rsidRPr="002347E9">
        <w:rPr>
          <w:snapToGrid w:val="0"/>
          <w:szCs w:val="21"/>
          <w:lang w:val="en-CA" w:eastAsia="ja-JP"/>
        </w:rPr>
        <w:t>授与国</w:t>
      </w:r>
      <w:r w:rsidRPr="002347E9">
        <w:rPr>
          <w:rFonts w:hint="eastAsia"/>
          <w:snapToGrid w:val="0"/>
          <w:szCs w:val="21"/>
          <w:lang w:val="en-CA"/>
        </w:rPr>
        <w:t>能够给予哪些待遇。若授与国愿意，可以提供优于“平等”的待遇，虽然这可能对该国的其他最惠国协定带来影响。“</w:t>
      </w:r>
      <w:r w:rsidRPr="002347E9">
        <w:rPr>
          <w:rFonts w:ascii="宋体" w:hAnsi="宋体" w:cs="宋体" w:hint="eastAsia"/>
          <w:snapToGrid w:val="0"/>
          <w:szCs w:val="21"/>
          <w:lang w:val="en-CA"/>
        </w:rPr>
        <w:t>不低于</w:t>
      </w:r>
      <w:r w:rsidRPr="002347E9">
        <w:rPr>
          <w:rFonts w:hint="eastAsia"/>
          <w:snapToGrid w:val="0"/>
          <w:szCs w:val="21"/>
          <w:lang w:val="en-CA"/>
        </w:rPr>
        <w:t>”为给予的待遇设定了下限。</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3.</w:t>
      </w:r>
      <w:r w:rsidRPr="002347E9">
        <w:rPr>
          <w:lang w:val="en-CA"/>
        </w:rPr>
        <w:tab/>
      </w:r>
      <w:r w:rsidRPr="002347E9">
        <w:rPr>
          <w:rFonts w:hint="eastAsia"/>
          <w:lang w:val="en-CA"/>
        </w:rPr>
        <w:t>根据</w:t>
      </w:r>
      <w:r w:rsidRPr="002347E9">
        <w:rPr>
          <w:lang w:val="en-CA"/>
        </w:rPr>
        <w:t>最惠国条款</w:t>
      </w:r>
      <w:r w:rsidRPr="002347E9">
        <w:rPr>
          <w:rFonts w:hint="eastAsia"/>
          <w:lang w:val="en-CA"/>
        </w:rPr>
        <w:t>所给予待遇的范围</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6578DB" w:rsidRPr="006578DB" w:rsidRDefault="006578DB" w:rsidP="006578DB">
      <w:pPr>
        <w:pStyle w:val="SingleTxt"/>
        <w:spacing w:after="0" w:line="120" w:lineRule="exact"/>
        <w:rPr>
          <w:snapToGrid w:val="0"/>
          <w:sz w:val="10"/>
          <w:szCs w:val="21"/>
          <w:lang w:val="en-CA"/>
        </w:rPr>
      </w:pPr>
    </w:p>
    <w:p w:rsidR="00F53060" w:rsidRPr="002347E9" w:rsidRDefault="00F53060" w:rsidP="00F53060">
      <w:pPr>
        <w:pStyle w:val="SingleTxt"/>
        <w:rPr>
          <w:snapToGrid w:val="0"/>
          <w:szCs w:val="21"/>
          <w:lang w:val="en-CA" w:eastAsia="ja-JP"/>
        </w:rPr>
      </w:pPr>
      <w:r w:rsidRPr="002347E9">
        <w:rPr>
          <w:snapToGrid w:val="0"/>
          <w:szCs w:val="21"/>
          <w:lang w:val="en-CA"/>
        </w:rPr>
        <w:t>79.</w:t>
      </w:r>
      <w:r w:rsidRPr="002347E9">
        <w:rPr>
          <w:rFonts w:hint="eastAsia"/>
          <w:snapToGrid w:val="0"/>
          <w:szCs w:val="21"/>
          <w:lang w:val="en-CA"/>
        </w:rPr>
        <w:t xml:space="preserve">  </w:t>
      </w:r>
      <w:r w:rsidRPr="002347E9">
        <w:rPr>
          <w:rFonts w:hint="eastAsia"/>
          <w:snapToGrid w:val="0"/>
          <w:szCs w:val="21"/>
          <w:lang w:val="en-CA"/>
        </w:rPr>
        <w:t>最后一项</w:t>
      </w:r>
      <w:r w:rsidRPr="002347E9">
        <w:rPr>
          <w:rFonts w:ascii="宋体" w:hAnsi="宋体" w:cs="宋体" w:hint="eastAsia"/>
          <w:snapToGrid w:val="0"/>
          <w:szCs w:val="21"/>
          <w:lang w:val="en-CA"/>
        </w:rPr>
        <w:t>解释性问题是根据</w:t>
      </w:r>
      <w:r w:rsidRPr="002347E9">
        <w:rPr>
          <w:snapToGrid w:val="0"/>
          <w:szCs w:val="21"/>
          <w:lang w:val="en-CA" w:eastAsia="ja-JP"/>
        </w:rPr>
        <w:t>最惠国条款</w:t>
      </w:r>
      <w:r w:rsidRPr="002347E9">
        <w:rPr>
          <w:rFonts w:hint="eastAsia"/>
          <w:snapToGrid w:val="0"/>
          <w:szCs w:val="21"/>
          <w:lang w:val="en-CA"/>
        </w:rPr>
        <w:t>给予的权利的范围。换言之，“待遇”包括哪些内容？委员会在</w:t>
      </w:r>
      <w:r w:rsidRPr="002347E9">
        <w:rPr>
          <w:rFonts w:hint="eastAsia"/>
          <w:snapToGrid w:val="0"/>
          <w:szCs w:val="21"/>
          <w:lang w:val="en-CA"/>
        </w:rPr>
        <w:t>1978</w:t>
      </w:r>
      <w:r w:rsidRPr="002347E9">
        <w:rPr>
          <w:rFonts w:hint="eastAsia"/>
          <w:snapToGrid w:val="0"/>
          <w:szCs w:val="21"/>
          <w:lang w:val="en-CA"/>
        </w:rPr>
        <w:t>年条款草案第九条中提出了这一问题，该条规定</w:t>
      </w:r>
      <w:r w:rsidRPr="002347E9">
        <w:rPr>
          <w:snapToGrid w:val="0"/>
          <w:szCs w:val="21"/>
          <w:lang w:val="en-CA" w:eastAsia="ja-JP"/>
        </w:rPr>
        <w:t>最惠国条款</w:t>
      </w:r>
      <w:r w:rsidRPr="002347E9">
        <w:rPr>
          <w:rFonts w:ascii="宋体" w:hAnsi="宋体" w:cs="宋体" w:hint="eastAsia"/>
          <w:snapToGrid w:val="0"/>
          <w:szCs w:val="21"/>
          <w:lang w:val="en-CA"/>
        </w:rPr>
        <w:t>仅适用于“该条款主题范围之内的权利”。</w:t>
      </w:r>
      <w:r w:rsidRPr="00953281">
        <w:rPr>
          <w:snapToGrid w:val="0"/>
          <w:w w:val="150"/>
          <w:szCs w:val="21"/>
          <w:vertAlign w:val="superscript"/>
          <w:lang w:val="en-CA" w:eastAsia="ja-JP"/>
        </w:rPr>
        <w:footnoteReference w:id="487"/>
      </w:r>
      <w:r w:rsidRPr="002347E9">
        <w:rPr>
          <w:snapToGrid w:val="0"/>
          <w:szCs w:val="21"/>
          <w:lang w:val="en-CA" w:eastAsia="ja-JP"/>
        </w:rPr>
        <w:t xml:space="preserve"> </w:t>
      </w:r>
      <w:r w:rsidRPr="002347E9">
        <w:rPr>
          <w:rFonts w:hint="eastAsia"/>
          <w:snapToGrid w:val="0"/>
          <w:szCs w:val="21"/>
          <w:lang w:val="en-CA"/>
        </w:rPr>
        <w:t>正如委员会在评注中所言，这被称为</w:t>
      </w:r>
      <w:r w:rsidRPr="002347E9">
        <w:rPr>
          <w:rFonts w:eastAsia="楷体" w:hint="eastAsia"/>
          <w:snapToGrid w:val="0"/>
          <w:szCs w:val="21"/>
          <w:lang w:val="en-CA"/>
        </w:rPr>
        <w:t>同类</w:t>
      </w:r>
      <w:r w:rsidRPr="002347E9">
        <w:rPr>
          <w:rFonts w:hint="eastAsia"/>
          <w:snapToGrid w:val="0"/>
          <w:szCs w:val="21"/>
          <w:lang w:val="en-CA"/>
        </w:rPr>
        <w:t>原则。</w:t>
      </w:r>
      <w:r w:rsidRPr="00953281">
        <w:rPr>
          <w:snapToGrid w:val="0"/>
          <w:w w:val="150"/>
          <w:szCs w:val="21"/>
          <w:vertAlign w:val="superscript"/>
          <w:lang w:val="en-CA" w:eastAsia="ja-JP"/>
        </w:rPr>
        <w:footnoteReference w:id="488"/>
      </w:r>
    </w:p>
    <w:p w:rsidR="00F53060" w:rsidRPr="002347E9" w:rsidRDefault="00F53060" w:rsidP="00F53060">
      <w:pPr>
        <w:pStyle w:val="SingleTxt"/>
        <w:rPr>
          <w:snapToGrid w:val="0"/>
          <w:szCs w:val="21"/>
          <w:lang w:val="en-CA"/>
        </w:rPr>
      </w:pPr>
      <w:r w:rsidRPr="002347E9">
        <w:rPr>
          <w:snapToGrid w:val="0"/>
          <w:szCs w:val="21"/>
          <w:lang w:val="en-CA" w:eastAsia="ja-JP"/>
        </w:rPr>
        <w:t>80.</w:t>
      </w:r>
      <w:r w:rsidRPr="002347E9">
        <w:rPr>
          <w:rFonts w:hint="eastAsia"/>
          <w:snapToGrid w:val="0"/>
          <w:szCs w:val="21"/>
          <w:lang w:val="en-CA"/>
        </w:rPr>
        <w:t xml:space="preserve">  </w:t>
      </w:r>
      <w:r w:rsidRPr="002347E9">
        <w:rPr>
          <w:rFonts w:hint="eastAsia"/>
          <w:snapToGrid w:val="0"/>
          <w:szCs w:val="21"/>
          <w:lang w:val="en-CA"/>
        </w:rPr>
        <w:t>根据最惠国条款所给予待遇的范围问题已成为国际投资协定中最令人困扰的解释性问题之一。这个问题涉及最惠国条款是否适用于条约中有别于实质性条款的程序性条款。它还涉及一个更大的问题：</w:t>
      </w:r>
      <w:r w:rsidRPr="002347E9">
        <w:rPr>
          <w:rFonts w:hint="eastAsia"/>
          <w:snapToGrid w:val="0"/>
          <w:szCs w:val="21"/>
        </w:rPr>
        <w:t>投资者能否援引最惠国条款，要求获得东道国与第三国签订的条约中包含的对投资者更有利的任何权利。</w:t>
      </w:r>
    </w:p>
    <w:p w:rsidR="00F53060" w:rsidRPr="002347E9" w:rsidRDefault="00F53060" w:rsidP="00F53060">
      <w:pPr>
        <w:pStyle w:val="SingleTxt"/>
        <w:rPr>
          <w:snapToGrid w:val="0"/>
          <w:szCs w:val="21"/>
          <w:lang w:val="en-CA"/>
        </w:rPr>
      </w:pPr>
      <w:r w:rsidRPr="002347E9">
        <w:rPr>
          <w:snapToGrid w:val="0"/>
          <w:szCs w:val="21"/>
          <w:lang w:val="en-CA"/>
        </w:rPr>
        <w:t>81.</w:t>
      </w:r>
      <w:r w:rsidRPr="002347E9">
        <w:rPr>
          <w:rFonts w:hint="eastAsia"/>
          <w:snapToGrid w:val="0"/>
          <w:szCs w:val="21"/>
          <w:lang w:val="en-CA"/>
        </w:rPr>
        <w:t xml:space="preserve">  </w:t>
      </w:r>
      <w:r w:rsidRPr="002347E9">
        <w:rPr>
          <w:rFonts w:hint="eastAsia"/>
          <w:snapToGrid w:val="0"/>
          <w:szCs w:val="21"/>
          <w:lang w:val="en-CA"/>
        </w:rPr>
        <w:t>援引基础条约中的</w:t>
      </w:r>
      <w:r w:rsidRPr="002347E9">
        <w:rPr>
          <w:rFonts w:ascii="宋体" w:hAnsi="宋体" w:cs="宋体" w:hint="eastAsia"/>
          <w:snapToGrid w:val="0"/>
          <w:szCs w:val="21"/>
          <w:lang w:val="en-CA"/>
        </w:rPr>
        <w:t>最惠国条款</w:t>
      </w:r>
      <w:r w:rsidRPr="002347E9">
        <w:rPr>
          <w:rFonts w:hint="eastAsia"/>
          <w:snapToGrid w:val="0"/>
          <w:szCs w:val="21"/>
          <w:lang w:val="en-CA"/>
        </w:rPr>
        <w:t>，扩大条约争端解决规定的范围，有以下几种方式：</w:t>
      </w:r>
      <w:r w:rsidRPr="002347E9">
        <w:rPr>
          <w:snapToGrid w:val="0"/>
          <w:szCs w:val="21"/>
          <w:lang w:val="en-CA"/>
        </w:rPr>
        <w:t xml:space="preserve">(a) </w:t>
      </w:r>
      <w:r w:rsidRPr="002347E9">
        <w:rPr>
          <w:rFonts w:hint="eastAsia"/>
          <w:snapToGrid w:val="0"/>
          <w:szCs w:val="21"/>
          <w:lang w:val="en-CA"/>
        </w:rPr>
        <w:t>诉诸基础条约中没有的争端解决程序；</w:t>
      </w:r>
      <w:r w:rsidRPr="002347E9">
        <w:rPr>
          <w:snapToGrid w:val="0"/>
          <w:szCs w:val="21"/>
          <w:lang w:val="en-CA"/>
        </w:rPr>
        <w:t>(b)</w:t>
      </w:r>
      <w:r w:rsidRPr="002347E9">
        <w:rPr>
          <w:rFonts w:hint="eastAsia"/>
          <w:snapToGrid w:val="0"/>
          <w:szCs w:val="21"/>
          <w:lang w:val="en-CA"/>
        </w:rPr>
        <w:t xml:space="preserve"> </w:t>
      </w:r>
      <w:r w:rsidRPr="002347E9">
        <w:rPr>
          <w:rFonts w:hint="eastAsia"/>
          <w:snapToGrid w:val="0"/>
          <w:szCs w:val="21"/>
          <w:lang w:val="en-CA"/>
        </w:rPr>
        <w:t>在基础条约限制争端解决条款的范围，规定其只适用于征用补偿争端等某一类争端时，扩大条款的管辖范围；</w:t>
      </w:r>
      <w:r w:rsidRPr="002347E9">
        <w:rPr>
          <w:snapToGrid w:val="0"/>
          <w:szCs w:val="21"/>
          <w:lang w:val="en-CA"/>
        </w:rPr>
        <w:t>(c)</w:t>
      </w:r>
      <w:r w:rsidRPr="002347E9">
        <w:rPr>
          <w:rFonts w:hint="eastAsia"/>
          <w:snapToGrid w:val="0"/>
          <w:szCs w:val="21"/>
          <w:lang w:val="en-CA"/>
        </w:rPr>
        <w:t xml:space="preserve"> </w:t>
      </w:r>
      <w:r w:rsidRPr="002347E9">
        <w:rPr>
          <w:rFonts w:ascii="宋体" w:hAnsi="宋体" w:cs="宋体" w:hint="eastAsia"/>
          <w:snapToGrid w:val="0"/>
          <w:szCs w:val="21"/>
        </w:rPr>
        <w:t>不再适用要求先将争端提交国内法院，待</w:t>
      </w:r>
      <w:r w:rsidRPr="002347E9">
        <w:rPr>
          <w:snapToGrid w:val="0"/>
          <w:szCs w:val="21"/>
        </w:rPr>
        <w:t>18</w:t>
      </w:r>
      <w:r w:rsidRPr="002347E9">
        <w:rPr>
          <w:rFonts w:ascii="宋体" w:hAnsi="宋体" w:cs="宋体" w:hint="eastAsia"/>
          <w:snapToGrid w:val="0"/>
          <w:szCs w:val="21"/>
        </w:rPr>
        <w:t>个月</w:t>
      </w:r>
      <w:r w:rsidRPr="002347E9">
        <w:rPr>
          <w:rFonts w:hint="eastAsia"/>
          <w:snapToGrid w:val="0"/>
          <w:szCs w:val="21"/>
        </w:rPr>
        <w:t>“</w:t>
      </w:r>
      <w:r w:rsidRPr="002347E9">
        <w:rPr>
          <w:rFonts w:ascii="宋体" w:hAnsi="宋体" w:cs="宋体" w:hint="eastAsia"/>
          <w:snapToGrid w:val="0"/>
          <w:szCs w:val="21"/>
        </w:rPr>
        <w:t>等候期</w:t>
      </w:r>
      <w:r w:rsidRPr="002347E9">
        <w:rPr>
          <w:rFonts w:hint="eastAsia"/>
          <w:snapToGrid w:val="0"/>
          <w:szCs w:val="21"/>
        </w:rPr>
        <w:t>”</w:t>
      </w:r>
      <w:r w:rsidRPr="002347E9">
        <w:rPr>
          <w:rFonts w:ascii="宋体" w:hAnsi="宋体" w:cs="宋体" w:hint="eastAsia"/>
          <w:snapToGrid w:val="0"/>
          <w:szCs w:val="21"/>
        </w:rPr>
        <w:t>过后方能提交国际仲裁的规定。最常援引最惠国条款的是第三种情形，因此应当特别关注这种情形</w:t>
      </w:r>
      <w:r w:rsidRPr="002347E9">
        <w:rPr>
          <w:rFonts w:hint="eastAsia"/>
          <w:snapToGrid w:val="0"/>
          <w:szCs w:val="21"/>
          <w:lang w:val="en-CA"/>
        </w:rPr>
        <w:t>。</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tab/>
      </w:r>
      <w:r w:rsidRPr="002347E9">
        <w:rPr>
          <w:snapToGrid w:val="0"/>
          <w:lang w:val="en-CA"/>
        </w:rPr>
        <w:t>(a)</w:t>
      </w:r>
      <w:r w:rsidRPr="002347E9">
        <w:rPr>
          <w:snapToGrid w:val="0"/>
          <w:lang w:val="en-CA"/>
        </w:rPr>
        <w:tab/>
      </w:r>
      <w:r w:rsidRPr="002347E9">
        <w:rPr>
          <w:rFonts w:hint="eastAsia"/>
          <w:snapToGrid w:val="0"/>
          <w:lang w:val="en-CA"/>
        </w:rPr>
        <w:t>最惠国待遇与程序性事项：问题的由来</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snapToGrid w:val="0"/>
          <w:szCs w:val="21"/>
          <w:lang w:val="en-CA"/>
        </w:rPr>
        <w:t>82.</w:t>
      </w:r>
      <w:r w:rsidRPr="002347E9">
        <w:rPr>
          <w:rFonts w:hint="eastAsia"/>
          <w:snapToGrid w:val="0"/>
          <w:szCs w:val="21"/>
          <w:lang w:val="en-CA"/>
        </w:rPr>
        <w:t xml:space="preserve">  </w:t>
      </w:r>
      <w:r w:rsidRPr="002347E9">
        <w:rPr>
          <w:rFonts w:hint="eastAsia"/>
          <w:snapToGrid w:val="0"/>
          <w:szCs w:val="21"/>
          <w:lang w:val="en-CA"/>
        </w:rPr>
        <w:t>最惠国待遇适用于程序性事项的由来通常追溯到</w:t>
      </w:r>
      <w:r w:rsidRPr="002347E9">
        <w:rPr>
          <w:rFonts w:hint="eastAsia"/>
          <w:snapToGrid w:val="0"/>
          <w:szCs w:val="21"/>
          <w:lang w:val="en-CA"/>
        </w:rPr>
        <w:t>1956</w:t>
      </w:r>
      <w:r w:rsidRPr="002347E9">
        <w:rPr>
          <w:rFonts w:hint="eastAsia"/>
          <w:snapToGrid w:val="0"/>
          <w:szCs w:val="21"/>
          <w:lang w:val="en-CA"/>
        </w:rPr>
        <w:t>年</w:t>
      </w:r>
      <w:r w:rsidRPr="002347E9">
        <w:rPr>
          <w:rFonts w:eastAsia="楷体"/>
          <w:iCs/>
          <w:snapToGrid w:val="0"/>
          <w:szCs w:val="21"/>
          <w:lang w:val="en-CA"/>
        </w:rPr>
        <w:t>安巴提洛斯</w:t>
      </w:r>
      <w:r w:rsidRPr="002347E9">
        <w:rPr>
          <w:rFonts w:eastAsia="楷体" w:hint="eastAsia"/>
          <w:iCs/>
          <w:snapToGrid w:val="0"/>
          <w:szCs w:val="21"/>
          <w:lang w:val="en-CA"/>
        </w:rPr>
        <w:t>(Ambatielos)</w:t>
      </w:r>
      <w:r w:rsidRPr="002347E9">
        <w:rPr>
          <w:rFonts w:hint="eastAsia"/>
          <w:iCs/>
          <w:snapToGrid w:val="0"/>
          <w:szCs w:val="21"/>
          <w:lang w:val="en-CA"/>
        </w:rPr>
        <w:t>诉讼</w:t>
      </w:r>
      <w:r w:rsidRPr="002347E9">
        <w:rPr>
          <w:rFonts w:hint="eastAsia"/>
          <w:snapToGrid w:val="0"/>
          <w:szCs w:val="21"/>
          <w:lang w:val="en-CA"/>
        </w:rPr>
        <w:t>的仲裁裁决，</w:t>
      </w:r>
      <w:r w:rsidRPr="00953281">
        <w:rPr>
          <w:snapToGrid w:val="0"/>
          <w:w w:val="150"/>
          <w:szCs w:val="21"/>
          <w:vertAlign w:val="superscript"/>
          <w:lang w:val="en-CA"/>
        </w:rPr>
        <w:footnoteReference w:id="489"/>
      </w:r>
      <w:r w:rsidRPr="002347E9">
        <w:rPr>
          <w:rFonts w:hint="eastAsia"/>
          <w:snapToGrid w:val="0"/>
          <w:szCs w:val="21"/>
          <w:lang w:val="en-CA"/>
        </w:rPr>
        <w:t xml:space="preserve"> </w:t>
      </w:r>
      <w:r w:rsidRPr="002347E9">
        <w:rPr>
          <w:rFonts w:hint="eastAsia"/>
          <w:snapToGrid w:val="0"/>
          <w:szCs w:val="21"/>
          <w:lang w:val="en-CA"/>
        </w:rPr>
        <w:t>该案判定，“司法”是贸易商权利的重要内容，因此凭借最</w:t>
      </w:r>
      <w:r w:rsidRPr="002347E9">
        <w:rPr>
          <w:rFonts w:ascii="宋体" w:hAnsi="宋体" w:cs="宋体" w:hint="eastAsia"/>
          <w:snapToGrid w:val="0"/>
          <w:szCs w:val="21"/>
          <w:lang w:val="en-CA"/>
        </w:rPr>
        <w:t>惠国条款，</w:t>
      </w:r>
      <w:r w:rsidRPr="002347E9">
        <w:rPr>
          <w:rFonts w:hint="eastAsia"/>
          <w:snapToGrid w:val="0"/>
          <w:szCs w:val="21"/>
          <w:lang w:val="en-CA"/>
        </w:rPr>
        <w:t>应视为属于“有关通商与航运的所有事项”范畴。</w:t>
      </w:r>
      <w:r w:rsidRPr="00953281">
        <w:rPr>
          <w:snapToGrid w:val="0"/>
          <w:w w:val="150"/>
          <w:szCs w:val="21"/>
          <w:vertAlign w:val="superscript"/>
          <w:lang w:val="en-CA"/>
        </w:rPr>
        <w:footnoteReference w:id="490"/>
      </w:r>
    </w:p>
    <w:p w:rsidR="00F53060" w:rsidRPr="002347E9" w:rsidRDefault="00F53060" w:rsidP="00F53060">
      <w:pPr>
        <w:pStyle w:val="SingleTxt"/>
        <w:rPr>
          <w:snapToGrid w:val="0"/>
          <w:szCs w:val="21"/>
          <w:lang w:val="en-CA"/>
        </w:rPr>
      </w:pPr>
      <w:r w:rsidRPr="002347E9">
        <w:rPr>
          <w:snapToGrid w:val="0"/>
          <w:szCs w:val="21"/>
          <w:lang w:val="en-CA"/>
        </w:rPr>
        <w:t>83.</w:t>
      </w:r>
      <w:r w:rsidRPr="002347E9">
        <w:rPr>
          <w:rFonts w:hint="eastAsia"/>
          <w:snapToGrid w:val="0"/>
          <w:szCs w:val="21"/>
          <w:lang w:val="en-CA"/>
        </w:rPr>
        <w:t xml:space="preserve">  </w:t>
      </w:r>
      <w:r w:rsidRPr="00E1712C">
        <w:rPr>
          <w:rFonts w:hint="eastAsia"/>
          <w:snapToGrid w:val="0"/>
          <w:spacing w:val="-2"/>
          <w:szCs w:val="21"/>
          <w:lang w:val="en-CA"/>
        </w:rPr>
        <w:t>约</w:t>
      </w:r>
      <w:r w:rsidRPr="00E1712C">
        <w:rPr>
          <w:snapToGrid w:val="0"/>
          <w:spacing w:val="-2"/>
          <w:szCs w:val="21"/>
          <w:lang w:val="en-CA"/>
        </w:rPr>
        <w:t>45</w:t>
      </w:r>
      <w:r w:rsidRPr="00E1712C">
        <w:rPr>
          <w:rFonts w:hint="eastAsia"/>
          <w:snapToGrid w:val="0"/>
          <w:spacing w:val="-2"/>
          <w:szCs w:val="21"/>
          <w:lang w:val="en-CA"/>
        </w:rPr>
        <w:t>年后，这一问题在</w:t>
      </w:r>
      <w:r w:rsidRPr="00E1712C">
        <w:rPr>
          <w:rFonts w:eastAsia="楷体"/>
          <w:iCs/>
          <w:snapToGrid w:val="0"/>
          <w:spacing w:val="-2"/>
          <w:szCs w:val="21"/>
          <w:lang w:val="en-CA"/>
        </w:rPr>
        <w:t>马菲基尼</w:t>
      </w:r>
      <w:r w:rsidRPr="00E1712C">
        <w:rPr>
          <w:rFonts w:eastAsia="楷体" w:hint="eastAsia"/>
          <w:iCs/>
          <w:snapToGrid w:val="0"/>
          <w:spacing w:val="-2"/>
          <w:szCs w:val="21"/>
          <w:lang w:val="en-CA"/>
        </w:rPr>
        <w:t>(Maffezini)</w:t>
      </w:r>
      <w:r w:rsidRPr="00E1712C">
        <w:rPr>
          <w:rFonts w:eastAsia="楷体" w:hint="eastAsia"/>
          <w:iCs/>
          <w:snapToGrid w:val="0"/>
          <w:spacing w:val="-2"/>
          <w:szCs w:val="21"/>
          <w:lang w:val="en-CA"/>
        </w:rPr>
        <w:t>诉西班牙王国案</w:t>
      </w:r>
      <w:r w:rsidRPr="00E1712C">
        <w:rPr>
          <w:rFonts w:hint="eastAsia"/>
          <w:iCs/>
          <w:snapToGrid w:val="0"/>
          <w:spacing w:val="-2"/>
          <w:szCs w:val="21"/>
          <w:lang w:val="en-CA"/>
        </w:rPr>
        <w:t>中</w:t>
      </w:r>
      <w:r w:rsidRPr="00E1712C">
        <w:rPr>
          <w:rFonts w:hint="eastAsia"/>
          <w:snapToGrid w:val="0"/>
          <w:spacing w:val="-2"/>
          <w:szCs w:val="21"/>
          <w:lang w:val="en-CA"/>
        </w:rPr>
        <w:t>再次引起关注。</w:t>
      </w:r>
      <w:r w:rsidRPr="00953281">
        <w:rPr>
          <w:snapToGrid w:val="0"/>
          <w:spacing w:val="-2"/>
          <w:w w:val="150"/>
          <w:szCs w:val="21"/>
          <w:vertAlign w:val="superscript"/>
        </w:rPr>
        <w:footnoteReference w:id="491"/>
      </w:r>
      <w:r w:rsidRPr="00E1712C">
        <w:rPr>
          <w:rFonts w:hint="eastAsia"/>
          <w:snapToGrid w:val="0"/>
          <w:spacing w:val="-2"/>
          <w:szCs w:val="21"/>
          <w:lang w:val="en-CA"/>
        </w:rPr>
        <w:t xml:space="preserve"> </w:t>
      </w:r>
      <w:r w:rsidRPr="002347E9">
        <w:rPr>
          <w:rFonts w:hint="eastAsia"/>
          <w:snapToGrid w:val="0"/>
          <w:szCs w:val="21"/>
          <w:lang w:val="en-CA"/>
        </w:rPr>
        <w:t>法庭接受了原告的主张，认为原告可援引</w:t>
      </w:r>
      <w:r w:rsidRPr="002347E9">
        <w:rPr>
          <w:rFonts w:hint="eastAsia"/>
          <w:snapToGrid w:val="0"/>
          <w:szCs w:val="21"/>
          <w:lang w:val="en-CA"/>
        </w:rPr>
        <w:t>1991</w:t>
      </w:r>
      <w:r w:rsidRPr="002347E9">
        <w:rPr>
          <w:rFonts w:hint="eastAsia"/>
          <w:snapToGrid w:val="0"/>
          <w:szCs w:val="21"/>
          <w:lang w:val="en-CA"/>
        </w:rPr>
        <w:t>年《阿根廷与西班牙双边投资条约》中的</w:t>
      </w:r>
      <w:r w:rsidRPr="002347E9">
        <w:rPr>
          <w:rFonts w:ascii="宋体" w:hAnsi="宋体" w:cs="宋体" w:hint="eastAsia"/>
          <w:snapToGrid w:val="0"/>
          <w:szCs w:val="21"/>
          <w:lang w:val="en-CA"/>
        </w:rPr>
        <w:t>最惠国条款，不遵守双边投资条约规定的等候</w:t>
      </w:r>
      <w:r w:rsidRPr="002347E9">
        <w:rPr>
          <w:snapToGrid w:val="0"/>
          <w:szCs w:val="21"/>
          <w:lang w:val="en-CA"/>
        </w:rPr>
        <w:t>18</w:t>
      </w:r>
      <w:r w:rsidRPr="002347E9">
        <w:rPr>
          <w:rFonts w:ascii="宋体" w:hAnsi="宋体" w:cs="宋体" w:hint="eastAsia"/>
          <w:snapToGrid w:val="0"/>
          <w:szCs w:val="21"/>
          <w:lang w:val="en-CA"/>
        </w:rPr>
        <w:t>个月方可起诉的要求</w:t>
      </w:r>
      <w:r w:rsidRPr="002347E9">
        <w:rPr>
          <w:rFonts w:hint="eastAsia"/>
          <w:snapToGrid w:val="0"/>
          <w:szCs w:val="21"/>
          <w:lang w:val="en-CA"/>
        </w:rPr>
        <w:t>。原告援引了</w:t>
      </w:r>
      <w:r w:rsidRPr="002347E9">
        <w:rPr>
          <w:snapToGrid w:val="0"/>
          <w:szCs w:val="21"/>
          <w:lang w:val="en-CA"/>
        </w:rPr>
        <w:t>1991</w:t>
      </w:r>
      <w:r w:rsidRPr="002347E9">
        <w:rPr>
          <w:rFonts w:hint="eastAsia"/>
          <w:snapToGrid w:val="0"/>
          <w:szCs w:val="21"/>
          <w:lang w:val="en-CA"/>
        </w:rPr>
        <w:t>年《西班牙与智利双边投资条约》，其中不包括上述等候要求，允许投资者在</w:t>
      </w:r>
      <w:r w:rsidRPr="002347E9">
        <w:rPr>
          <w:rFonts w:hint="eastAsia"/>
          <w:snapToGrid w:val="0"/>
          <w:szCs w:val="21"/>
          <w:lang w:val="en-CA"/>
        </w:rPr>
        <w:t>6</w:t>
      </w:r>
      <w:r w:rsidRPr="002347E9">
        <w:rPr>
          <w:rFonts w:hint="eastAsia"/>
          <w:snapToGrid w:val="0"/>
          <w:szCs w:val="21"/>
          <w:lang w:val="en-CA"/>
        </w:rPr>
        <w:t>个月后选择国际仲裁。</w:t>
      </w:r>
      <w:r w:rsidRPr="00953281">
        <w:rPr>
          <w:snapToGrid w:val="0"/>
          <w:w w:val="150"/>
          <w:szCs w:val="21"/>
          <w:vertAlign w:val="superscript"/>
        </w:rPr>
        <w:footnoteReference w:id="492"/>
      </w:r>
      <w:r>
        <w:rPr>
          <w:rFonts w:hint="eastAsia"/>
          <w:snapToGrid w:val="0"/>
          <w:szCs w:val="21"/>
          <w:lang w:val="en-CA"/>
        </w:rPr>
        <w:t xml:space="preserve"> </w:t>
      </w:r>
      <w:r w:rsidRPr="002347E9">
        <w:rPr>
          <w:rFonts w:hint="eastAsia"/>
          <w:snapToGrid w:val="0"/>
          <w:szCs w:val="21"/>
          <w:lang w:val="en-CA"/>
        </w:rPr>
        <w:t>《阿根廷与西班牙双边投资条约》中的</w:t>
      </w:r>
      <w:r w:rsidRPr="002347E9">
        <w:rPr>
          <w:rFonts w:ascii="宋体" w:hAnsi="宋体" w:cs="宋体" w:hint="eastAsia"/>
          <w:snapToGrid w:val="0"/>
          <w:szCs w:val="21"/>
          <w:lang w:val="en-CA"/>
        </w:rPr>
        <w:t>最惠国条款</w:t>
      </w:r>
      <w:r w:rsidRPr="002347E9">
        <w:rPr>
          <w:rFonts w:hint="eastAsia"/>
          <w:snapToGrid w:val="0"/>
          <w:szCs w:val="21"/>
          <w:lang w:val="en-CA"/>
        </w:rPr>
        <w:t>规定：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lastRenderedPageBreak/>
        <w:tab/>
      </w:r>
      <w:r w:rsidRPr="002347E9">
        <w:rPr>
          <w:rFonts w:hint="eastAsia"/>
          <w:snapToGrid w:val="0"/>
          <w:szCs w:val="21"/>
          <w:lang w:val="en-CA"/>
        </w:rPr>
        <w:t>“</w:t>
      </w:r>
      <w:r w:rsidRPr="002347E9">
        <w:rPr>
          <w:rFonts w:hint="eastAsia"/>
          <w:snapToGrid w:val="0"/>
          <w:szCs w:val="21"/>
        </w:rPr>
        <w:t>在本协定约束的所有事项中，这种待遇不应低于每一缔约方给予第三国投资者在其境内所作投资的待遇。</w:t>
      </w:r>
      <w:r w:rsidRPr="002347E9">
        <w:rPr>
          <w:rFonts w:hint="eastAsia"/>
          <w:snapToGrid w:val="0"/>
          <w:szCs w:val="21"/>
          <w:lang w:val="en-CA"/>
        </w:rPr>
        <w:t>”</w:t>
      </w:r>
      <w:r w:rsidRPr="00953281">
        <w:rPr>
          <w:snapToGrid w:val="0"/>
          <w:w w:val="150"/>
          <w:szCs w:val="21"/>
          <w:vertAlign w:val="superscript"/>
          <w:lang w:val="en-CA"/>
        </w:rPr>
        <w:footnoteReference w:id="493"/>
      </w:r>
      <w:r w:rsidRPr="002347E9">
        <w:rPr>
          <w:snapToGrid w:val="0"/>
          <w:szCs w:val="21"/>
          <w:lang w:val="en-CA"/>
        </w:rPr>
        <w:t xml:space="preserve"> </w:t>
      </w:r>
    </w:p>
    <w:p w:rsidR="00F53060" w:rsidRPr="002347E9" w:rsidRDefault="00F53060" w:rsidP="00F53060">
      <w:pPr>
        <w:pStyle w:val="SingleTxt"/>
        <w:rPr>
          <w:snapToGrid w:val="0"/>
          <w:szCs w:val="21"/>
          <w:lang w:val="en-CA"/>
        </w:rPr>
      </w:pPr>
      <w:r w:rsidRPr="002347E9">
        <w:rPr>
          <w:snapToGrid w:val="0"/>
          <w:szCs w:val="21"/>
          <w:lang w:val="en-CA"/>
        </w:rPr>
        <w:t>84.</w:t>
      </w:r>
      <w:r w:rsidRPr="002347E9">
        <w:rPr>
          <w:rFonts w:hint="eastAsia"/>
          <w:snapToGrid w:val="0"/>
          <w:szCs w:val="21"/>
          <w:lang w:val="en-CA"/>
        </w:rPr>
        <w:t xml:space="preserve">  </w:t>
      </w:r>
      <w:r w:rsidRPr="002347E9">
        <w:rPr>
          <w:rFonts w:hint="eastAsia"/>
          <w:snapToGrid w:val="0"/>
          <w:szCs w:val="21"/>
          <w:lang w:val="en-CA"/>
        </w:rPr>
        <w:t>法庭支持原告的主张，认为</w:t>
      </w:r>
      <w:r w:rsidRPr="002347E9">
        <w:rPr>
          <w:rFonts w:ascii="宋体" w:hAnsi="宋体" w:cs="宋体" w:hint="eastAsia"/>
          <w:snapToGrid w:val="0"/>
          <w:szCs w:val="21"/>
          <w:lang w:val="en-CA"/>
        </w:rPr>
        <w:t>最惠国条款广义上适用于“本协定约束的所有事项”</w:t>
      </w:r>
      <w:r w:rsidRPr="002347E9">
        <w:rPr>
          <w:rFonts w:hint="eastAsia"/>
          <w:snapToGrid w:val="0"/>
          <w:szCs w:val="21"/>
          <w:lang w:val="en-CA"/>
        </w:rPr>
        <w:t>。法庭强调，需要确定缔约各方的意图，必须评估各国此前在其他双边投资条约中列入</w:t>
      </w:r>
      <w:r w:rsidRPr="002347E9">
        <w:rPr>
          <w:rFonts w:ascii="宋体" w:hAnsi="宋体" w:cs="宋体" w:hint="eastAsia"/>
          <w:snapToGrid w:val="0"/>
          <w:szCs w:val="21"/>
          <w:lang w:val="en-CA"/>
        </w:rPr>
        <w:t>最惠国条款的做法(评估结果赞成原告的主张)</w:t>
      </w:r>
      <w:r w:rsidRPr="002347E9">
        <w:rPr>
          <w:rFonts w:hint="eastAsia"/>
          <w:snapToGrid w:val="0"/>
          <w:szCs w:val="21"/>
          <w:lang w:val="en-CA"/>
        </w:rPr>
        <w:t>，而且必须兼顾公共政策方面的考虑。</w:t>
      </w:r>
    </w:p>
    <w:p w:rsidR="00F53060" w:rsidRPr="002347E9" w:rsidRDefault="00F53060" w:rsidP="00F53060">
      <w:pPr>
        <w:pStyle w:val="SingleTxt"/>
        <w:rPr>
          <w:snapToGrid w:val="0"/>
          <w:szCs w:val="21"/>
          <w:lang w:val="en-CA"/>
        </w:rPr>
      </w:pPr>
      <w:r w:rsidRPr="002347E9">
        <w:rPr>
          <w:snapToGrid w:val="0"/>
          <w:szCs w:val="21"/>
          <w:lang w:val="en-CA"/>
        </w:rPr>
        <w:t>85.</w:t>
      </w:r>
      <w:r w:rsidRPr="002347E9">
        <w:rPr>
          <w:rFonts w:hint="eastAsia"/>
          <w:snapToGrid w:val="0"/>
          <w:szCs w:val="21"/>
          <w:lang w:val="en-CA"/>
        </w:rPr>
        <w:t xml:space="preserve">  </w:t>
      </w:r>
      <w:r w:rsidRPr="002347E9">
        <w:rPr>
          <w:rFonts w:hint="eastAsia"/>
          <w:snapToGrid w:val="0"/>
          <w:szCs w:val="21"/>
          <w:lang w:val="en-CA"/>
        </w:rPr>
        <w:t>法庭特别参考了</w:t>
      </w:r>
      <w:r w:rsidRPr="002347E9">
        <w:rPr>
          <w:rFonts w:eastAsia="楷体"/>
          <w:snapToGrid w:val="0"/>
          <w:szCs w:val="21"/>
          <w:lang w:val="en-CA"/>
        </w:rPr>
        <w:t>安巴提洛斯</w:t>
      </w:r>
      <w:r w:rsidRPr="002347E9">
        <w:rPr>
          <w:rFonts w:hint="eastAsia"/>
          <w:snapToGrid w:val="0"/>
          <w:szCs w:val="21"/>
          <w:lang w:val="en-CA"/>
        </w:rPr>
        <w:t>诉讼，</w:t>
      </w:r>
      <w:r w:rsidRPr="00953281">
        <w:rPr>
          <w:snapToGrid w:val="0"/>
          <w:w w:val="150"/>
          <w:szCs w:val="21"/>
          <w:vertAlign w:val="superscript"/>
        </w:rPr>
        <w:footnoteReference w:id="494"/>
      </w:r>
      <w:r w:rsidRPr="002347E9">
        <w:rPr>
          <w:snapToGrid w:val="0"/>
          <w:szCs w:val="21"/>
          <w:lang w:val="en-CA"/>
        </w:rPr>
        <w:t xml:space="preserve"> </w:t>
      </w:r>
      <w:r w:rsidRPr="002347E9">
        <w:rPr>
          <w:rFonts w:hint="eastAsia"/>
          <w:snapToGrid w:val="0"/>
          <w:szCs w:val="21"/>
          <w:lang w:val="en-CA"/>
        </w:rPr>
        <w:t>该案中，仲裁委员会确认了</w:t>
      </w:r>
      <w:r w:rsidRPr="002347E9">
        <w:rPr>
          <w:rFonts w:ascii="宋体" w:hAnsi="宋体" w:cs="宋体" w:hint="eastAsia"/>
          <w:snapToGrid w:val="0"/>
          <w:szCs w:val="21"/>
          <w:lang w:val="en-CA"/>
        </w:rPr>
        <w:t>同类原则的相关性</w:t>
      </w:r>
      <w:r w:rsidRPr="002347E9">
        <w:rPr>
          <w:rFonts w:hint="eastAsia"/>
          <w:snapToGrid w:val="0"/>
          <w:szCs w:val="21"/>
          <w:lang w:val="en-CA"/>
        </w:rPr>
        <w:t>。委员会指出，</w:t>
      </w:r>
      <w:r w:rsidRPr="002347E9">
        <w:rPr>
          <w:rFonts w:ascii="宋体" w:hAnsi="宋体" w:cs="宋体" w:hint="eastAsia"/>
          <w:snapToGrid w:val="0"/>
          <w:szCs w:val="21"/>
          <w:lang w:val="en-CA"/>
        </w:rPr>
        <w:t>最惠国条款只适用于属于同类主题的事项</w:t>
      </w:r>
      <w:r w:rsidRPr="002347E9">
        <w:rPr>
          <w:rFonts w:hint="eastAsia"/>
          <w:snapToGrid w:val="0"/>
          <w:szCs w:val="21"/>
          <w:lang w:val="en-CA"/>
        </w:rPr>
        <w:t>，“这个问题只能根据自条约的合理解释中推断出的各缔约方的意图来决定。”</w:t>
      </w:r>
      <w:r w:rsidRPr="00953281">
        <w:rPr>
          <w:snapToGrid w:val="0"/>
          <w:w w:val="150"/>
          <w:szCs w:val="21"/>
          <w:vertAlign w:val="superscript"/>
        </w:rPr>
        <w:footnoteReference w:id="495"/>
      </w:r>
    </w:p>
    <w:p w:rsidR="00F53060" w:rsidRPr="002347E9" w:rsidRDefault="00F53060" w:rsidP="00F53060">
      <w:pPr>
        <w:pStyle w:val="SingleTxt"/>
        <w:rPr>
          <w:snapToGrid w:val="0"/>
          <w:szCs w:val="21"/>
          <w:lang w:val="en-CA"/>
        </w:rPr>
      </w:pPr>
      <w:r w:rsidRPr="002347E9">
        <w:rPr>
          <w:snapToGrid w:val="0"/>
          <w:szCs w:val="21"/>
          <w:lang w:val="en-CA"/>
        </w:rPr>
        <w:t>86.</w:t>
      </w:r>
      <w:r w:rsidRPr="002347E9">
        <w:rPr>
          <w:rFonts w:hint="eastAsia"/>
          <w:snapToGrid w:val="0"/>
          <w:szCs w:val="21"/>
          <w:lang w:val="en-CA"/>
        </w:rPr>
        <w:t xml:space="preserve">  </w:t>
      </w:r>
      <w:r w:rsidRPr="002347E9">
        <w:rPr>
          <w:rFonts w:hint="eastAsia"/>
          <w:snapToGrid w:val="0"/>
          <w:szCs w:val="21"/>
          <w:lang w:val="en-CA"/>
        </w:rPr>
        <w:t>关于</w:t>
      </w:r>
      <w:r w:rsidRPr="002347E9">
        <w:rPr>
          <w:rFonts w:ascii="宋体" w:hAnsi="宋体" w:cs="宋体" w:hint="eastAsia"/>
          <w:iCs/>
          <w:snapToGrid w:val="0"/>
          <w:szCs w:val="21"/>
          <w:lang w:val="en-CA"/>
        </w:rPr>
        <w:t>同类原则</w:t>
      </w:r>
      <w:r w:rsidRPr="002347E9">
        <w:rPr>
          <w:rFonts w:hint="eastAsia"/>
          <w:snapToGrid w:val="0"/>
          <w:szCs w:val="21"/>
          <w:lang w:val="en-CA"/>
        </w:rPr>
        <w:t>，</w:t>
      </w:r>
      <w:r w:rsidRPr="002347E9">
        <w:rPr>
          <w:rFonts w:eastAsia="楷体"/>
          <w:iCs/>
          <w:snapToGrid w:val="0"/>
          <w:szCs w:val="21"/>
          <w:lang w:val="en-CA"/>
        </w:rPr>
        <w:t>马菲基尼</w:t>
      </w:r>
      <w:r w:rsidRPr="002347E9">
        <w:rPr>
          <w:rFonts w:eastAsia="楷体" w:hint="eastAsia"/>
          <w:snapToGrid w:val="0"/>
          <w:szCs w:val="21"/>
          <w:lang w:val="en-CA"/>
        </w:rPr>
        <w:t>案</w:t>
      </w:r>
      <w:r w:rsidRPr="002347E9">
        <w:rPr>
          <w:rFonts w:hint="eastAsia"/>
          <w:snapToGrid w:val="0"/>
          <w:szCs w:val="21"/>
          <w:lang w:val="en-CA"/>
        </w:rPr>
        <w:t>法庭认为，在当前的经济背景下，</w:t>
      </w:r>
      <w:r w:rsidRPr="002347E9">
        <w:rPr>
          <w:rFonts w:ascii="宋体" w:hAnsi="宋体" w:cs="宋体" w:hint="eastAsia"/>
          <w:snapToGrid w:val="0"/>
          <w:szCs w:val="21"/>
          <w:lang w:val="en-CA" w:bidi="en-US"/>
        </w:rPr>
        <w:t>争端解决安排与保护外国投资者之间存在千丝万缕的联系</w:t>
      </w:r>
      <w:r w:rsidRPr="002347E9">
        <w:rPr>
          <w:rFonts w:hint="eastAsia"/>
          <w:snapToGrid w:val="0"/>
          <w:szCs w:val="21"/>
          <w:lang w:val="en-CA"/>
        </w:rPr>
        <w:t>，争端解决是保护投资者的极为重要的手段。因此，不应将此类安排视为纯粹的程序手段，而应视为通过诉诸国际仲裁更好地保护投资者权利的安排。</w:t>
      </w:r>
    </w:p>
    <w:p w:rsidR="00F53060" w:rsidRPr="002347E9" w:rsidRDefault="00F53060" w:rsidP="00F53060">
      <w:pPr>
        <w:pStyle w:val="SingleTxt"/>
        <w:rPr>
          <w:snapToGrid w:val="0"/>
          <w:szCs w:val="21"/>
          <w:lang w:val="en-CA"/>
        </w:rPr>
      </w:pPr>
      <w:r w:rsidRPr="002347E9">
        <w:rPr>
          <w:snapToGrid w:val="0"/>
          <w:szCs w:val="21"/>
          <w:lang w:val="en-CA"/>
        </w:rPr>
        <w:t>87.</w:t>
      </w:r>
      <w:r w:rsidRPr="002347E9">
        <w:rPr>
          <w:rFonts w:hint="eastAsia"/>
          <w:snapToGrid w:val="0"/>
          <w:szCs w:val="21"/>
          <w:lang w:val="en-CA"/>
        </w:rPr>
        <w:t xml:space="preserve">  </w:t>
      </w:r>
      <w:r w:rsidRPr="002347E9">
        <w:rPr>
          <w:rFonts w:hint="eastAsia"/>
          <w:snapToGrid w:val="0"/>
          <w:szCs w:val="21"/>
          <w:lang w:val="en-CA"/>
        </w:rPr>
        <w:t>法庭由此认定：</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“……如果第三方条约中的争端解决条款对外国投资者权益的保护比基础条约的规定更为有利，那么，此类条款的适用可及于最惠国条款的受惠方，因为这些条款完全符合</w:t>
      </w:r>
      <w:r w:rsidRPr="002347E9">
        <w:rPr>
          <w:rFonts w:ascii="宋体" w:hAnsi="宋体" w:cs="宋体" w:hint="eastAsia"/>
          <w:snapToGrid w:val="0"/>
          <w:szCs w:val="21"/>
          <w:lang w:val="en-CA"/>
        </w:rPr>
        <w:t>同类原则”</w:t>
      </w:r>
      <w:r w:rsidRPr="00953281">
        <w:rPr>
          <w:snapToGrid w:val="0"/>
          <w:w w:val="150"/>
          <w:szCs w:val="21"/>
          <w:vertAlign w:val="superscript"/>
        </w:rPr>
        <w:footnoteReference w:id="496"/>
      </w:r>
      <w:r w:rsidRPr="002347E9">
        <w:rPr>
          <w:snapToGrid w:val="0"/>
          <w:szCs w:val="21"/>
          <w:lang w:val="en-CA"/>
        </w:rPr>
        <w:t xml:space="preserve"> </w:t>
      </w:r>
    </w:p>
    <w:p w:rsidR="00F53060" w:rsidRPr="002347E9" w:rsidRDefault="00F53060" w:rsidP="00F53060">
      <w:pPr>
        <w:pStyle w:val="SingleTxt"/>
        <w:rPr>
          <w:snapToGrid w:val="0"/>
          <w:szCs w:val="21"/>
          <w:lang w:val="en-CA"/>
        </w:rPr>
      </w:pPr>
      <w:r w:rsidRPr="002347E9">
        <w:rPr>
          <w:snapToGrid w:val="0"/>
          <w:szCs w:val="21"/>
          <w:lang w:val="en-CA"/>
        </w:rPr>
        <w:t>88.</w:t>
      </w:r>
      <w:r w:rsidRPr="002347E9">
        <w:rPr>
          <w:rFonts w:hint="eastAsia"/>
          <w:snapToGrid w:val="0"/>
          <w:szCs w:val="21"/>
          <w:lang w:val="en-CA"/>
        </w:rPr>
        <w:t xml:space="preserve">  </w:t>
      </w:r>
      <w:r w:rsidRPr="002347E9">
        <w:rPr>
          <w:rFonts w:hint="eastAsia"/>
          <w:snapToGrid w:val="0"/>
          <w:szCs w:val="21"/>
          <w:lang w:val="en-CA"/>
        </w:rPr>
        <w:t>法庭认为，将</w:t>
      </w:r>
      <w:r w:rsidRPr="002347E9">
        <w:rPr>
          <w:rFonts w:ascii="宋体" w:hAnsi="宋体" w:cs="宋体" w:hint="eastAsia"/>
          <w:snapToGrid w:val="0"/>
          <w:szCs w:val="21"/>
          <w:lang w:val="en-CA"/>
        </w:rPr>
        <w:t>最惠国条款适用于争端解决安排</w:t>
      </w:r>
      <w:r w:rsidRPr="002347E9">
        <w:rPr>
          <w:rFonts w:hint="eastAsia"/>
          <w:snapToGrid w:val="0"/>
          <w:szCs w:val="21"/>
          <w:lang w:val="en-CA"/>
        </w:rPr>
        <w:t>会使“此类安排趋于统一，范围也得到扩展。”</w:t>
      </w:r>
      <w:r w:rsidRPr="00953281">
        <w:rPr>
          <w:snapToGrid w:val="0"/>
          <w:w w:val="150"/>
          <w:szCs w:val="21"/>
          <w:vertAlign w:val="superscript"/>
        </w:rPr>
        <w:footnoteReference w:id="497"/>
      </w:r>
      <w:r w:rsidRPr="002347E9">
        <w:rPr>
          <w:rFonts w:hint="eastAsia"/>
          <w:snapToGrid w:val="0"/>
          <w:szCs w:val="21"/>
          <w:lang w:val="en-CA"/>
        </w:rPr>
        <w:t xml:space="preserve"> </w:t>
      </w:r>
      <w:r w:rsidRPr="002347E9">
        <w:rPr>
          <w:rFonts w:hint="eastAsia"/>
          <w:snapToGrid w:val="0"/>
          <w:szCs w:val="21"/>
          <w:lang w:val="en-CA"/>
        </w:rPr>
        <w:t>然而，法庭也意识到它对</w:t>
      </w:r>
      <w:r w:rsidRPr="002347E9">
        <w:rPr>
          <w:rFonts w:ascii="宋体" w:hAnsi="宋体" w:cs="宋体" w:hint="eastAsia"/>
          <w:snapToGrid w:val="0"/>
          <w:szCs w:val="21"/>
          <w:lang w:val="en-CA"/>
        </w:rPr>
        <w:t>最惠国条款的解释较为宽泛，可能引起“破坏性的条约选购”等问题</w:t>
      </w:r>
      <w:r w:rsidRPr="002347E9">
        <w:rPr>
          <w:rFonts w:hint="eastAsia"/>
          <w:snapToGrid w:val="0"/>
          <w:szCs w:val="21"/>
          <w:lang w:val="en-CA"/>
        </w:rPr>
        <w:t>。</w:t>
      </w:r>
      <w:r w:rsidRPr="00953281">
        <w:rPr>
          <w:snapToGrid w:val="0"/>
          <w:w w:val="150"/>
          <w:szCs w:val="21"/>
          <w:vertAlign w:val="superscript"/>
          <w:lang w:val="en-CA"/>
        </w:rPr>
        <w:footnoteReference w:id="498"/>
      </w:r>
      <w:r w:rsidRPr="002347E9">
        <w:rPr>
          <w:snapToGrid w:val="0"/>
          <w:szCs w:val="21"/>
          <w:lang w:val="en-CA"/>
        </w:rPr>
        <w:t xml:space="preserve"> </w:t>
      </w:r>
      <w:r w:rsidRPr="002347E9">
        <w:rPr>
          <w:rFonts w:hint="eastAsia"/>
          <w:snapToGrid w:val="0"/>
          <w:szCs w:val="21"/>
          <w:lang w:val="en-CA"/>
        </w:rPr>
        <w:t>法庭指出：</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作为一个原则问题，条款的受惠方不应能够无视缔约各方在接受有关协定时可能作为基本条件提出的公共政策考虑，尤其是当受惠方是私人投资者时，而受惠方往往就是私人投资者。因此，条款的范围可能比初看起来更窄。”</w:t>
      </w:r>
      <w:r w:rsidRPr="00953281">
        <w:rPr>
          <w:snapToGrid w:val="0"/>
          <w:w w:val="150"/>
          <w:szCs w:val="21"/>
          <w:vertAlign w:val="superscript"/>
        </w:rPr>
        <w:footnoteReference w:id="499"/>
      </w:r>
      <w:r w:rsidRPr="00953281">
        <w:rPr>
          <w:snapToGrid w:val="0"/>
          <w:w w:val="150"/>
          <w:szCs w:val="21"/>
          <w:vertAlign w:val="superscript"/>
        </w:rPr>
        <w:t xml:space="preserve"> </w:t>
      </w:r>
    </w:p>
    <w:p w:rsidR="00F53060" w:rsidRPr="002347E9" w:rsidRDefault="00F53060" w:rsidP="00F53060">
      <w:pPr>
        <w:pStyle w:val="SingleTxt"/>
        <w:rPr>
          <w:snapToGrid w:val="0"/>
          <w:szCs w:val="21"/>
          <w:lang w:val="en-CA"/>
        </w:rPr>
      </w:pPr>
      <w:r w:rsidRPr="002347E9">
        <w:rPr>
          <w:snapToGrid w:val="0"/>
          <w:szCs w:val="21"/>
          <w:lang w:val="en-CA"/>
        </w:rPr>
        <w:t>89.</w:t>
      </w:r>
      <w:r w:rsidRPr="002347E9">
        <w:rPr>
          <w:rFonts w:hint="eastAsia"/>
          <w:snapToGrid w:val="0"/>
          <w:szCs w:val="21"/>
          <w:lang w:val="en-CA"/>
        </w:rPr>
        <w:t xml:space="preserve">  </w:t>
      </w:r>
      <w:r w:rsidRPr="002347E9">
        <w:rPr>
          <w:rFonts w:hint="eastAsia"/>
          <w:snapToGrid w:val="0"/>
          <w:szCs w:val="21"/>
          <w:lang w:val="en-CA"/>
        </w:rPr>
        <w:t>随后，法庭列举了它认为不能援引</w:t>
      </w:r>
      <w:r w:rsidRPr="002347E9">
        <w:rPr>
          <w:rFonts w:ascii="宋体" w:hAnsi="宋体" w:cs="宋体" w:hint="eastAsia"/>
          <w:snapToGrid w:val="0"/>
          <w:szCs w:val="21"/>
          <w:lang w:val="en-CA"/>
        </w:rPr>
        <w:t>最惠国条款的</w:t>
      </w:r>
      <w:r w:rsidRPr="002347E9">
        <w:rPr>
          <w:rFonts w:hint="eastAsia"/>
          <w:snapToGrid w:val="0"/>
          <w:szCs w:val="21"/>
          <w:lang w:val="en-CA"/>
        </w:rPr>
        <w:t>四种情形：</w:t>
      </w:r>
    </w:p>
    <w:p w:rsidR="00F53060" w:rsidRPr="002347E9" w:rsidRDefault="00F53060" w:rsidP="00F53060">
      <w:pPr>
        <w:pStyle w:val="SingleTxt"/>
        <w:ind w:left="2126" w:hanging="431"/>
        <w:rPr>
          <w:snapToGrid w:val="0"/>
          <w:szCs w:val="21"/>
          <w:lang w:val="en-CA"/>
        </w:rPr>
      </w:pPr>
      <w:r>
        <w:rPr>
          <w:rFonts w:hint="eastAsia"/>
          <w:snapToGrid w:val="0"/>
          <w:szCs w:val="21"/>
          <w:lang w:val="en-CA"/>
        </w:rPr>
        <w:sym w:font="Symbol" w:char="F0B7"/>
      </w:r>
      <w:r>
        <w:rPr>
          <w:snapToGrid w:val="0"/>
          <w:szCs w:val="21"/>
          <w:lang w:val="en-CA"/>
        </w:rPr>
        <w:tab/>
      </w:r>
      <w:r w:rsidRPr="002347E9">
        <w:rPr>
          <w:rFonts w:hint="eastAsia"/>
          <w:snapToGrid w:val="0"/>
          <w:szCs w:val="21"/>
          <w:lang w:val="en-CA"/>
        </w:rPr>
        <w:t>缔约一方已将用尽当地救济作为同意提交仲裁的条件，因为这样的条件反映了“国际法的基本规则”；</w:t>
      </w:r>
    </w:p>
    <w:p w:rsidR="00F53060" w:rsidRPr="002347E9" w:rsidRDefault="00F53060" w:rsidP="00F53060">
      <w:pPr>
        <w:pStyle w:val="SingleTxt"/>
        <w:ind w:left="2126" w:hanging="431"/>
        <w:rPr>
          <w:snapToGrid w:val="0"/>
          <w:szCs w:val="21"/>
          <w:lang w:val="en-CA"/>
        </w:rPr>
      </w:pPr>
      <w:r>
        <w:rPr>
          <w:rFonts w:hint="eastAsia"/>
          <w:snapToGrid w:val="0"/>
          <w:szCs w:val="21"/>
          <w:lang w:val="en-CA"/>
        </w:rPr>
        <w:lastRenderedPageBreak/>
        <w:sym w:font="Symbol" w:char="F0B7"/>
      </w:r>
      <w:r>
        <w:rPr>
          <w:snapToGrid w:val="0"/>
          <w:szCs w:val="21"/>
          <w:lang w:val="en-CA"/>
        </w:rPr>
        <w:tab/>
      </w:r>
      <w:r w:rsidRPr="002347E9">
        <w:rPr>
          <w:rFonts w:hint="eastAsia"/>
          <w:snapToGrid w:val="0"/>
          <w:szCs w:val="21"/>
          <w:lang w:val="en-CA"/>
        </w:rPr>
        <w:t>双方已同意接受包括所谓“岔路口”条款的</w:t>
      </w:r>
      <w:r w:rsidRPr="002347E9">
        <w:rPr>
          <w:rFonts w:ascii="宋体" w:hAnsi="宋体" w:cs="宋体" w:hint="eastAsia"/>
          <w:snapToGrid w:val="0"/>
          <w:szCs w:val="21"/>
          <w:lang w:val="en-CA"/>
        </w:rPr>
        <w:t>争端解决</w:t>
      </w:r>
      <w:r w:rsidRPr="002347E9">
        <w:rPr>
          <w:rFonts w:hint="eastAsia"/>
          <w:snapToGrid w:val="0"/>
          <w:szCs w:val="21"/>
          <w:lang w:val="en-CA"/>
        </w:rPr>
        <w:t>安排，因为取代这样的条款将推翻被各国视为重要公共政策事项的“安排的决定性”；</w:t>
      </w:r>
    </w:p>
    <w:p w:rsidR="00F53060" w:rsidRPr="002347E9" w:rsidRDefault="00F53060" w:rsidP="00F53060">
      <w:pPr>
        <w:pStyle w:val="SingleTxt"/>
        <w:ind w:left="2126" w:hanging="431"/>
        <w:rPr>
          <w:snapToGrid w:val="0"/>
          <w:szCs w:val="21"/>
          <w:lang w:val="en-CA"/>
        </w:rPr>
      </w:pPr>
      <w:r>
        <w:rPr>
          <w:rFonts w:hint="eastAsia"/>
          <w:snapToGrid w:val="0"/>
          <w:szCs w:val="21"/>
          <w:lang w:val="en-CA"/>
        </w:rPr>
        <w:sym w:font="Symbol" w:char="F0B7"/>
      </w:r>
      <w:r>
        <w:rPr>
          <w:snapToGrid w:val="0"/>
          <w:szCs w:val="21"/>
          <w:lang w:val="en-CA"/>
        </w:rPr>
        <w:tab/>
      </w:r>
      <w:r w:rsidRPr="002347E9">
        <w:rPr>
          <w:rFonts w:hint="eastAsia"/>
          <w:snapToGrid w:val="0"/>
          <w:szCs w:val="21"/>
          <w:lang w:val="en-CA"/>
        </w:rPr>
        <w:t>协定规定了特定仲裁机构，例如</w:t>
      </w:r>
      <w:r w:rsidRPr="002347E9">
        <w:rPr>
          <w:rFonts w:ascii="宋体" w:hAnsi="宋体" w:cs="宋体" w:hint="eastAsia"/>
          <w:snapToGrid w:val="0"/>
          <w:szCs w:val="21"/>
          <w:lang w:val="en-CA"/>
        </w:rPr>
        <w:t>国际投资争端解决中心</w:t>
      </w:r>
      <w:r w:rsidRPr="002347E9">
        <w:rPr>
          <w:rFonts w:hint="eastAsia"/>
          <w:snapToGrid w:val="0"/>
          <w:szCs w:val="21"/>
          <w:lang w:val="en-CA"/>
        </w:rPr>
        <w:t>，而一方欲选择另一个仲裁机构；</w:t>
      </w:r>
    </w:p>
    <w:p w:rsidR="00F53060" w:rsidRPr="002347E9" w:rsidRDefault="00F53060" w:rsidP="00F53060">
      <w:pPr>
        <w:pStyle w:val="SingleTxt"/>
        <w:ind w:left="2126" w:hanging="431"/>
        <w:rPr>
          <w:snapToGrid w:val="0"/>
          <w:szCs w:val="21"/>
          <w:lang w:val="en-CA"/>
        </w:rPr>
      </w:pPr>
      <w:r>
        <w:rPr>
          <w:rFonts w:hint="eastAsia"/>
          <w:snapToGrid w:val="0"/>
          <w:szCs w:val="21"/>
          <w:lang w:val="en-CA"/>
        </w:rPr>
        <w:sym w:font="Symbol" w:char="F0B7"/>
      </w:r>
      <w:r>
        <w:rPr>
          <w:snapToGrid w:val="0"/>
          <w:szCs w:val="21"/>
          <w:lang w:val="en-CA"/>
        </w:rPr>
        <w:tab/>
      </w:r>
      <w:r w:rsidRPr="00953281">
        <w:rPr>
          <w:rFonts w:hint="eastAsia"/>
          <w:snapToGrid w:val="0"/>
          <w:spacing w:val="-2"/>
          <w:szCs w:val="21"/>
          <w:lang w:val="en-CA"/>
        </w:rPr>
        <w:t>双方已经商定诉诸有详细程序规则</w:t>
      </w:r>
      <w:r w:rsidRPr="00953281">
        <w:rPr>
          <w:snapToGrid w:val="0"/>
          <w:spacing w:val="-2"/>
          <w:szCs w:val="21"/>
          <w:lang w:val="en-CA"/>
        </w:rPr>
        <w:t>(</w:t>
      </w:r>
      <w:r w:rsidRPr="00953281">
        <w:rPr>
          <w:rFonts w:hint="eastAsia"/>
          <w:snapToGrid w:val="0"/>
          <w:spacing w:val="-2"/>
          <w:szCs w:val="21"/>
          <w:lang w:val="en-CA"/>
        </w:rPr>
        <w:t>例如《北美自由贸易协定》</w:t>
      </w:r>
      <w:r w:rsidRPr="00953281">
        <w:rPr>
          <w:snapToGrid w:val="0"/>
          <w:spacing w:val="-2"/>
          <w:szCs w:val="21"/>
          <w:lang w:val="en-CA"/>
        </w:rPr>
        <w:t>)</w:t>
      </w:r>
      <w:r w:rsidRPr="00953281">
        <w:rPr>
          <w:rFonts w:hint="eastAsia"/>
          <w:snapToGrid w:val="0"/>
          <w:spacing w:val="-2"/>
          <w:szCs w:val="21"/>
          <w:lang w:val="en-CA"/>
        </w:rPr>
        <w:t>的高度制度化的仲裁机制，因为这些极为具体的规定反映了缔约双方的确切意图。</w:t>
      </w:r>
      <w:r w:rsidRPr="00953281">
        <w:rPr>
          <w:snapToGrid w:val="0"/>
          <w:spacing w:val="-2"/>
          <w:w w:val="150"/>
          <w:szCs w:val="21"/>
          <w:vertAlign w:val="superscript"/>
          <w:lang w:val="en-CA"/>
        </w:rPr>
        <w:footnoteReference w:id="500"/>
      </w:r>
    </w:p>
    <w:p w:rsidR="00F53060" w:rsidRPr="002347E9" w:rsidRDefault="00F53060" w:rsidP="00F53060">
      <w:pPr>
        <w:pStyle w:val="SingleTxt"/>
        <w:rPr>
          <w:snapToGrid w:val="0"/>
          <w:szCs w:val="21"/>
          <w:lang w:val="en-CA"/>
        </w:rPr>
      </w:pPr>
      <w:r w:rsidRPr="002347E9">
        <w:rPr>
          <w:snapToGrid w:val="0"/>
          <w:szCs w:val="21"/>
          <w:lang w:val="en-CA"/>
        </w:rPr>
        <w:t>90.</w:t>
      </w:r>
      <w:r w:rsidRPr="002347E9">
        <w:rPr>
          <w:rFonts w:hint="eastAsia"/>
          <w:snapToGrid w:val="0"/>
          <w:szCs w:val="21"/>
          <w:lang w:val="en-CA"/>
        </w:rPr>
        <w:t xml:space="preserve">  </w:t>
      </w:r>
      <w:r w:rsidRPr="002347E9">
        <w:rPr>
          <w:rFonts w:hint="eastAsia"/>
          <w:snapToGrid w:val="0"/>
          <w:szCs w:val="21"/>
          <w:lang w:val="en-CA"/>
        </w:rPr>
        <w:t>法庭还保留了这种可能，即“限制适用该条款的其他公共政策因素毫无疑问将由缔约双方或法庭将确定。”</w:t>
      </w:r>
      <w:r w:rsidRPr="00953281">
        <w:rPr>
          <w:snapToGrid w:val="0"/>
          <w:w w:val="150"/>
          <w:szCs w:val="21"/>
          <w:vertAlign w:val="superscript"/>
          <w:lang w:val="en-CA"/>
        </w:rPr>
        <w:footnoteReference w:id="501"/>
      </w:r>
      <w:r w:rsidRPr="002347E9">
        <w:rPr>
          <w:snapToGrid w:val="0"/>
          <w:szCs w:val="21"/>
          <w:lang w:val="en-CA"/>
        </w:rPr>
        <w:t xml:space="preserve"> </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CA"/>
        </w:rPr>
      </w:pPr>
      <w:r w:rsidRPr="002347E9">
        <w:rPr>
          <w:rFonts w:hint="eastAsia"/>
          <w:snapToGrid w:val="0"/>
          <w:lang w:val="en-CA"/>
        </w:rPr>
        <w:tab/>
      </w:r>
      <w:r w:rsidRPr="002347E9">
        <w:rPr>
          <w:snapToGrid w:val="0"/>
          <w:lang w:val="en-CA"/>
        </w:rPr>
        <w:t>(b)</w:t>
      </w:r>
      <w:r w:rsidRPr="002347E9">
        <w:rPr>
          <w:snapToGrid w:val="0"/>
          <w:lang w:val="en-CA"/>
        </w:rPr>
        <w:tab/>
      </w:r>
      <w:r w:rsidRPr="002347E9">
        <w:rPr>
          <w:rFonts w:hint="eastAsia"/>
          <w:snapToGrid w:val="0"/>
          <w:lang w:val="en-CA"/>
        </w:rPr>
        <w:t>投资法庭嗣后关于</w:t>
      </w:r>
      <w:r w:rsidRPr="002347E9">
        <w:rPr>
          <w:rFonts w:ascii="宋体" w:hAnsi="宋体" w:cs="宋体" w:hint="eastAsia"/>
          <w:snapToGrid w:val="0"/>
          <w:lang w:val="en-CA"/>
        </w:rPr>
        <w:t>最惠国条款适用于</w:t>
      </w:r>
      <w:r w:rsidRPr="002347E9">
        <w:rPr>
          <w:rFonts w:hint="eastAsia"/>
          <w:snapToGrid w:val="0"/>
          <w:lang w:val="en-CA"/>
        </w:rPr>
        <w:t>程序性事项</w:t>
      </w:r>
      <w:r w:rsidRPr="002347E9">
        <w:rPr>
          <w:rFonts w:ascii="宋体" w:hAnsi="宋体" w:cs="宋体" w:hint="eastAsia"/>
          <w:snapToGrid w:val="0"/>
          <w:lang w:val="en-CA"/>
        </w:rPr>
        <w:t>的解释</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snapToGrid w:val="0"/>
          <w:szCs w:val="21"/>
          <w:lang w:val="en-CA"/>
        </w:rPr>
        <w:t>91.</w:t>
      </w:r>
      <w:r w:rsidRPr="002347E9">
        <w:rPr>
          <w:rFonts w:hint="eastAsia"/>
          <w:snapToGrid w:val="0"/>
          <w:szCs w:val="21"/>
          <w:lang w:val="en-CA"/>
        </w:rPr>
        <w:t xml:space="preserve">  </w:t>
      </w:r>
      <w:r w:rsidRPr="002347E9">
        <w:rPr>
          <w:rFonts w:hint="eastAsia"/>
          <w:snapToGrid w:val="0"/>
          <w:szCs w:val="21"/>
          <w:lang w:val="en-CA"/>
        </w:rPr>
        <w:t>投资法庭嗣后的裁决在是否效仿</w:t>
      </w:r>
      <w:r w:rsidRPr="002347E9">
        <w:rPr>
          <w:rFonts w:eastAsia="楷体"/>
          <w:iCs/>
          <w:snapToGrid w:val="0"/>
          <w:szCs w:val="21"/>
          <w:lang w:val="en-CA"/>
        </w:rPr>
        <w:t>马菲基尼</w:t>
      </w:r>
      <w:r w:rsidRPr="002347E9">
        <w:rPr>
          <w:rFonts w:eastAsia="楷体" w:hint="eastAsia"/>
          <w:iCs/>
          <w:snapToGrid w:val="0"/>
          <w:szCs w:val="21"/>
          <w:lang w:val="en-CA"/>
        </w:rPr>
        <w:t>案</w:t>
      </w:r>
      <w:r w:rsidRPr="002347E9">
        <w:rPr>
          <w:rFonts w:hint="eastAsia"/>
          <w:snapToGrid w:val="0"/>
          <w:szCs w:val="21"/>
          <w:lang w:val="en-CA"/>
        </w:rPr>
        <w:t>的问题上出现了分歧。投资法庭普遍明确或隐晦地承认，任一</w:t>
      </w:r>
      <w:r w:rsidRPr="002347E9">
        <w:rPr>
          <w:rFonts w:ascii="宋体" w:hAnsi="宋体" w:cs="宋体" w:hint="eastAsia"/>
          <w:snapToGrid w:val="0"/>
          <w:szCs w:val="21"/>
          <w:lang w:val="en-CA"/>
        </w:rPr>
        <w:t>双边投资条约中最惠国条款范围的问题，均属于该条约的解释问题。</w:t>
      </w:r>
      <w:r w:rsidRPr="00953281">
        <w:rPr>
          <w:snapToGrid w:val="0"/>
          <w:w w:val="150"/>
          <w:szCs w:val="21"/>
          <w:vertAlign w:val="superscript"/>
          <w:lang w:val="en-CA"/>
        </w:rPr>
        <w:footnoteReference w:id="502"/>
      </w:r>
      <w:r w:rsidRPr="002347E9">
        <w:rPr>
          <w:snapToGrid w:val="0"/>
          <w:szCs w:val="21"/>
          <w:lang w:val="en-CA"/>
        </w:rPr>
        <w:t xml:space="preserve"> </w:t>
      </w:r>
      <w:r w:rsidRPr="002347E9">
        <w:rPr>
          <w:rFonts w:ascii="宋体" w:hAnsi="宋体" w:cs="宋体" w:hint="eastAsia"/>
          <w:snapToGrid w:val="0"/>
          <w:szCs w:val="21"/>
          <w:lang w:val="en-CA"/>
        </w:rPr>
        <w:t>投资法庭频频援引《维也纳条约法公约》第三十一条和第三十二条，以及</w:t>
      </w:r>
      <w:r w:rsidRPr="002347E9">
        <w:rPr>
          <w:rFonts w:eastAsia="楷体" w:hint="eastAsia"/>
          <w:snapToGrid w:val="0"/>
          <w:szCs w:val="21"/>
          <w:lang w:val="en-CA"/>
        </w:rPr>
        <w:t>明示其一即排除其他</w:t>
      </w:r>
      <w:r w:rsidRPr="002347E9">
        <w:rPr>
          <w:rFonts w:hint="eastAsia"/>
          <w:snapToGrid w:val="0"/>
          <w:szCs w:val="21"/>
          <w:lang w:val="en-CA"/>
        </w:rPr>
        <w:t>等原则。</w:t>
      </w:r>
      <w:r w:rsidRPr="002347E9">
        <w:rPr>
          <w:rFonts w:ascii="宋体" w:hAnsi="宋体" w:cs="宋体" w:hint="eastAsia"/>
          <w:snapToGrid w:val="0"/>
          <w:szCs w:val="21"/>
          <w:lang w:val="en-CA"/>
        </w:rPr>
        <w:t>法庭</w:t>
      </w:r>
      <w:r w:rsidRPr="002347E9">
        <w:rPr>
          <w:rFonts w:ascii="宋体" w:hAnsi="宋体" w:cs="宋体" w:hint="eastAsia"/>
          <w:snapToGrid w:val="0"/>
          <w:szCs w:val="21"/>
        </w:rPr>
        <w:t>宣称自己在设法确定缔约方的意图</w:t>
      </w:r>
      <w:r w:rsidRPr="002347E9">
        <w:rPr>
          <w:rFonts w:hint="eastAsia"/>
          <w:snapToGrid w:val="0"/>
          <w:szCs w:val="21"/>
          <w:lang w:val="en-CA"/>
        </w:rPr>
        <w:t>。然而没有一个系统的解释方法；法庭似乎在权衡不同的因素，这些因素有时与所涉条约的措辞毫无关联。</w:t>
      </w:r>
    </w:p>
    <w:p w:rsidR="00F53060" w:rsidRPr="002347E9" w:rsidRDefault="00F53060" w:rsidP="00F53060">
      <w:pPr>
        <w:pStyle w:val="SingleTxt"/>
        <w:rPr>
          <w:b/>
          <w:snapToGrid w:val="0"/>
          <w:szCs w:val="21"/>
          <w:lang w:val="en-CA"/>
        </w:rPr>
      </w:pPr>
      <w:r w:rsidRPr="002347E9">
        <w:rPr>
          <w:snapToGrid w:val="0"/>
          <w:szCs w:val="21"/>
          <w:lang w:val="en-CA"/>
        </w:rPr>
        <w:t>92.</w:t>
      </w:r>
      <w:r w:rsidRPr="002347E9">
        <w:rPr>
          <w:rFonts w:hint="eastAsia"/>
          <w:snapToGrid w:val="0"/>
          <w:szCs w:val="21"/>
          <w:lang w:val="en-CA"/>
        </w:rPr>
        <w:t xml:space="preserve">  </w:t>
      </w:r>
      <w:r w:rsidRPr="002347E9">
        <w:rPr>
          <w:rFonts w:hint="eastAsia"/>
          <w:snapToGrid w:val="0"/>
          <w:szCs w:val="21"/>
          <w:lang w:val="en-CA"/>
        </w:rPr>
        <w:t>研究组试图找出那些似乎影响投资法庭解释最惠国条款的因素，确定是否存在某些特定趋势。这一过程中，研究组意识到需要加强对《维也纳条约法公约》所载解释规则的遵守，这些规则适用于所有条约。下面列出了在最惠国条款适用于程序性事项方面，影响投资法庭裁决的最主要因素。</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一</w:t>
      </w:r>
      <w:r w:rsidRPr="002347E9">
        <w:rPr>
          <w:lang w:val="en-CA"/>
        </w:rPr>
        <w:t>)</w:t>
      </w:r>
      <w:r w:rsidRPr="002347E9">
        <w:rPr>
          <w:lang w:val="en-CA"/>
        </w:rPr>
        <w:tab/>
      </w:r>
      <w:r w:rsidRPr="002347E9">
        <w:rPr>
          <w:rFonts w:hint="eastAsia"/>
          <w:lang w:val="en-CA"/>
        </w:rPr>
        <w:t>实质性义务与程序性义务的区别</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szCs w:val="21"/>
          <w:lang w:val="en-CA"/>
        </w:rPr>
      </w:pPr>
      <w:r w:rsidRPr="002347E9">
        <w:rPr>
          <w:snapToGrid w:val="0"/>
          <w:szCs w:val="21"/>
          <w:lang w:val="en-CA"/>
        </w:rPr>
        <w:t>93.</w:t>
      </w:r>
      <w:r w:rsidRPr="002347E9">
        <w:rPr>
          <w:rFonts w:hint="eastAsia"/>
          <w:snapToGrid w:val="0"/>
          <w:szCs w:val="21"/>
          <w:lang w:val="en-CA"/>
        </w:rPr>
        <w:t xml:space="preserve">  </w:t>
      </w:r>
      <w:r w:rsidRPr="002347E9">
        <w:rPr>
          <w:rFonts w:hint="eastAsia"/>
          <w:snapToGrid w:val="0"/>
          <w:szCs w:val="21"/>
          <w:lang w:val="en-CA"/>
        </w:rPr>
        <w:t>法庭经常采用的出发点是，确定最惠国条款在原则上是否既涉及条约的程序性规定，也涉及实质性规定。在</w:t>
      </w:r>
      <w:r w:rsidRPr="002347E9">
        <w:rPr>
          <w:rFonts w:eastAsia="楷体"/>
          <w:iCs/>
          <w:snapToGrid w:val="0"/>
          <w:szCs w:val="21"/>
          <w:lang w:val="en-CA"/>
        </w:rPr>
        <w:t>马菲基尼</w:t>
      </w:r>
      <w:r w:rsidRPr="002347E9">
        <w:rPr>
          <w:rFonts w:eastAsia="楷体" w:hint="eastAsia"/>
          <w:iCs/>
          <w:snapToGrid w:val="0"/>
          <w:szCs w:val="21"/>
          <w:lang w:val="en-CA"/>
        </w:rPr>
        <w:t>案</w:t>
      </w:r>
      <w:r w:rsidRPr="002347E9">
        <w:rPr>
          <w:rFonts w:hint="eastAsia"/>
          <w:snapToGrid w:val="0"/>
          <w:szCs w:val="21"/>
          <w:lang w:val="en-CA"/>
        </w:rPr>
        <w:t>中提出的问题是：</w:t>
      </w:r>
    </w:p>
    <w:p w:rsidR="00F53060" w:rsidRPr="002347E9" w:rsidRDefault="00F53060" w:rsidP="00F53060">
      <w:pPr>
        <w:pStyle w:val="SingleTxt"/>
        <w:ind w:left="1695"/>
        <w:rPr>
          <w:snapToGrid w:val="0"/>
          <w:szCs w:val="21"/>
          <w:lang w:val="en-CA" w:bidi="en-US"/>
        </w:rPr>
      </w:pPr>
      <w:r w:rsidRPr="002347E9">
        <w:rPr>
          <w:rFonts w:hint="eastAsia"/>
          <w:snapToGrid w:val="0"/>
          <w:szCs w:val="21"/>
          <w:lang w:val="en-CA" w:bidi="en-US"/>
        </w:rPr>
        <w:tab/>
      </w:r>
      <w:r w:rsidRPr="002347E9">
        <w:rPr>
          <w:rFonts w:hint="eastAsia"/>
          <w:snapToGrid w:val="0"/>
          <w:szCs w:val="21"/>
          <w:lang w:val="en-CA" w:bidi="en-US"/>
        </w:rPr>
        <w:t>“第三方条约所载争端解决规定是否能被视为与通商、航海或投资等基础条约规定适用最惠国条款的公正和公平待遇之间存在合理联系，从而是否可被视为该条款涵盖的一个主题事项。”</w:t>
      </w:r>
      <w:r w:rsidRPr="00953281">
        <w:rPr>
          <w:snapToGrid w:val="0"/>
          <w:w w:val="150"/>
          <w:szCs w:val="21"/>
          <w:vertAlign w:val="superscript"/>
          <w:lang w:val="en-CA" w:bidi="en-US"/>
        </w:rPr>
        <w:footnoteReference w:id="503"/>
      </w:r>
    </w:p>
    <w:p w:rsidR="00F53060" w:rsidRPr="002347E9" w:rsidRDefault="00F53060" w:rsidP="00F53060">
      <w:pPr>
        <w:pStyle w:val="SingleTxt"/>
        <w:rPr>
          <w:snapToGrid w:val="0"/>
          <w:szCs w:val="21"/>
          <w:lang w:val="en-CA"/>
        </w:rPr>
      </w:pPr>
      <w:r w:rsidRPr="002347E9">
        <w:rPr>
          <w:snapToGrid w:val="0"/>
          <w:szCs w:val="21"/>
          <w:lang w:val="en-CA" w:bidi="en-US"/>
        </w:rPr>
        <w:t>94.</w:t>
      </w:r>
      <w:r w:rsidRPr="002347E9">
        <w:rPr>
          <w:rFonts w:hint="eastAsia"/>
          <w:snapToGrid w:val="0"/>
          <w:szCs w:val="21"/>
          <w:lang w:val="en-CA" w:bidi="en-US"/>
        </w:rPr>
        <w:t xml:space="preserve">  </w:t>
      </w:r>
      <w:r w:rsidRPr="002347E9">
        <w:rPr>
          <w:rFonts w:hint="eastAsia"/>
          <w:snapToGrid w:val="0"/>
          <w:szCs w:val="21"/>
          <w:lang w:val="en-CA" w:bidi="en-US"/>
        </w:rPr>
        <w:t>如上所述，法庭认定，最惠国待遇可扩张适用于程序性规定，同时受到某些“公共政策”考虑的限制。</w:t>
      </w:r>
      <w:r w:rsidRPr="00953281">
        <w:rPr>
          <w:snapToGrid w:val="0"/>
          <w:w w:val="150"/>
          <w:szCs w:val="21"/>
          <w:vertAlign w:val="superscript"/>
          <w:lang w:val="en-CA" w:bidi="en-US"/>
        </w:rPr>
        <w:footnoteReference w:id="504"/>
      </w:r>
      <w:r w:rsidRPr="002347E9">
        <w:rPr>
          <w:rFonts w:hint="eastAsia"/>
          <w:snapToGrid w:val="0"/>
          <w:szCs w:val="21"/>
          <w:lang w:val="en-CA" w:bidi="en-US"/>
        </w:rPr>
        <w:t xml:space="preserve"> </w:t>
      </w:r>
      <w:r w:rsidRPr="002347E9">
        <w:rPr>
          <w:rFonts w:hint="eastAsia"/>
          <w:snapToGrid w:val="0"/>
          <w:szCs w:val="21"/>
          <w:lang w:val="en-CA"/>
        </w:rPr>
        <w:t>法庭在作出该裁决时援引了仲裁委员会对</w:t>
      </w:r>
      <w:r w:rsidRPr="002347E9">
        <w:rPr>
          <w:rFonts w:eastAsia="楷体"/>
          <w:iCs/>
          <w:snapToGrid w:val="0"/>
          <w:szCs w:val="21"/>
          <w:lang w:val="en-CA"/>
        </w:rPr>
        <w:t>安巴提洛斯</w:t>
      </w:r>
      <w:r w:rsidRPr="002347E9">
        <w:rPr>
          <w:rFonts w:eastAsia="楷体" w:hint="eastAsia"/>
          <w:iCs/>
          <w:snapToGrid w:val="0"/>
          <w:szCs w:val="21"/>
          <w:lang w:val="en-CA"/>
        </w:rPr>
        <w:t>案</w:t>
      </w:r>
      <w:r w:rsidRPr="002347E9">
        <w:rPr>
          <w:rFonts w:hint="eastAsia"/>
          <w:snapToGrid w:val="0"/>
          <w:szCs w:val="21"/>
          <w:lang w:val="en-CA"/>
        </w:rPr>
        <w:lastRenderedPageBreak/>
        <w:t>的裁决，并指出，“有理由断定，</w:t>
      </w:r>
      <w:r w:rsidRPr="002347E9">
        <w:rPr>
          <w:rFonts w:hint="eastAsia"/>
          <w:snapToGrid w:val="0"/>
          <w:szCs w:val="21"/>
          <w:lang w:val="en-CA" w:bidi="en-US"/>
        </w:rPr>
        <w:t>争端解决安排</w:t>
      </w:r>
      <w:r w:rsidRPr="002347E9">
        <w:rPr>
          <w:rFonts w:hint="eastAsia"/>
          <w:snapToGrid w:val="0"/>
          <w:szCs w:val="21"/>
          <w:lang w:val="en-CA"/>
        </w:rPr>
        <w:t>如今</w:t>
      </w:r>
      <w:r w:rsidRPr="002347E9">
        <w:rPr>
          <w:rFonts w:hint="eastAsia"/>
          <w:snapToGrid w:val="0"/>
          <w:szCs w:val="21"/>
          <w:lang w:val="en-CA" w:bidi="en-US"/>
        </w:rPr>
        <w:t>与保护外国投资者之间存在千丝万缕的联系，正如这些安排与通商条约对贸易商权利的保护之间也存在关联</w:t>
      </w:r>
      <w:r w:rsidRPr="002347E9">
        <w:rPr>
          <w:rFonts w:hint="eastAsia"/>
          <w:snapToGrid w:val="0"/>
          <w:szCs w:val="21"/>
          <w:lang w:val="en-CA"/>
        </w:rPr>
        <w:t>”。</w:t>
      </w:r>
      <w:r w:rsidRPr="00953281">
        <w:rPr>
          <w:snapToGrid w:val="0"/>
          <w:w w:val="150"/>
          <w:szCs w:val="21"/>
          <w:vertAlign w:val="superscript"/>
          <w:lang w:val="en-CA" w:bidi="en-US"/>
        </w:rPr>
        <w:footnoteReference w:id="505"/>
      </w:r>
    </w:p>
    <w:p w:rsidR="00F53060" w:rsidRPr="002347E9" w:rsidRDefault="00F53060" w:rsidP="00F53060">
      <w:pPr>
        <w:pStyle w:val="SingleTxt"/>
        <w:rPr>
          <w:snapToGrid w:val="0"/>
          <w:szCs w:val="21"/>
          <w:lang w:val="en-CA"/>
        </w:rPr>
      </w:pPr>
      <w:r w:rsidRPr="002347E9">
        <w:rPr>
          <w:snapToGrid w:val="0"/>
          <w:szCs w:val="21"/>
          <w:lang w:val="en-CA" w:bidi="en-US"/>
        </w:rPr>
        <w:t>95.</w:t>
      </w:r>
      <w:r w:rsidRPr="002347E9">
        <w:rPr>
          <w:rFonts w:hint="eastAsia"/>
          <w:snapToGrid w:val="0"/>
          <w:szCs w:val="21"/>
          <w:lang w:val="en-CA" w:bidi="en-US"/>
        </w:rPr>
        <w:t xml:space="preserve">  </w:t>
      </w:r>
      <w:r w:rsidRPr="002347E9">
        <w:rPr>
          <w:rFonts w:eastAsia="楷体"/>
          <w:iCs/>
          <w:snapToGrid w:val="0"/>
          <w:szCs w:val="21"/>
          <w:lang w:val="en-CA" w:bidi="en-US"/>
        </w:rPr>
        <w:t>马菲基尼</w:t>
      </w:r>
      <w:r w:rsidRPr="002347E9">
        <w:rPr>
          <w:rFonts w:eastAsia="楷体" w:hint="eastAsia"/>
          <w:snapToGrid w:val="0"/>
          <w:szCs w:val="21"/>
          <w:lang w:val="en-CA" w:bidi="en-US"/>
        </w:rPr>
        <w:t>案</w:t>
      </w:r>
      <w:r w:rsidRPr="002347E9">
        <w:rPr>
          <w:rFonts w:hint="eastAsia"/>
          <w:snapToGrid w:val="0"/>
          <w:szCs w:val="21"/>
          <w:lang w:val="en-CA" w:bidi="en-US"/>
        </w:rPr>
        <w:t>裁决中的关键是这一结论：争端解决条款原则上属于双边投资协定对投资者和投资的保护。因此，就本身而言，争端解决条款几乎总能经由最惠国条款被纳入投资协定。在投资协定下，若使用</w:t>
      </w:r>
      <w:r w:rsidRPr="002347E9">
        <w:rPr>
          <w:snapToGrid w:val="0"/>
          <w:szCs w:val="21"/>
          <w:lang w:val="en-CA" w:bidi="en-US"/>
        </w:rPr>
        <w:t>1978</w:t>
      </w:r>
      <w:r w:rsidRPr="002347E9">
        <w:rPr>
          <w:rFonts w:hint="eastAsia"/>
          <w:snapToGrid w:val="0"/>
          <w:szCs w:val="21"/>
          <w:lang w:val="en-CA" w:bidi="en-US"/>
        </w:rPr>
        <w:t>年条款草案第九条的措辞，争端解决属于最惠国条款的“主题事项范围之内”。</w:t>
      </w:r>
    </w:p>
    <w:p w:rsidR="00F53060" w:rsidRPr="002347E9" w:rsidRDefault="00F53060" w:rsidP="00F53060">
      <w:pPr>
        <w:pStyle w:val="SingleTxt"/>
        <w:rPr>
          <w:snapToGrid w:val="0"/>
          <w:szCs w:val="21"/>
          <w:lang w:val="en-CA"/>
        </w:rPr>
      </w:pPr>
      <w:r w:rsidRPr="002347E9">
        <w:rPr>
          <w:snapToGrid w:val="0"/>
          <w:szCs w:val="21"/>
          <w:lang w:val="en-CA"/>
        </w:rPr>
        <w:t xml:space="preserve">96. </w:t>
      </w:r>
      <w:r w:rsidRPr="002347E9">
        <w:rPr>
          <w:rFonts w:hint="eastAsia"/>
          <w:snapToGrid w:val="0"/>
          <w:szCs w:val="21"/>
          <w:lang w:val="en-CA"/>
        </w:rPr>
        <w:t xml:space="preserve"> </w:t>
      </w:r>
      <w:r w:rsidRPr="002347E9">
        <w:rPr>
          <w:rFonts w:hint="eastAsia"/>
          <w:snapToGrid w:val="0"/>
          <w:szCs w:val="21"/>
          <w:lang w:val="en-CA"/>
        </w:rPr>
        <w:t>程序性事项</w:t>
      </w:r>
      <w:r w:rsidRPr="002347E9">
        <w:rPr>
          <w:rFonts w:hint="eastAsia"/>
          <w:snapToGrid w:val="0"/>
          <w:szCs w:val="21"/>
          <w:lang w:val="en-CA"/>
        </w:rPr>
        <w:t>(</w:t>
      </w:r>
      <w:r w:rsidRPr="002347E9">
        <w:rPr>
          <w:rFonts w:hint="eastAsia"/>
          <w:snapToGrid w:val="0"/>
          <w:szCs w:val="21"/>
          <w:lang w:val="en-CA"/>
        </w:rPr>
        <w:t>具体而言是争端解决条款</w:t>
      </w:r>
      <w:r w:rsidRPr="002347E9">
        <w:rPr>
          <w:rFonts w:hint="eastAsia"/>
          <w:snapToGrid w:val="0"/>
          <w:szCs w:val="21"/>
          <w:lang w:val="en-CA"/>
        </w:rPr>
        <w:t>)</w:t>
      </w:r>
      <w:r w:rsidRPr="002347E9">
        <w:rPr>
          <w:rFonts w:hint="eastAsia"/>
          <w:snapToGrid w:val="0"/>
          <w:szCs w:val="21"/>
          <w:lang w:val="en-CA"/>
        </w:rPr>
        <w:t>本质上与对外国投资者的实质性保护属于同一类别，这个结论在投资法庭嗣后的一些裁决中成为重要依据。在</w:t>
      </w:r>
      <w:r w:rsidRPr="002347E9">
        <w:rPr>
          <w:rFonts w:eastAsia="楷体"/>
          <w:iCs/>
          <w:snapToGrid w:val="0"/>
          <w:szCs w:val="21"/>
          <w:lang w:val="en-CA"/>
        </w:rPr>
        <w:t>西门子案</w:t>
      </w:r>
      <w:r w:rsidRPr="002347E9">
        <w:rPr>
          <w:rFonts w:hint="eastAsia"/>
          <w:snapToGrid w:val="0"/>
          <w:szCs w:val="21"/>
          <w:lang w:val="en-CA"/>
        </w:rPr>
        <w:t>中，法庭指出，争端解决“属条约提供的保护，是外国投资者和投资的待遇以及经由最惠国条款可获得的好处的一部分。</w:t>
      </w:r>
      <w:r w:rsidRPr="00953281">
        <w:rPr>
          <w:snapToGrid w:val="0"/>
          <w:w w:val="150"/>
          <w:szCs w:val="21"/>
          <w:vertAlign w:val="superscript"/>
          <w:lang w:val="en-CA"/>
        </w:rPr>
        <w:footnoteReference w:id="506"/>
      </w:r>
      <w:r w:rsidRPr="002347E9">
        <w:rPr>
          <w:snapToGrid w:val="0"/>
          <w:szCs w:val="21"/>
          <w:lang w:val="en-CA"/>
        </w:rPr>
        <w:t xml:space="preserve"> </w:t>
      </w:r>
      <w:r w:rsidRPr="002347E9">
        <w:rPr>
          <w:rFonts w:hint="eastAsia"/>
          <w:snapToGrid w:val="0"/>
          <w:szCs w:val="21"/>
          <w:lang w:val="en-CA"/>
        </w:rPr>
        <w:t>在</w:t>
      </w:r>
      <w:r w:rsidRPr="002347E9">
        <w:rPr>
          <w:rFonts w:eastAsia="楷体"/>
          <w:iCs/>
          <w:snapToGrid w:val="0"/>
          <w:szCs w:val="21"/>
          <w:lang w:val="en-CA"/>
        </w:rPr>
        <w:t>AWG</w:t>
      </w:r>
      <w:r w:rsidRPr="002347E9">
        <w:rPr>
          <w:rFonts w:eastAsia="楷体" w:hint="eastAsia"/>
          <w:iCs/>
          <w:snapToGrid w:val="0"/>
          <w:szCs w:val="21"/>
          <w:lang w:val="en-CA"/>
        </w:rPr>
        <w:t>案</w:t>
      </w:r>
      <w:r w:rsidRPr="002347E9">
        <w:rPr>
          <w:rFonts w:hint="eastAsia"/>
          <w:snapToGrid w:val="0"/>
          <w:szCs w:val="21"/>
          <w:lang w:val="en-CA"/>
        </w:rPr>
        <w:t>中，</w:t>
      </w:r>
      <w:r w:rsidRPr="002347E9">
        <w:rPr>
          <w:rFonts w:hint="eastAsia"/>
          <w:iCs/>
          <w:snapToGrid w:val="0"/>
          <w:szCs w:val="21"/>
          <w:lang w:val="en-CA"/>
        </w:rPr>
        <w:t>法庭</w:t>
      </w:r>
      <w:r w:rsidRPr="002347E9">
        <w:rPr>
          <w:rFonts w:hint="eastAsia"/>
          <w:snapToGrid w:val="0"/>
          <w:szCs w:val="21"/>
          <w:lang w:val="en-CA"/>
        </w:rPr>
        <w:t>表示，无法找到“将争端解决事项与双边投资条约涵盖的任何其他事项区别对待的依据”。</w:t>
      </w:r>
      <w:r w:rsidRPr="00953281">
        <w:rPr>
          <w:snapToGrid w:val="0"/>
          <w:w w:val="150"/>
          <w:szCs w:val="21"/>
          <w:vertAlign w:val="superscript"/>
          <w:lang w:val="en-CA"/>
        </w:rPr>
        <w:footnoteReference w:id="507"/>
      </w:r>
    </w:p>
    <w:p w:rsidR="00F53060" w:rsidRPr="002347E9" w:rsidRDefault="00F53060" w:rsidP="00F53060">
      <w:pPr>
        <w:pStyle w:val="SingleTxt"/>
        <w:rPr>
          <w:snapToGrid w:val="0"/>
          <w:szCs w:val="21"/>
          <w:lang w:val="en-CA"/>
        </w:rPr>
      </w:pPr>
      <w:r w:rsidRPr="002347E9">
        <w:rPr>
          <w:snapToGrid w:val="0"/>
          <w:szCs w:val="21"/>
          <w:lang w:val="en-CA"/>
        </w:rPr>
        <w:t>97.</w:t>
      </w:r>
      <w:r w:rsidRPr="002347E9">
        <w:rPr>
          <w:rFonts w:hint="eastAsia"/>
          <w:snapToGrid w:val="0"/>
          <w:szCs w:val="21"/>
          <w:lang w:val="en-CA"/>
        </w:rPr>
        <w:t xml:space="preserve">  </w:t>
      </w:r>
      <w:r w:rsidRPr="002347E9">
        <w:rPr>
          <w:rFonts w:hint="eastAsia"/>
          <w:snapToGrid w:val="0"/>
          <w:szCs w:val="21"/>
          <w:lang w:val="en-CA"/>
        </w:rPr>
        <w:t>然而，有些</w:t>
      </w:r>
      <w:r w:rsidRPr="002347E9">
        <w:rPr>
          <w:rFonts w:ascii="宋体" w:hAnsi="宋体" w:cs="宋体" w:hint="eastAsia"/>
          <w:snapToGrid w:val="0"/>
          <w:szCs w:val="21"/>
          <w:lang w:val="en-CA"/>
        </w:rPr>
        <w:t>法庭就最惠国条款是否必然适用于争端解决</w:t>
      </w:r>
      <w:r w:rsidRPr="002347E9">
        <w:rPr>
          <w:rFonts w:hint="eastAsia"/>
          <w:snapToGrid w:val="0"/>
          <w:szCs w:val="21"/>
          <w:lang w:val="en-CA"/>
        </w:rPr>
        <w:t>规定提出了质疑。</w:t>
      </w:r>
      <w:r w:rsidRPr="002347E9">
        <w:rPr>
          <w:rFonts w:eastAsia="楷体"/>
          <w:iCs/>
          <w:snapToGrid w:val="0"/>
          <w:szCs w:val="21"/>
          <w:lang w:val="en-CA"/>
        </w:rPr>
        <w:t>萨利尼</w:t>
      </w:r>
      <w:r w:rsidRPr="002347E9">
        <w:rPr>
          <w:rFonts w:asciiTheme="majorBidi" w:eastAsia="楷体" w:hAnsiTheme="majorBidi" w:cstheme="majorBidi"/>
          <w:iCs/>
          <w:snapToGrid w:val="0"/>
          <w:szCs w:val="21"/>
          <w:lang w:val="en-CA"/>
        </w:rPr>
        <w:t>(Salini)</w:t>
      </w:r>
      <w:r w:rsidRPr="002347E9">
        <w:rPr>
          <w:rFonts w:eastAsia="楷体"/>
          <w:iCs/>
          <w:snapToGrid w:val="0"/>
          <w:szCs w:val="21"/>
          <w:lang w:val="en-CA"/>
        </w:rPr>
        <w:t>案</w:t>
      </w:r>
      <w:r w:rsidRPr="002347E9">
        <w:rPr>
          <w:rFonts w:hint="eastAsia"/>
          <w:snapToGrid w:val="0"/>
          <w:szCs w:val="21"/>
          <w:lang w:val="en-CA"/>
        </w:rPr>
        <w:t>法庭质疑</w:t>
      </w:r>
      <w:r w:rsidRPr="002347E9">
        <w:rPr>
          <w:rFonts w:eastAsia="楷体"/>
          <w:snapToGrid w:val="0"/>
          <w:szCs w:val="21"/>
          <w:lang w:val="en-CA"/>
        </w:rPr>
        <w:t>安巴提洛斯</w:t>
      </w:r>
      <w:r w:rsidRPr="002347E9">
        <w:rPr>
          <w:rFonts w:eastAsia="楷体" w:hint="eastAsia"/>
          <w:snapToGrid w:val="0"/>
          <w:szCs w:val="21"/>
          <w:lang w:val="en-CA"/>
        </w:rPr>
        <w:t>案</w:t>
      </w:r>
      <w:r w:rsidRPr="002347E9">
        <w:rPr>
          <w:rFonts w:hint="eastAsia"/>
          <w:snapToGrid w:val="0"/>
          <w:szCs w:val="21"/>
          <w:lang w:val="en-CA"/>
        </w:rPr>
        <w:t>的裁决能否作为这种观点的权威依据，</w:t>
      </w:r>
      <w:r w:rsidRPr="00953281">
        <w:rPr>
          <w:snapToGrid w:val="0"/>
          <w:w w:val="150"/>
          <w:szCs w:val="21"/>
          <w:vertAlign w:val="superscript"/>
          <w:lang w:val="en-CA"/>
        </w:rPr>
        <w:footnoteReference w:id="508"/>
      </w:r>
      <w:r w:rsidRPr="002347E9">
        <w:rPr>
          <w:snapToGrid w:val="0"/>
          <w:szCs w:val="21"/>
          <w:lang w:val="en-CA"/>
        </w:rPr>
        <w:t xml:space="preserve"> </w:t>
      </w:r>
      <w:r w:rsidRPr="002347E9">
        <w:rPr>
          <w:rFonts w:hint="eastAsia"/>
          <w:snapToGrid w:val="0"/>
          <w:szCs w:val="21"/>
          <w:lang w:val="en-CA"/>
        </w:rPr>
        <w:t>援引此前在国际法院裁决中持不同意见的法官提出的意见：“通商和航海”不包括“司法”。</w:t>
      </w:r>
      <w:r w:rsidRPr="00953281">
        <w:rPr>
          <w:snapToGrid w:val="0"/>
          <w:w w:val="150"/>
          <w:szCs w:val="21"/>
          <w:vertAlign w:val="superscript"/>
          <w:lang w:val="en-CA"/>
        </w:rPr>
        <w:footnoteReference w:id="509"/>
      </w:r>
      <w:r w:rsidRPr="002347E9">
        <w:rPr>
          <w:snapToGrid w:val="0"/>
          <w:szCs w:val="21"/>
          <w:lang w:val="en-CA"/>
        </w:rPr>
        <w:t xml:space="preserve"> </w:t>
      </w:r>
      <w:r w:rsidRPr="002347E9">
        <w:rPr>
          <w:rFonts w:eastAsia="楷体"/>
          <w:snapToGrid w:val="0"/>
          <w:szCs w:val="21"/>
          <w:lang w:val="en-CA"/>
        </w:rPr>
        <w:t>萨利尼案</w:t>
      </w:r>
      <w:r w:rsidRPr="002347E9">
        <w:rPr>
          <w:rFonts w:ascii="宋体" w:hAnsi="宋体" w:cs="宋体" w:hint="eastAsia"/>
          <w:snapToGrid w:val="0"/>
          <w:szCs w:val="21"/>
          <w:lang w:val="en-CA"/>
        </w:rPr>
        <w:t>法庭进一步指出，</w:t>
      </w:r>
      <w:r w:rsidRPr="002347E9">
        <w:rPr>
          <w:rFonts w:hint="eastAsia"/>
          <w:snapToGrid w:val="0"/>
          <w:szCs w:val="21"/>
          <w:lang w:val="en-CA"/>
        </w:rPr>
        <w:t>无论如何，</w:t>
      </w:r>
      <w:r w:rsidRPr="002347E9">
        <w:rPr>
          <w:rFonts w:eastAsia="楷体"/>
          <w:snapToGrid w:val="0"/>
          <w:szCs w:val="21"/>
          <w:lang w:val="en-CA"/>
        </w:rPr>
        <w:t>安巴提洛斯</w:t>
      </w:r>
      <w:r w:rsidRPr="002347E9">
        <w:rPr>
          <w:rFonts w:eastAsia="楷体" w:hint="eastAsia"/>
          <w:snapToGrid w:val="0"/>
          <w:szCs w:val="21"/>
          <w:lang w:val="en-CA"/>
        </w:rPr>
        <w:t>案</w:t>
      </w:r>
      <w:r w:rsidRPr="002347E9">
        <w:rPr>
          <w:rFonts w:hint="eastAsia"/>
          <w:snapToGrid w:val="0"/>
          <w:szCs w:val="21"/>
          <w:lang w:val="en-CA"/>
        </w:rPr>
        <w:t>仲裁委员会在提及“司法”时，并不是指程序性规定或</w:t>
      </w:r>
      <w:r w:rsidRPr="002347E9">
        <w:rPr>
          <w:rFonts w:ascii="宋体" w:hAnsi="宋体" w:cs="宋体" w:hint="eastAsia"/>
          <w:snapToGrid w:val="0"/>
          <w:szCs w:val="21"/>
          <w:lang w:val="en-CA"/>
        </w:rPr>
        <w:t>争端解决</w:t>
      </w:r>
      <w:r w:rsidRPr="002347E9">
        <w:rPr>
          <w:rFonts w:hint="eastAsia"/>
          <w:snapToGrid w:val="0"/>
          <w:szCs w:val="21"/>
          <w:lang w:val="en-CA"/>
        </w:rPr>
        <w:t>，而是其他投资条约中与按照正义与公平原则给予国民待遇有关的实质性规定。</w:t>
      </w:r>
      <w:r w:rsidRPr="00953281">
        <w:rPr>
          <w:snapToGrid w:val="0"/>
          <w:w w:val="150"/>
          <w:szCs w:val="21"/>
          <w:vertAlign w:val="superscript"/>
          <w:lang w:val="en-CA"/>
        </w:rPr>
        <w:footnoteReference w:id="510"/>
      </w:r>
      <w:r w:rsidRPr="002347E9">
        <w:rPr>
          <w:snapToGrid w:val="0"/>
          <w:szCs w:val="21"/>
          <w:lang w:val="en-CA"/>
        </w:rPr>
        <w:t xml:space="preserve"> </w:t>
      </w:r>
    </w:p>
    <w:p w:rsidR="00F53060" w:rsidRPr="002347E9" w:rsidRDefault="00F53060" w:rsidP="00F53060">
      <w:pPr>
        <w:pStyle w:val="SingleTxt"/>
        <w:rPr>
          <w:snapToGrid w:val="0"/>
          <w:szCs w:val="21"/>
          <w:lang w:val="en-CA"/>
        </w:rPr>
      </w:pPr>
      <w:r w:rsidRPr="002347E9">
        <w:rPr>
          <w:snapToGrid w:val="0"/>
          <w:szCs w:val="21"/>
          <w:lang w:val="en-CA"/>
        </w:rPr>
        <w:lastRenderedPageBreak/>
        <w:t>98.</w:t>
      </w:r>
      <w:r w:rsidRPr="002347E9">
        <w:rPr>
          <w:rFonts w:hint="eastAsia"/>
          <w:snapToGrid w:val="0"/>
          <w:szCs w:val="21"/>
          <w:lang w:val="en-CA"/>
        </w:rPr>
        <w:t xml:space="preserve">  </w:t>
      </w:r>
      <w:r w:rsidRPr="002347E9">
        <w:rPr>
          <w:rFonts w:eastAsia="楷体"/>
          <w:iCs/>
          <w:snapToGrid w:val="0"/>
          <w:szCs w:val="21"/>
          <w:lang w:val="en-CA"/>
        </w:rPr>
        <w:t>挪威电信</w:t>
      </w:r>
      <w:r w:rsidRPr="002347E9">
        <w:rPr>
          <w:rFonts w:eastAsia="楷体" w:hint="eastAsia"/>
          <w:iCs/>
          <w:snapToGrid w:val="0"/>
          <w:szCs w:val="21"/>
          <w:lang w:val="en-CA"/>
        </w:rPr>
        <w:t>案</w:t>
      </w:r>
      <w:r w:rsidRPr="002347E9">
        <w:rPr>
          <w:rFonts w:eastAsia="楷体" w:hint="eastAsia"/>
          <w:iCs/>
          <w:snapToGrid w:val="0"/>
          <w:szCs w:val="21"/>
          <w:lang w:val="en-CA"/>
        </w:rPr>
        <w:t>(Telenor)</w:t>
      </w:r>
      <w:r w:rsidRPr="002347E9">
        <w:rPr>
          <w:rFonts w:hint="eastAsia"/>
          <w:snapToGrid w:val="0"/>
          <w:szCs w:val="21"/>
          <w:lang w:val="en-CA"/>
        </w:rPr>
        <w:t>法庭更加强调将程序性规定排除在</w:t>
      </w:r>
      <w:r w:rsidRPr="002347E9">
        <w:rPr>
          <w:rFonts w:ascii="宋体" w:hAnsi="宋体" w:cs="宋体" w:hint="eastAsia"/>
          <w:snapToGrid w:val="0"/>
          <w:szCs w:val="21"/>
          <w:lang w:val="en-CA"/>
        </w:rPr>
        <w:t>最惠国条款适用范围之外</w:t>
      </w:r>
      <w:r w:rsidRPr="002347E9">
        <w:rPr>
          <w:rFonts w:hint="eastAsia"/>
          <w:snapToGrid w:val="0"/>
          <w:szCs w:val="21"/>
          <w:lang w:val="en-CA"/>
        </w:rPr>
        <w:t>。法庭指出：</w:t>
      </w:r>
    </w:p>
    <w:p w:rsidR="00F53060" w:rsidRPr="002347E9" w:rsidRDefault="00F53060" w:rsidP="00F53060">
      <w:pPr>
        <w:pStyle w:val="SingleTxt"/>
        <w:ind w:left="1695"/>
        <w:rPr>
          <w:snapToGrid w:val="0"/>
          <w:szCs w:val="21"/>
          <w:lang w:val="en-CA"/>
        </w:rPr>
      </w:pPr>
      <w:r w:rsidRPr="002347E9">
        <w:rPr>
          <w:rFonts w:hint="eastAsia"/>
          <w:snapToGrid w:val="0"/>
          <w:szCs w:val="21"/>
          <w:lang w:val="en-CA"/>
        </w:rPr>
        <w:tab/>
      </w:r>
      <w:r w:rsidRPr="002347E9">
        <w:rPr>
          <w:rFonts w:hint="eastAsia"/>
          <w:snapToGrid w:val="0"/>
          <w:szCs w:val="21"/>
          <w:lang w:val="en-CA"/>
        </w:rPr>
        <w:t>“在没有表示相反意思的语言或上下文的情形下，</w:t>
      </w:r>
      <w:r w:rsidRPr="00E1712C">
        <w:rPr>
          <w:rFonts w:asciiTheme="minorEastAsia" w:eastAsiaTheme="minorEastAsia" w:hAnsiTheme="minorEastAsia"/>
          <w:snapToGrid w:val="0"/>
          <w:szCs w:val="21"/>
          <w:lang w:val="en-CA"/>
        </w:rPr>
        <w:t>‘</w:t>
      </w:r>
      <w:r w:rsidRPr="002347E9">
        <w:rPr>
          <w:rFonts w:hint="eastAsia"/>
          <w:snapToGrid w:val="0"/>
          <w:szCs w:val="21"/>
          <w:lang w:val="en-CA"/>
        </w:rPr>
        <w:t>投资得到的待遇应不低于给予任何第三国投资者所做投资的待遇</w:t>
      </w:r>
      <w:r w:rsidRPr="00E1712C">
        <w:rPr>
          <w:rFonts w:asciiTheme="minorEastAsia" w:eastAsiaTheme="minorEastAsia" w:hAnsiTheme="minorEastAsia"/>
          <w:snapToGrid w:val="0"/>
          <w:szCs w:val="21"/>
          <w:lang w:val="en-CA"/>
        </w:rPr>
        <w:t>’</w:t>
      </w:r>
      <w:r w:rsidRPr="002347E9">
        <w:rPr>
          <w:rFonts w:hint="eastAsia"/>
          <w:snapToGrid w:val="0"/>
          <w:szCs w:val="21"/>
          <w:lang w:val="en-CA"/>
        </w:rPr>
        <w:t>的一般含义是，投资者在投资方面的</w:t>
      </w:r>
      <w:r w:rsidRPr="002347E9">
        <w:rPr>
          <w:rFonts w:ascii="Time New Roman" w:eastAsia="楷体" w:hAnsi="Time New Roman" w:hint="eastAsia"/>
          <w:snapToGrid w:val="0"/>
          <w:szCs w:val="21"/>
        </w:rPr>
        <w:t>实质性</w:t>
      </w:r>
      <w:r w:rsidRPr="002347E9">
        <w:rPr>
          <w:rFonts w:hint="eastAsia"/>
          <w:snapToGrid w:val="0"/>
          <w:szCs w:val="21"/>
          <w:lang w:val="en-CA"/>
        </w:rPr>
        <w:t>权利不低于东道国与第三国之间双边投资条约规定的权利，没有理由在解释上述用语时也加上程序性权利。”</w:t>
      </w:r>
      <w:r w:rsidRPr="00953281">
        <w:rPr>
          <w:snapToGrid w:val="0"/>
          <w:w w:val="150"/>
          <w:szCs w:val="21"/>
          <w:vertAlign w:val="superscript"/>
          <w:lang w:val="en-CA"/>
        </w:rPr>
        <w:footnoteReference w:id="511"/>
      </w:r>
    </w:p>
    <w:p w:rsidR="00F53060" w:rsidRPr="002347E9" w:rsidRDefault="00F53060" w:rsidP="00F53060">
      <w:pPr>
        <w:pStyle w:val="SingleTxt"/>
        <w:rPr>
          <w:snapToGrid w:val="0"/>
          <w:szCs w:val="21"/>
          <w:lang w:val="en-CA"/>
        </w:rPr>
      </w:pPr>
      <w:r w:rsidRPr="002347E9">
        <w:rPr>
          <w:snapToGrid w:val="0"/>
          <w:szCs w:val="21"/>
          <w:lang w:val="en-CA"/>
        </w:rPr>
        <w:t>99.</w:t>
      </w:r>
      <w:r w:rsidRPr="002347E9">
        <w:rPr>
          <w:rFonts w:hint="eastAsia"/>
          <w:snapToGrid w:val="0"/>
          <w:szCs w:val="21"/>
          <w:lang w:val="en-CA"/>
        </w:rPr>
        <w:t xml:space="preserve">  </w:t>
      </w:r>
      <w:r w:rsidRPr="002347E9">
        <w:rPr>
          <w:rFonts w:hint="eastAsia"/>
          <w:snapToGrid w:val="0"/>
          <w:szCs w:val="21"/>
          <w:lang w:val="en-CA"/>
        </w:rPr>
        <w:t>认为投资条约中的</w:t>
      </w:r>
      <w:r w:rsidRPr="002347E9">
        <w:rPr>
          <w:rFonts w:ascii="宋体" w:hAnsi="宋体" w:cs="宋体" w:hint="eastAsia"/>
          <w:snapToGrid w:val="0"/>
          <w:szCs w:val="21"/>
          <w:lang w:val="en-CA"/>
        </w:rPr>
        <w:t>最惠国条款</w:t>
      </w:r>
      <w:r w:rsidRPr="002347E9">
        <w:rPr>
          <w:rFonts w:hint="eastAsia"/>
          <w:snapToGrid w:val="0"/>
          <w:szCs w:val="21"/>
          <w:lang w:val="en-CA"/>
        </w:rPr>
        <w:t>理论上既适用于程序性事项又适用于实质性事项，并不意味着这些条款将永远这样适用。</w:t>
      </w:r>
      <w:r w:rsidRPr="00953281">
        <w:rPr>
          <w:snapToGrid w:val="0"/>
          <w:w w:val="150"/>
          <w:szCs w:val="21"/>
          <w:vertAlign w:val="superscript"/>
          <w:lang w:val="en-CA"/>
        </w:rPr>
        <w:footnoteReference w:id="512"/>
      </w:r>
      <w:r w:rsidRPr="002347E9">
        <w:rPr>
          <w:snapToGrid w:val="0"/>
          <w:szCs w:val="21"/>
          <w:lang w:val="en-CA"/>
        </w:rPr>
        <w:t xml:space="preserve"> </w:t>
      </w:r>
      <w:r w:rsidRPr="002347E9">
        <w:rPr>
          <w:rFonts w:hint="eastAsia"/>
          <w:snapToGrid w:val="0"/>
          <w:szCs w:val="21"/>
          <w:lang w:val="en-CA"/>
        </w:rPr>
        <w:t>然而，在许多案件中，法庭已依据</w:t>
      </w:r>
      <w:r w:rsidRPr="002347E9">
        <w:rPr>
          <w:rFonts w:ascii="宋体" w:hAnsi="宋体" w:cs="宋体" w:hint="eastAsia"/>
          <w:snapToGrid w:val="0"/>
          <w:szCs w:val="21"/>
          <w:lang w:val="en-CA"/>
        </w:rPr>
        <w:t>最惠国条款原则上对两种情况都适用的观点，将最惠国条款解释为适用于争端解决程序。</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二</w:t>
      </w:r>
      <w:r w:rsidRPr="002347E9">
        <w:rPr>
          <w:lang w:val="en-CA"/>
        </w:rPr>
        <w:t>)</w:t>
      </w:r>
      <w:r w:rsidRPr="002347E9">
        <w:rPr>
          <w:lang w:val="en-CA"/>
        </w:rPr>
        <w:tab/>
      </w:r>
      <w:r w:rsidRPr="002347E9">
        <w:rPr>
          <w:rFonts w:hint="eastAsia"/>
          <w:lang w:val="en-CA"/>
        </w:rPr>
        <w:t>从管辖权事项的角度解释</w:t>
      </w:r>
      <w:r w:rsidRPr="002347E9">
        <w:rPr>
          <w:rFonts w:ascii="宋体" w:hAnsi="宋体" w:cs="宋体" w:hint="eastAsia"/>
          <w:lang w:val="en-CA"/>
        </w:rPr>
        <w:t>最惠国规定</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lang w:val="en-CA"/>
        </w:rPr>
      </w:pPr>
      <w:r w:rsidRPr="002347E9">
        <w:rPr>
          <w:snapToGrid w:val="0"/>
          <w:lang w:val="en-CA"/>
        </w:rPr>
        <w:t>100.</w:t>
      </w:r>
      <w:r w:rsidRPr="002347E9">
        <w:rPr>
          <w:rFonts w:hint="eastAsia"/>
          <w:snapToGrid w:val="0"/>
          <w:lang w:val="en-CA"/>
        </w:rPr>
        <w:t xml:space="preserve">  </w:t>
      </w:r>
      <w:r w:rsidRPr="002347E9">
        <w:rPr>
          <w:rFonts w:hint="eastAsia"/>
          <w:snapToGrid w:val="0"/>
          <w:lang w:val="en-CA"/>
        </w:rPr>
        <w:t>一些法庭受到这种看法的影响：若争端解决规定涉及法庭的管辖权，则不可适用最惠国规定。这导致法庭之间就两个不同问题产生了分歧。首先，管辖权事项是否需要更严格的解释方法？其次，将最惠国条款适用于争端解决规定是否涉及法庭的管辖权。</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ponsors"/>
        <w:rPr>
          <w:iCs/>
          <w:lang w:val="en-CA"/>
        </w:rPr>
      </w:pPr>
      <w:r w:rsidRPr="002347E9">
        <w:rPr>
          <w:rFonts w:hint="eastAsia"/>
          <w:lang w:val="en-CA"/>
        </w:rPr>
        <w:tab/>
      </w:r>
      <w:r w:rsidRPr="002347E9">
        <w:rPr>
          <w:lang w:val="en-CA"/>
        </w:rPr>
        <w:t>1.</w:t>
      </w:r>
      <w:r w:rsidRPr="002347E9">
        <w:rPr>
          <w:lang w:val="en-CA"/>
        </w:rPr>
        <w:tab/>
      </w:r>
      <w:r w:rsidRPr="002347E9">
        <w:rPr>
          <w:rFonts w:hint="eastAsia"/>
          <w:lang w:val="en-CA"/>
        </w:rPr>
        <w:t xml:space="preserve">解释管辖权事项的标准 </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lang w:val="en-CA" w:bidi="en-US"/>
        </w:rPr>
      </w:pPr>
      <w:r w:rsidRPr="002347E9">
        <w:rPr>
          <w:snapToGrid w:val="0"/>
          <w:lang w:val="en-CA"/>
        </w:rPr>
        <w:t>101.</w:t>
      </w:r>
      <w:r w:rsidRPr="002347E9">
        <w:rPr>
          <w:rFonts w:hint="eastAsia"/>
          <w:snapToGrid w:val="0"/>
          <w:lang w:val="en-CA"/>
        </w:rPr>
        <w:t xml:space="preserve">  </w:t>
      </w:r>
      <w:r w:rsidRPr="00953281">
        <w:rPr>
          <w:rFonts w:hint="eastAsia"/>
          <w:snapToGrid w:val="0"/>
          <w:spacing w:val="-2"/>
          <w:lang w:val="en-CA"/>
        </w:rPr>
        <w:t>在</w:t>
      </w:r>
      <w:r w:rsidRPr="00953281">
        <w:rPr>
          <w:rFonts w:eastAsia="楷体"/>
          <w:iCs/>
          <w:snapToGrid w:val="0"/>
          <w:spacing w:val="-2"/>
          <w:lang w:val="en-CA"/>
        </w:rPr>
        <w:t>Plama</w:t>
      </w:r>
      <w:r w:rsidRPr="00953281">
        <w:rPr>
          <w:rFonts w:eastAsia="楷体" w:hint="eastAsia"/>
          <w:iCs/>
          <w:snapToGrid w:val="0"/>
          <w:spacing w:val="-2"/>
          <w:lang w:val="en-CA"/>
        </w:rPr>
        <w:t>案</w:t>
      </w:r>
      <w:r w:rsidRPr="00953281">
        <w:rPr>
          <w:rFonts w:hint="eastAsia"/>
          <w:iCs/>
          <w:snapToGrid w:val="0"/>
          <w:spacing w:val="-2"/>
          <w:lang w:val="en-CA"/>
        </w:rPr>
        <w:t>中</w:t>
      </w:r>
      <w:r w:rsidRPr="00953281">
        <w:rPr>
          <w:rFonts w:eastAsia="楷体" w:hint="eastAsia"/>
          <w:iCs/>
          <w:snapToGrid w:val="0"/>
          <w:spacing w:val="-2"/>
          <w:lang w:val="en-CA"/>
        </w:rPr>
        <w:t>，</w:t>
      </w:r>
      <w:r w:rsidRPr="00953281">
        <w:rPr>
          <w:rFonts w:hint="eastAsia"/>
          <w:snapToGrid w:val="0"/>
          <w:spacing w:val="-2"/>
          <w:lang w:val="en-CA"/>
        </w:rPr>
        <w:t>法庭</w:t>
      </w:r>
      <w:r w:rsidRPr="00953281">
        <w:rPr>
          <w:rFonts w:ascii="宋体" w:hAnsi="宋体" w:cs="宋体" w:hint="eastAsia"/>
          <w:snapToGrid w:val="0"/>
          <w:spacing w:val="-2"/>
          <w:lang w:val="en-CA"/>
        </w:rPr>
        <w:t>将最惠国条款范围的问题作为约定仲裁的问题处理。法庭指出</w:t>
      </w:r>
      <w:r w:rsidRPr="00953281">
        <w:rPr>
          <w:rFonts w:hint="eastAsia"/>
          <w:snapToGrid w:val="0"/>
          <w:spacing w:val="-2"/>
          <w:lang w:val="en-CA"/>
        </w:rPr>
        <w:t>：“此类约定应该明确清楚、毫不含糊，这是国内法和国际法的公认原则</w:t>
      </w:r>
      <w:r w:rsidRPr="00953281">
        <w:rPr>
          <w:rFonts w:hint="eastAsia"/>
          <w:snapToGrid w:val="0"/>
          <w:spacing w:val="-2"/>
          <w:lang w:val="en-CA" w:bidi="en-US"/>
        </w:rPr>
        <w:t>。</w:t>
      </w:r>
      <w:r w:rsidRPr="00953281">
        <w:rPr>
          <w:rFonts w:hint="eastAsia"/>
          <w:snapToGrid w:val="0"/>
          <w:spacing w:val="-2"/>
          <w:lang w:val="en-CA"/>
        </w:rPr>
        <w:t>”</w:t>
      </w:r>
      <w:r w:rsidRPr="00953281">
        <w:rPr>
          <w:snapToGrid w:val="0"/>
          <w:spacing w:val="-2"/>
          <w:w w:val="150"/>
          <w:vertAlign w:val="superscript"/>
          <w:lang w:val="en-CA" w:bidi="en-US"/>
        </w:rPr>
        <w:footnoteReference w:id="513"/>
      </w:r>
      <w:r w:rsidRPr="00953281">
        <w:rPr>
          <w:rFonts w:hint="eastAsia"/>
          <w:snapToGrid w:val="0"/>
          <w:spacing w:val="-2"/>
          <w:lang w:val="en-CA"/>
        </w:rPr>
        <w:t xml:space="preserve"> </w:t>
      </w:r>
      <w:r w:rsidRPr="002347E9">
        <w:rPr>
          <w:rFonts w:hint="eastAsia"/>
          <w:snapToGrid w:val="0"/>
          <w:lang w:val="en-CA"/>
        </w:rPr>
        <w:t>因此，</w:t>
      </w:r>
      <w:r w:rsidRPr="002347E9">
        <w:rPr>
          <w:rFonts w:hint="eastAsia"/>
          <w:snapToGrid w:val="0"/>
          <w:lang w:val="en-CA" w:bidi="en-US"/>
        </w:rPr>
        <w:t>“纳入</w:t>
      </w:r>
      <w:r w:rsidRPr="002347E9">
        <w:rPr>
          <w:rFonts w:ascii="宋体" w:hAnsi="宋体" w:cs="宋体" w:hint="eastAsia"/>
          <w:snapToGrid w:val="0"/>
          <w:lang w:val="en-CA" w:bidi="en-US"/>
        </w:rPr>
        <w:t>争端解决规定的意图必须得到明确、毫不含糊地表达。”</w:t>
      </w:r>
      <w:r w:rsidRPr="00953281">
        <w:rPr>
          <w:snapToGrid w:val="0"/>
          <w:w w:val="150"/>
          <w:vertAlign w:val="superscript"/>
          <w:lang w:val="en-CA" w:bidi="en-US"/>
        </w:rPr>
        <w:footnoteReference w:id="514"/>
      </w:r>
      <w:r w:rsidRPr="002347E9">
        <w:rPr>
          <w:snapToGrid w:val="0"/>
          <w:lang w:val="en-CA" w:bidi="en-US"/>
        </w:rPr>
        <w:t xml:space="preserve"> </w:t>
      </w:r>
      <w:r w:rsidRPr="002347E9">
        <w:rPr>
          <w:rFonts w:hint="eastAsia"/>
          <w:snapToGrid w:val="0"/>
          <w:lang w:val="en-CA" w:bidi="en-US"/>
        </w:rPr>
        <w:t>所以，要求将</w:t>
      </w:r>
      <w:r w:rsidRPr="002347E9">
        <w:rPr>
          <w:rFonts w:ascii="宋体" w:hAnsi="宋体" w:cs="宋体" w:hint="eastAsia"/>
          <w:snapToGrid w:val="0"/>
          <w:lang w:val="en-CA" w:bidi="en-US"/>
        </w:rPr>
        <w:t>最惠国条款</w:t>
      </w:r>
      <w:r w:rsidRPr="002347E9">
        <w:rPr>
          <w:rFonts w:hint="eastAsia"/>
          <w:snapToGrid w:val="0"/>
          <w:lang w:val="en-CA" w:bidi="en-US"/>
        </w:rPr>
        <w:t>适用</w:t>
      </w:r>
      <w:r w:rsidRPr="002347E9">
        <w:rPr>
          <w:rFonts w:ascii="宋体" w:hAnsi="宋体" w:cs="宋体" w:hint="eastAsia"/>
          <w:snapToGrid w:val="0"/>
          <w:lang w:val="en-CA" w:bidi="en-US"/>
        </w:rPr>
        <w:t>于管辖权问题的一方有责任</w:t>
      </w:r>
      <w:r w:rsidRPr="002347E9">
        <w:rPr>
          <w:rFonts w:hint="eastAsia"/>
          <w:snapToGrid w:val="0"/>
          <w:lang w:val="en-CA" w:bidi="en-US"/>
        </w:rPr>
        <w:t>证明，此类适用是缔约双方的明确意图，而这项要求很难达到。这个观点得到</w:t>
      </w:r>
      <w:r w:rsidRPr="002347E9">
        <w:rPr>
          <w:rFonts w:eastAsia="楷体"/>
          <w:iCs/>
          <w:snapToGrid w:val="0"/>
          <w:lang w:val="en-CA" w:bidi="en-US"/>
        </w:rPr>
        <w:t>挪威电信</w:t>
      </w:r>
      <w:r w:rsidRPr="002347E9">
        <w:rPr>
          <w:rFonts w:eastAsia="楷体" w:hint="eastAsia"/>
          <w:iCs/>
          <w:snapToGrid w:val="0"/>
          <w:lang w:val="en-CA" w:bidi="en-US"/>
        </w:rPr>
        <w:t>案</w:t>
      </w:r>
      <w:r w:rsidRPr="002347E9">
        <w:rPr>
          <w:rFonts w:hint="eastAsia"/>
          <w:iCs/>
          <w:snapToGrid w:val="0"/>
          <w:lang w:val="en-CA" w:bidi="en-US"/>
        </w:rPr>
        <w:t>法庭的充分支持，</w:t>
      </w:r>
      <w:r w:rsidRPr="00953281">
        <w:rPr>
          <w:snapToGrid w:val="0"/>
          <w:w w:val="150"/>
          <w:vertAlign w:val="superscript"/>
          <w:lang w:val="en-CA" w:bidi="en-US"/>
        </w:rPr>
        <w:footnoteReference w:id="515"/>
      </w:r>
      <w:r w:rsidRPr="002347E9">
        <w:rPr>
          <w:rFonts w:hint="eastAsia"/>
          <w:iCs/>
          <w:snapToGrid w:val="0"/>
          <w:lang w:val="en-CA" w:bidi="en-US"/>
        </w:rPr>
        <w:t xml:space="preserve"> </w:t>
      </w:r>
      <w:r w:rsidRPr="002347E9">
        <w:rPr>
          <w:rFonts w:hint="eastAsia"/>
          <w:iCs/>
          <w:snapToGrid w:val="0"/>
          <w:lang w:val="en-CA" w:bidi="en-US"/>
        </w:rPr>
        <w:t>在</w:t>
      </w:r>
      <w:r w:rsidRPr="002347E9">
        <w:rPr>
          <w:rFonts w:eastAsia="楷体" w:hint="eastAsia"/>
          <w:iCs/>
          <w:snapToGrid w:val="0"/>
          <w:lang w:val="en-CA" w:bidi="en-US"/>
        </w:rPr>
        <w:t>温特斯豪案</w:t>
      </w:r>
      <w:r w:rsidRPr="002347E9">
        <w:rPr>
          <w:rFonts w:hint="eastAsia"/>
          <w:iCs/>
          <w:snapToGrid w:val="0"/>
          <w:lang w:val="en-CA" w:bidi="en-US"/>
        </w:rPr>
        <w:t>(Wintershall)</w:t>
      </w:r>
      <w:r w:rsidRPr="002347E9">
        <w:rPr>
          <w:rFonts w:hint="eastAsia"/>
          <w:iCs/>
          <w:snapToGrid w:val="0"/>
          <w:lang w:val="en-CA" w:bidi="en-US"/>
        </w:rPr>
        <w:t>中也得到体现。</w:t>
      </w:r>
      <w:r w:rsidRPr="00953281">
        <w:rPr>
          <w:iCs/>
          <w:snapToGrid w:val="0"/>
          <w:w w:val="150"/>
          <w:vertAlign w:val="superscript"/>
          <w:lang w:val="en-CA"/>
        </w:rPr>
        <w:footnoteReference w:id="516"/>
      </w:r>
      <w:r w:rsidRPr="002347E9">
        <w:rPr>
          <w:snapToGrid w:val="0"/>
          <w:lang w:val="en-CA" w:bidi="en-US"/>
        </w:rPr>
        <w:t xml:space="preserve"> </w:t>
      </w:r>
    </w:p>
    <w:p w:rsidR="00F53060" w:rsidRPr="002347E9" w:rsidRDefault="00F53060" w:rsidP="00F53060">
      <w:pPr>
        <w:pStyle w:val="SingleTxt"/>
        <w:rPr>
          <w:snapToGrid w:val="0"/>
          <w:lang w:val="en-CA"/>
        </w:rPr>
      </w:pPr>
      <w:r w:rsidRPr="002347E9">
        <w:rPr>
          <w:snapToGrid w:val="0"/>
          <w:lang w:val="en-CA"/>
        </w:rPr>
        <w:t>102.</w:t>
      </w:r>
      <w:r w:rsidRPr="002347E9">
        <w:rPr>
          <w:rFonts w:hint="eastAsia"/>
          <w:snapToGrid w:val="0"/>
          <w:lang w:val="en-CA"/>
        </w:rPr>
        <w:t xml:space="preserve">  </w:t>
      </w:r>
      <w:r w:rsidRPr="002347E9">
        <w:rPr>
          <w:rFonts w:hint="eastAsia"/>
          <w:snapToGrid w:val="0"/>
          <w:lang w:val="en-CA"/>
        </w:rPr>
        <w:t>然而，这种做法也遭到大量反对。在</w:t>
      </w:r>
      <w:r w:rsidRPr="002347E9">
        <w:rPr>
          <w:rFonts w:eastAsia="楷体"/>
          <w:iCs/>
          <w:snapToGrid w:val="0"/>
          <w:lang w:val="en-CA"/>
        </w:rPr>
        <w:t>奥地利航空案</w:t>
      </w:r>
      <w:r w:rsidRPr="002347E9">
        <w:rPr>
          <w:rFonts w:hint="eastAsia"/>
          <w:snapToGrid w:val="0"/>
          <w:lang w:val="en-CA"/>
        </w:rPr>
        <w:t>和</w:t>
      </w:r>
      <w:r w:rsidRPr="002347E9">
        <w:rPr>
          <w:rFonts w:eastAsia="楷体" w:hint="eastAsia"/>
          <w:iCs/>
          <w:snapToGrid w:val="0"/>
          <w:lang w:val="en-CA"/>
        </w:rPr>
        <w:t>Suez</w:t>
      </w:r>
      <w:r w:rsidRPr="002347E9">
        <w:rPr>
          <w:rFonts w:eastAsia="楷体" w:hint="eastAsia"/>
          <w:iCs/>
          <w:snapToGrid w:val="0"/>
          <w:lang w:val="en-CA"/>
        </w:rPr>
        <w:t>案</w:t>
      </w:r>
      <w:r w:rsidRPr="002347E9">
        <w:rPr>
          <w:rFonts w:hint="eastAsia"/>
          <w:snapToGrid w:val="0"/>
          <w:lang w:val="en-CA"/>
        </w:rPr>
        <w:t>中，法庭拒绝采用这种做法，指出：“对争端解决规定的解释，应该与条约中任何其他条款一样，</w:t>
      </w:r>
      <w:r w:rsidRPr="002347E9">
        <w:rPr>
          <w:rFonts w:hint="eastAsia"/>
          <w:snapToGrid w:val="0"/>
          <w:lang w:val="en-CA"/>
        </w:rPr>
        <w:lastRenderedPageBreak/>
        <w:t>既不能更严格，也不能更自由。”</w:t>
      </w:r>
      <w:r w:rsidRPr="00953281">
        <w:rPr>
          <w:snapToGrid w:val="0"/>
          <w:w w:val="150"/>
          <w:vertAlign w:val="superscript"/>
          <w:lang w:val="en-CA"/>
        </w:rPr>
        <w:footnoteReference w:id="517"/>
      </w:r>
      <w:r w:rsidRPr="002347E9">
        <w:rPr>
          <w:rFonts w:hint="eastAsia"/>
          <w:snapToGrid w:val="0"/>
          <w:lang w:val="en-CA"/>
        </w:rPr>
        <w:t xml:space="preserve"> </w:t>
      </w:r>
      <w:r w:rsidRPr="002347E9">
        <w:rPr>
          <w:rFonts w:ascii="宋体" w:hAnsi="宋体" w:cs="宋体" w:hint="eastAsia"/>
          <w:snapToGrid w:val="0"/>
          <w:lang w:val="en-CA"/>
        </w:rPr>
        <w:t>法庭表示，和条约中任何其他条款一样，管辖权条款的解释也必须依据《维也纳条约法公约》第三十一条和第三十二条规定的解释规则。</w:t>
      </w:r>
      <w:r w:rsidRPr="00953281">
        <w:rPr>
          <w:snapToGrid w:val="0"/>
          <w:w w:val="150"/>
          <w:vertAlign w:val="superscript"/>
          <w:lang w:val="en-CA"/>
        </w:rPr>
        <w:footnoteReference w:id="518"/>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rPr>
        <w:t>103.</w:t>
      </w:r>
      <w:r w:rsidRPr="002347E9">
        <w:rPr>
          <w:rFonts w:hint="eastAsia"/>
          <w:snapToGrid w:val="0"/>
          <w:lang w:val="en-CA"/>
        </w:rPr>
        <w:t xml:space="preserve">  </w:t>
      </w:r>
      <w:r w:rsidRPr="002347E9">
        <w:rPr>
          <w:rFonts w:hint="eastAsia"/>
          <w:snapToGrid w:val="0"/>
          <w:lang w:val="en-CA"/>
        </w:rPr>
        <w:t>鉴于对</w:t>
      </w:r>
      <w:r w:rsidRPr="002347E9">
        <w:rPr>
          <w:rFonts w:ascii="宋体" w:hAnsi="宋体" w:cs="宋体" w:hint="eastAsia"/>
          <w:snapToGrid w:val="0"/>
          <w:lang w:val="en-CA"/>
        </w:rPr>
        <w:t>争端解决事项适用</w:t>
      </w:r>
      <w:r w:rsidRPr="002347E9">
        <w:rPr>
          <w:rFonts w:hint="eastAsia"/>
          <w:snapToGrid w:val="0"/>
          <w:lang w:val="en-CA"/>
        </w:rPr>
        <w:t>最惠国条款</w:t>
      </w:r>
      <w:r w:rsidRPr="002347E9">
        <w:rPr>
          <w:rFonts w:ascii="宋体" w:hAnsi="宋体" w:cs="宋体" w:hint="eastAsia"/>
          <w:snapToGrid w:val="0"/>
          <w:lang w:val="en-CA"/>
        </w:rPr>
        <w:t>属于管辖权问题，因此请求援引最惠国条款的国家承担更多的举证责任；</w:t>
      </w:r>
      <w:r w:rsidRPr="002347E9">
        <w:rPr>
          <w:rFonts w:hint="eastAsia"/>
          <w:snapToGrid w:val="0"/>
          <w:lang w:val="en-CA"/>
        </w:rPr>
        <w:t>这一观点在投资法庭近期的裁决中没有得到支持，不过至少得到了一些评论者的赞同。</w:t>
      </w:r>
      <w:r w:rsidRPr="00953281">
        <w:rPr>
          <w:snapToGrid w:val="0"/>
          <w:w w:val="150"/>
          <w:vertAlign w:val="superscript"/>
          <w:lang w:val="en-CA"/>
        </w:rPr>
        <w:footnoteReference w:id="519"/>
      </w:r>
      <w:r w:rsidRPr="002347E9">
        <w:rPr>
          <w:snapToGrid w:val="0"/>
          <w:lang w:val="en-CA"/>
        </w:rPr>
        <w:t xml:space="preserve"> </w:t>
      </w:r>
      <w:r w:rsidRPr="002347E9">
        <w:rPr>
          <w:rFonts w:hint="eastAsia"/>
          <w:snapToGrid w:val="0"/>
          <w:lang w:val="en-CA"/>
        </w:rPr>
        <w:t>反对这种做法的人还声称，这不符合有关解释管辖权规定的一般国际法。然而，</w:t>
      </w:r>
      <w:r w:rsidRPr="002347E9">
        <w:rPr>
          <w:rFonts w:eastAsia="楷体"/>
          <w:iCs/>
          <w:snapToGrid w:val="0"/>
          <w:lang w:val="en-CA"/>
        </w:rPr>
        <w:t>ICS</w:t>
      </w:r>
      <w:r w:rsidRPr="002347E9">
        <w:rPr>
          <w:rFonts w:eastAsia="楷体" w:hint="eastAsia"/>
          <w:iCs/>
          <w:snapToGrid w:val="0"/>
          <w:lang w:val="en-CA"/>
        </w:rPr>
        <w:t>案</w:t>
      </w:r>
      <w:r w:rsidRPr="002347E9">
        <w:rPr>
          <w:rFonts w:hint="eastAsia"/>
          <w:snapToGrid w:val="0"/>
          <w:lang w:val="en-CA"/>
        </w:rPr>
        <w:t>法庭提出，</w:t>
      </w:r>
      <w:r w:rsidRPr="002347E9">
        <w:rPr>
          <w:rFonts w:eastAsia="楷体"/>
          <w:iCs/>
          <w:snapToGrid w:val="0"/>
          <w:lang w:val="en-CA"/>
        </w:rPr>
        <w:t>Plama</w:t>
      </w:r>
      <w:r w:rsidRPr="002347E9">
        <w:rPr>
          <w:rFonts w:eastAsia="楷体" w:hint="eastAsia"/>
          <w:iCs/>
          <w:snapToGrid w:val="0"/>
          <w:lang w:val="en-CA"/>
        </w:rPr>
        <w:t>案</w:t>
      </w:r>
      <w:r w:rsidRPr="002347E9">
        <w:rPr>
          <w:rFonts w:hint="eastAsia"/>
          <w:snapToGrid w:val="0"/>
          <w:lang w:val="en-CA"/>
        </w:rPr>
        <w:t>法庭并非在确立一条管辖权规则，只是指出不能假设缔约方同意接受管辖。</w:t>
      </w:r>
      <w:r w:rsidRPr="00953281">
        <w:rPr>
          <w:snapToGrid w:val="0"/>
          <w:w w:val="150"/>
          <w:vertAlign w:val="superscript"/>
          <w:lang w:val="en-CA"/>
        </w:rPr>
        <w:footnoteReference w:id="520"/>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ponsors"/>
        <w:rPr>
          <w:lang w:val="en-CA"/>
        </w:rPr>
      </w:pPr>
      <w:r w:rsidRPr="002347E9">
        <w:rPr>
          <w:rFonts w:hint="eastAsia"/>
          <w:lang w:val="en-CA"/>
        </w:rPr>
        <w:tab/>
      </w:r>
      <w:r w:rsidRPr="002347E9">
        <w:rPr>
          <w:lang w:val="en-CA"/>
        </w:rPr>
        <w:t>2.</w:t>
      </w:r>
      <w:r w:rsidRPr="002347E9">
        <w:rPr>
          <w:lang w:val="en-CA"/>
        </w:rPr>
        <w:tab/>
      </w:r>
      <w:r w:rsidRPr="002347E9">
        <w:rPr>
          <w:rFonts w:ascii="宋体" w:hAnsi="宋体" w:cs="宋体" w:hint="eastAsia"/>
          <w:lang w:val="en-CA"/>
        </w:rPr>
        <w:t>争端解决</w:t>
      </w:r>
      <w:r w:rsidRPr="002347E9">
        <w:rPr>
          <w:rFonts w:hint="eastAsia"/>
          <w:lang w:val="en-CA"/>
        </w:rPr>
        <w:t>和管辖权</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SingleTxt"/>
        <w:rPr>
          <w:snapToGrid w:val="0"/>
          <w:lang w:val="en-CA"/>
        </w:rPr>
      </w:pPr>
      <w:r w:rsidRPr="002347E9">
        <w:rPr>
          <w:snapToGrid w:val="0"/>
          <w:lang w:val="en-CA"/>
        </w:rPr>
        <w:t>104.</w:t>
      </w:r>
      <w:r w:rsidRPr="002347E9">
        <w:rPr>
          <w:rFonts w:hint="eastAsia"/>
          <w:snapToGrid w:val="0"/>
          <w:lang w:val="en-CA"/>
        </w:rPr>
        <w:t xml:space="preserve">  </w:t>
      </w:r>
      <w:r w:rsidRPr="002347E9">
        <w:rPr>
          <w:rFonts w:ascii="宋体" w:hAnsi="宋体" w:cs="宋体" w:hint="eastAsia"/>
          <w:snapToGrid w:val="0"/>
          <w:lang w:val="en-CA"/>
        </w:rPr>
        <w:t>法庭</w:t>
      </w:r>
      <w:r w:rsidRPr="002347E9">
        <w:rPr>
          <w:rFonts w:hint="eastAsia"/>
          <w:snapToGrid w:val="0"/>
          <w:lang w:val="en-CA"/>
        </w:rPr>
        <w:t>近期</w:t>
      </w:r>
      <w:r w:rsidRPr="002347E9">
        <w:rPr>
          <w:rFonts w:ascii="宋体" w:hAnsi="宋体" w:cs="宋体" w:hint="eastAsia"/>
          <w:snapToGrid w:val="0"/>
          <w:lang w:val="en-CA"/>
        </w:rPr>
        <w:t>再次关注对争端解决规定适用最惠国条款是否影响法庭管辖权的问题</w:t>
      </w:r>
      <w:r w:rsidRPr="002347E9">
        <w:rPr>
          <w:rFonts w:hint="eastAsia"/>
          <w:snapToGrid w:val="0"/>
          <w:lang w:val="en-CA"/>
        </w:rPr>
        <w:t>。有人提出，国际法中的实质性权利和程序性权利有别于国内法，因为与国内法不同，国际法中的实质性权利并不自动带有强制执行的程序性权利。</w:t>
      </w:r>
      <w:r w:rsidRPr="00953281">
        <w:rPr>
          <w:snapToGrid w:val="0"/>
          <w:w w:val="150"/>
          <w:vertAlign w:val="superscript"/>
          <w:lang w:val="en-CA"/>
        </w:rPr>
        <w:footnoteReference w:id="521"/>
      </w:r>
      <w:r w:rsidRPr="002347E9">
        <w:rPr>
          <w:snapToGrid w:val="0"/>
          <w:lang w:val="en-CA"/>
        </w:rPr>
        <w:t xml:space="preserve"> </w:t>
      </w:r>
      <w:r w:rsidRPr="002347E9">
        <w:rPr>
          <w:rFonts w:hint="eastAsia"/>
          <w:snapToGrid w:val="0"/>
          <w:lang w:val="en-CA"/>
        </w:rPr>
        <w:t>一国受实质性义务的约束，并不意味着可以强制该国就此项义务接受裁决。要强制其接受裁决，需要该国另外同意接受审判庭的管辖权。</w:t>
      </w:r>
      <w:r w:rsidRPr="00953281">
        <w:rPr>
          <w:snapToGrid w:val="0"/>
          <w:w w:val="150"/>
          <w:vertAlign w:val="superscript"/>
          <w:lang w:val="en-CA"/>
        </w:rPr>
        <w:footnoteReference w:id="522"/>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rPr>
        <w:t>105.</w:t>
      </w:r>
      <w:r w:rsidRPr="002347E9">
        <w:rPr>
          <w:rFonts w:hint="eastAsia"/>
          <w:snapToGrid w:val="0"/>
          <w:lang w:val="en-CA"/>
        </w:rPr>
        <w:t xml:space="preserve">  </w:t>
      </w:r>
      <w:r w:rsidRPr="002347E9">
        <w:rPr>
          <w:rFonts w:ascii="宋体" w:hAnsi="宋体" w:cs="宋体" w:hint="eastAsia"/>
          <w:snapToGrid w:val="0"/>
          <w:spacing w:val="1"/>
          <w:lang w:val="en-CA"/>
        </w:rPr>
        <w:t>根据这个观点，要执行双边投资条约规定的实质性权利，原告必须符合</w:t>
      </w:r>
      <w:r w:rsidRPr="002347E9">
        <w:rPr>
          <w:rFonts w:ascii="宋体" w:eastAsia="楷体" w:hAnsi="宋体" w:cs="宋体" w:hint="eastAsia"/>
          <w:snapToGrid w:val="0"/>
          <w:spacing w:val="1"/>
          <w:lang w:val="en-CA"/>
        </w:rPr>
        <w:t>属事管辖、属人管辖</w:t>
      </w:r>
      <w:r w:rsidRPr="002347E9">
        <w:rPr>
          <w:rFonts w:ascii="宋体" w:hAnsi="宋体" w:cs="宋体" w:hint="eastAsia"/>
          <w:snapToGrid w:val="0"/>
          <w:spacing w:val="1"/>
          <w:lang w:val="en-CA"/>
        </w:rPr>
        <w:t>和</w:t>
      </w:r>
      <w:r w:rsidRPr="002347E9">
        <w:rPr>
          <w:rFonts w:ascii="宋体" w:eastAsia="楷体" w:hAnsi="宋体" w:cs="宋体" w:hint="eastAsia"/>
          <w:snapToGrid w:val="0"/>
          <w:spacing w:val="1"/>
          <w:lang w:val="en-CA"/>
        </w:rPr>
        <w:t>属时管辖</w:t>
      </w:r>
      <w:r w:rsidRPr="002347E9">
        <w:rPr>
          <w:rFonts w:ascii="宋体" w:hAnsi="宋体" w:cs="宋体" w:hint="eastAsia"/>
          <w:snapToGrid w:val="0"/>
          <w:spacing w:val="1"/>
          <w:lang w:val="en-CA"/>
        </w:rPr>
        <w:t>的要求，争端解决法庭才能行使管辖权。例如，不符合双边投资条约规定的投资者标准的个人，</w:t>
      </w:r>
      <w:r w:rsidRPr="002347E9">
        <w:rPr>
          <w:rFonts w:hint="eastAsia"/>
          <w:snapToGrid w:val="0"/>
          <w:spacing w:val="1"/>
          <w:lang w:val="en-CA"/>
        </w:rPr>
        <w:t>不能援引</w:t>
      </w:r>
      <w:r w:rsidRPr="002347E9">
        <w:rPr>
          <w:rFonts w:ascii="宋体" w:hAnsi="宋体" w:cs="宋体" w:hint="eastAsia"/>
          <w:snapToGrid w:val="0"/>
          <w:spacing w:val="1"/>
          <w:lang w:val="en-CA"/>
        </w:rPr>
        <w:t>最惠国条款</w:t>
      </w:r>
      <w:r w:rsidRPr="002347E9">
        <w:rPr>
          <w:rFonts w:hint="eastAsia"/>
          <w:snapToGrid w:val="0"/>
          <w:spacing w:val="1"/>
          <w:lang w:val="en-CA"/>
        </w:rPr>
        <w:t>成为投资者。</w:t>
      </w:r>
      <w:r w:rsidRPr="00953281">
        <w:rPr>
          <w:snapToGrid w:val="0"/>
          <w:spacing w:val="1"/>
          <w:w w:val="150"/>
          <w:vertAlign w:val="superscript"/>
          <w:lang w:val="en-CA"/>
        </w:rPr>
        <w:footnoteReference w:id="523"/>
      </w:r>
      <w:r w:rsidRPr="002347E9">
        <w:rPr>
          <w:rFonts w:hint="eastAsia"/>
          <w:snapToGrid w:val="0"/>
          <w:lang w:val="en-CA"/>
        </w:rPr>
        <w:t xml:space="preserve"> </w:t>
      </w:r>
      <w:r w:rsidRPr="002347E9">
        <w:rPr>
          <w:rFonts w:hint="eastAsia"/>
          <w:snapToGrid w:val="0"/>
          <w:lang w:val="en-CA"/>
        </w:rPr>
        <w:t>正如不能利用最惠国条款改变行使实质性权利的条件，也不能利用最惠国条款改变行使程序性权利或管辖权利的条件。投资者若不符合对被告国提起诉讼的要求，则不能通过援引另一双边投资条约的程序性规定来避开这些要求。</w:t>
      </w:r>
    </w:p>
    <w:p w:rsidR="00F53060" w:rsidRPr="002347E9" w:rsidRDefault="00F53060" w:rsidP="00F53060">
      <w:pPr>
        <w:pStyle w:val="SingleTxt"/>
        <w:rPr>
          <w:snapToGrid w:val="0"/>
          <w:lang w:val="en-CA"/>
        </w:rPr>
      </w:pPr>
      <w:r w:rsidRPr="002347E9">
        <w:rPr>
          <w:snapToGrid w:val="0"/>
          <w:lang w:val="en-CA"/>
        </w:rPr>
        <w:lastRenderedPageBreak/>
        <w:t>106.</w:t>
      </w:r>
      <w:r w:rsidRPr="002347E9">
        <w:rPr>
          <w:rFonts w:hint="eastAsia"/>
          <w:snapToGrid w:val="0"/>
          <w:lang w:val="en-CA"/>
        </w:rPr>
        <w:t xml:space="preserve">  </w:t>
      </w:r>
      <w:r w:rsidRPr="002347E9">
        <w:rPr>
          <w:rFonts w:hint="eastAsia"/>
          <w:snapToGrid w:val="0"/>
          <w:lang w:val="en-CA"/>
        </w:rPr>
        <w:t>这一事项也被描述为同意仲裁事项。</w:t>
      </w:r>
      <w:r w:rsidRPr="00953281">
        <w:rPr>
          <w:snapToGrid w:val="0"/>
          <w:w w:val="150"/>
          <w:vertAlign w:val="superscript"/>
          <w:lang w:val="en-CA"/>
        </w:rPr>
        <w:footnoteReference w:id="524"/>
      </w:r>
      <w:r w:rsidRPr="002347E9">
        <w:rPr>
          <w:snapToGrid w:val="0"/>
          <w:lang w:val="en-CA"/>
        </w:rPr>
        <w:t xml:space="preserve"> </w:t>
      </w:r>
      <w:r w:rsidRPr="002347E9">
        <w:rPr>
          <w:rFonts w:hint="eastAsia"/>
          <w:snapToGrid w:val="0"/>
          <w:lang w:val="en-CA"/>
        </w:rPr>
        <w:t>法庭的管辖权由相关投资协定规定的条件组成，这些条件是被告国同意由法庭行使管辖权的基础。法庭要就争端行使管辖权，原告投资者必须符合上述条件。除非被告国放弃适用其同意行使管辖权的条件，否则，即便原告是所涉双边投资条约意义上的投资者，法庭仍无权审理申诉。据此，最惠国条款不能用来改变行使管辖权的依据。</w:t>
      </w:r>
    </w:p>
    <w:p w:rsidR="00F53060" w:rsidRPr="002347E9" w:rsidRDefault="00F53060" w:rsidP="00F53060">
      <w:pPr>
        <w:pStyle w:val="SingleTxt"/>
        <w:rPr>
          <w:snapToGrid w:val="0"/>
          <w:lang w:val="en-CA"/>
        </w:rPr>
      </w:pPr>
      <w:r w:rsidRPr="002347E9">
        <w:rPr>
          <w:snapToGrid w:val="0"/>
          <w:lang w:val="en-CA"/>
        </w:rPr>
        <w:t>107.</w:t>
      </w:r>
      <w:r w:rsidRPr="002347E9">
        <w:rPr>
          <w:rFonts w:hint="eastAsia"/>
          <w:snapToGrid w:val="0"/>
          <w:lang w:val="en-CA"/>
        </w:rPr>
        <w:t xml:space="preserve">  </w:t>
      </w:r>
      <w:r w:rsidRPr="002347E9">
        <w:rPr>
          <w:rFonts w:eastAsia="楷体"/>
          <w:iCs/>
          <w:snapToGrid w:val="0"/>
          <w:lang w:val="en-CA"/>
        </w:rPr>
        <w:t>ICS</w:t>
      </w:r>
      <w:r w:rsidRPr="002347E9">
        <w:rPr>
          <w:rFonts w:ascii="宋体" w:eastAsia="楷体" w:hAnsi="宋体" w:cs="宋体" w:hint="eastAsia"/>
          <w:iCs/>
          <w:snapToGrid w:val="0"/>
          <w:lang w:val="en-CA"/>
        </w:rPr>
        <w:t>诉阿根廷</w:t>
      </w:r>
      <w:r w:rsidRPr="002347E9">
        <w:rPr>
          <w:rFonts w:eastAsia="楷体" w:hint="eastAsia"/>
          <w:iCs/>
          <w:snapToGrid w:val="0"/>
          <w:lang w:val="en-CA"/>
        </w:rPr>
        <w:t>案</w:t>
      </w:r>
      <w:r w:rsidRPr="002347E9">
        <w:rPr>
          <w:rFonts w:ascii="宋体" w:hAnsi="宋体" w:cs="宋体" w:hint="eastAsia"/>
          <w:snapToGrid w:val="0"/>
          <w:lang w:val="en-CA"/>
        </w:rPr>
        <w:t>法庭的裁决支持</w:t>
      </w:r>
      <w:r w:rsidRPr="002347E9">
        <w:rPr>
          <w:rFonts w:hint="eastAsia"/>
          <w:snapToGrid w:val="0"/>
          <w:lang w:val="en-CA"/>
        </w:rPr>
        <w:t>该事项属于管辖权事项这种观点，这项裁决部分依据了国际法院关于</w:t>
      </w:r>
      <w:r w:rsidRPr="002347E9">
        <w:rPr>
          <w:rFonts w:eastAsia="楷体" w:hint="eastAsia"/>
          <w:iCs/>
          <w:snapToGrid w:val="0"/>
          <w:lang w:val="en-CA"/>
        </w:rPr>
        <w:t>刚果民主共和国诉卢旺达案</w:t>
      </w:r>
      <w:r w:rsidRPr="002347E9">
        <w:rPr>
          <w:rFonts w:hint="eastAsia"/>
          <w:snapToGrid w:val="0"/>
          <w:lang w:val="en-CA"/>
        </w:rPr>
        <w:t>的声明：</w:t>
      </w:r>
      <w:r w:rsidRPr="00953281">
        <w:rPr>
          <w:snapToGrid w:val="0"/>
          <w:w w:val="150"/>
          <w:vertAlign w:val="superscript"/>
          <w:lang w:val="en-CA"/>
        </w:rPr>
        <w:footnoteReference w:id="525"/>
      </w:r>
      <w:r w:rsidRPr="002347E9">
        <w:rPr>
          <w:rFonts w:hint="eastAsia"/>
          <w:snapToGrid w:val="0"/>
          <w:lang w:val="en-CA"/>
        </w:rPr>
        <w:t xml:space="preserve"> </w:t>
      </w:r>
      <w:r w:rsidRPr="002347E9">
        <w:rPr>
          <w:rFonts w:hint="eastAsia"/>
          <w:snapToGrid w:val="0"/>
          <w:lang w:val="en-CA"/>
        </w:rPr>
        <w:t>当</w:t>
      </w:r>
    </w:p>
    <w:p w:rsidR="00F53060" w:rsidRPr="002347E9" w:rsidRDefault="00F53060" w:rsidP="00F53060">
      <w:pPr>
        <w:pStyle w:val="SingleTxt"/>
        <w:ind w:left="1695"/>
        <w:rPr>
          <w:snapToGrid w:val="0"/>
          <w:lang w:val="en-CA"/>
        </w:rPr>
      </w:pPr>
      <w:r w:rsidRPr="002347E9">
        <w:rPr>
          <w:rFonts w:hint="eastAsia"/>
          <w:snapToGrid w:val="0"/>
          <w:lang w:val="en-CA"/>
        </w:rPr>
        <w:tab/>
      </w:r>
      <w:r w:rsidRPr="002347E9">
        <w:rPr>
          <w:rFonts w:hint="eastAsia"/>
          <w:snapToGrid w:val="0"/>
          <w:lang w:val="en-CA"/>
        </w:rPr>
        <w:t>“在国际协定的仲裁条款中表示同意接受仲裁时，所附加的任何条件均须被视为就此构成的限制。法院据此认定，对此类条件的审查事关法院的管辖权，而不涉及申诉可否受理。”</w:t>
      </w:r>
      <w:r w:rsidRPr="00953281">
        <w:rPr>
          <w:snapToGrid w:val="0"/>
          <w:w w:val="150"/>
          <w:vertAlign w:val="superscript"/>
          <w:lang w:val="en-CA"/>
        </w:rPr>
        <w:footnoteReference w:id="526"/>
      </w:r>
    </w:p>
    <w:p w:rsidR="00F53060" w:rsidRPr="002347E9" w:rsidRDefault="00F53060" w:rsidP="00F53060">
      <w:pPr>
        <w:pStyle w:val="SingleTxt"/>
        <w:rPr>
          <w:snapToGrid w:val="0"/>
          <w:lang w:val="en-CA"/>
        </w:rPr>
      </w:pPr>
      <w:r w:rsidRPr="002347E9">
        <w:rPr>
          <w:snapToGrid w:val="0"/>
          <w:lang w:val="en-CA"/>
        </w:rPr>
        <w:t>108.</w:t>
      </w:r>
      <w:r w:rsidRPr="002347E9">
        <w:rPr>
          <w:rFonts w:hint="eastAsia"/>
          <w:snapToGrid w:val="0"/>
          <w:lang w:val="en-CA"/>
        </w:rPr>
        <w:t xml:space="preserve">  </w:t>
      </w:r>
      <w:r w:rsidRPr="002347E9">
        <w:rPr>
          <w:rFonts w:eastAsia="楷体"/>
          <w:snapToGrid w:val="0"/>
          <w:lang w:val="en-CA"/>
        </w:rPr>
        <w:t>ICS</w:t>
      </w:r>
      <w:r w:rsidRPr="002347E9">
        <w:rPr>
          <w:rFonts w:ascii="宋体" w:eastAsia="楷体" w:hAnsi="宋体" w:cs="宋体" w:hint="eastAsia"/>
          <w:snapToGrid w:val="0"/>
          <w:lang w:val="en-CA"/>
        </w:rPr>
        <w:t>案</w:t>
      </w:r>
      <w:r w:rsidRPr="002347E9">
        <w:rPr>
          <w:rFonts w:ascii="宋体" w:hAnsi="宋体" w:cs="宋体" w:hint="eastAsia"/>
          <w:snapToGrid w:val="0"/>
          <w:lang w:val="en-CA"/>
        </w:rPr>
        <w:t>法庭认定，双边投资条约中</w:t>
      </w:r>
      <w:r w:rsidRPr="002347E9">
        <w:rPr>
          <w:snapToGrid w:val="0"/>
          <w:lang w:val="en-CA"/>
        </w:rPr>
        <w:t>18</w:t>
      </w:r>
      <w:r w:rsidRPr="002347E9">
        <w:rPr>
          <w:rFonts w:hint="eastAsia"/>
          <w:snapToGrid w:val="0"/>
          <w:lang w:val="en-CA"/>
        </w:rPr>
        <w:t>个月诉讼期要求是阿根廷同意将申诉提交法庭的前提，“不遵守被告国同意仲裁的前提条件，只能得出</w:t>
      </w:r>
      <w:r w:rsidRPr="002347E9">
        <w:rPr>
          <w:rFonts w:ascii="宋体" w:hAnsi="宋体" w:cs="宋体" w:hint="eastAsia"/>
          <w:snapToGrid w:val="0"/>
          <w:lang w:val="en-CA"/>
        </w:rPr>
        <w:t>法庭对当前争端不具管辖权这一结论。</w:t>
      </w:r>
      <w:r w:rsidRPr="002347E9">
        <w:rPr>
          <w:rFonts w:hint="eastAsia"/>
          <w:snapToGrid w:val="0"/>
          <w:lang w:val="en-CA"/>
        </w:rPr>
        <w:t>”</w:t>
      </w:r>
      <w:r w:rsidRPr="00953281">
        <w:rPr>
          <w:snapToGrid w:val="0"/>
          <w:w w:val="150"/>
          <w:vertAlign w:val="superscript"/>
          <w:lang w:val="en-CA"/>
        </w:rPr>
        <w:footnoteReference w:id="527"/>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rPr>
        <w:t>109.</w:t>
      </w:r>
      <w:r w:rsidRPr="002347E9">
        <w:rPr>
          <w:rFonts w:hint="eastAsia"/>
          <w:snapToGrid w:val="0"/>
          <w:lang w:val="en-CA"/>
        </w:rPr>
        <w:t xml:space="preserve">  </w:t>
      </w:r>
      <w:r w:rsidRPr="002347E9">
        <w:rPr>
          <w:rFonts w:hint="eastAsia"/>
          <w:snapToGrid w:val="0"/>
          <w:lang w:val="en-CA"/>
        </w:rPr>
        <w:t>在决定</w:t>
      </w:r>
      <w:r w:rsidRPr="002347E9">
        <w:rPr>
          <w:rFonts w:hint="eastAsia"/>
          <w:snapToGrid w:val="0"/>
          <w:lang w:val="en-CA"/>
        </w:rPr>
        <w:t>18</w:t>
      </w:r>
      <w:r w:rsidRPr="002347E9">
        <w:rPr>
          <w:rFonts w:hint="eastAsia"/>
          <w:snapToGrid w:val="0"/>
          <w:lang w:val="en-CA"/>
        </w:rPr>
        <w:t>个月诉讼期要求是否属于管辖权事项时，</w:t>
      </w:r>
      <w:r w:rsidRPr="002347E9">
        <w:rPr>
          <w:rFonts w:eastAsia="楷体"/>
          <w:snapToGrid w:val="0"/>
          <w:lang w:val="en-CA"/>
        </w:rPr>
        <w:t>ICS</w:t>
      </w:r>
      <w:r w:rsidRPr="002347E9">
        <w:rPr>
          <w:rFonts w:ascii="宋体" w:eastAsia="楷体" w:hAnsi="宋体" w:cs="宋体" w:hint="eastAsia"/>
          <w:snapToGrid w:val="0"/>
          <w:lang w:val="en-CA"/>
        </w:rPr>
        <w:t>案</w:t>
      </w:r>
      <w:r w:rsidRPr="002347E9">
        <w:rPr>
          <w:rFonts w:ascii="宋体" w:hAnsi="宋体" w:cs="宋体" w:hint="eastAsia"/>
          <w:snapToGrid w:val="0"/>
          <w:lang w:val="en-CA"/>
        </w:rPr>
        <w:t>法庭</w:t>
      </w:r>
      <w:r w:rsidRPr="002347E9">
        <w:rPr>
          <w:rFonts w:ascii="宋体" w:hAnsi="宋体" w:cs="宋体" w:hint="eastAsia"/>
          <w:snapToGrid w:val="0"/>
        </w:rPr>
        <w:t>研究了《联合王国与阿根廷双边投资条约》第三条第</w:t>
      </w:r>
      <w:r w:rsidRPr="002347E9">
        <w:rPr>
          <w:snapToGrid w:val="0"/>
        </w:rPr>
        <w:t>2</w:t>
      </w:r>
      <w:r w:rsidRPr="002347E9">
        <w:rPr>
          <w:rFonts w:ascii="宋体" w:hAnsi="宋体" w:cs="宋体" w:hint="eastAsia"/>
          <w:snapToGrid w:val="0"/>
        </w:rPr>
        <w:t>款中“待遇”</w:t>
      </w:r>
      <w:r w:rsidRPr="002347E9">
        <w:rPr>
          <w:rFonts w:hint="eastAsia"/>
          <w:snapToGrid w:val="0"/>
          <w:lang w:val="en-CA"/>
        </w:rPr>
        <w:t>一词的含义。法庭认可“待遇”一词可具有广泛含义，本身并不局限于实质性事项。然而，法庭援引被其称为“条约解释的同期”原则，</w:t>
      </w:r>
      <w:r w:rsidRPr="00953281">
        <w:rPr>
          <w:snapToGrid w:val="0"/>
          <w:w w:val="150"/>
          <w:vertAlign w:val="superscript"/>
          <w:lang w:val="en-CA"/>
        </w:rPr>
        <w:footnoteReference w:id="528"/>
      </w:r>
      <w:r w:rsidRPr="002347E9">
        <w:rPr>
          <w:rFonts w:ascii="宋体" w:hAnsi="宋体" w:cs="宋体" w:hint="eastAsia"/>
          <w:snapToGrid w:val="0"/>
          <w:lang w:val="en-CA"/>
        </w:rPr>
        <w:t xml:space="preserve"> 考虑了双方在缔结双边投资条约时对该术语的理解</w:t>
      </w:r>
      <w:r w:rsidRPr="002347E9">
        <w:rPr>
          <w:rFonts w:hint="eastAsia"/>
          <w:snapToGrid w:val="0"/>
          <w:lang w:val="en-CA"/>
        </w:rPr>
        <w:t>。</w:t>
      </w:r>
      <w:r w:rsidRPr="002347E9">
        <w:rPr>
          <w:rFonts w:ascii="宋体" w:hAnsi="宋体" w:cs="宋体" w:hint="eastAsia"/>
          <w:snapToGrid w:val="0"/>
          <w:lang w:val="en-CA"/>
        </w:rPr>
        <w:t>法庭</w:t>
      </w:r>
      <w:r w:rsidRPr="002347E9">
        <w:rPr>
          <w:rFonts w:hint="eastAsia"/>
          <w:snapToGrid w:val="0"/>
          <w:lang w:val="en-CA"/>
        </w:rPr>
        <w:t>参照当时的判例以及世界银行《关于外国直接投资待遇的准则草案》，认定双方当时很可能认为“待遇”一词仅涉及实质性义务。</w:t>
      </w:r>
    </w:p>
    <w:p w:rsidR="00F53060" w:rsidRPr="002347E9" w:rsidRDefault="00F53060" w:rsidP="00F53060">
      <w:pPr>
        <w:pStyle w:val="SingleTxt"/>
        <w:rPr>
          <w:snapToGrid w:val="0"/>
          <w:lang w:val="en-CA"/>
        </w:rPr>
      </w:pPr>
      <w:r w:rsidRPr="002347E9">
        <w:rPr>
          <w:snapToGrid w:val="0"/>
          <w:lang w:val="en-CA"/>
        </w:rPr>
        <w:t>110.</w:t>
      </w:r>
      <w:r w:rsidRPr="002347E9">
        <w:rPr>
          <w:rFonts w:hint="eastAsia"/>
          <w:snapToGrid w:val="0"/>
          <w:lang w:val="en-CA"/>
        </w:rPr>
        <w:t xml:space="preserve">  </w:t>
      </w:r>
      <w:r w:rsidRPr="002347E9">
        <w:rPr>
          <w:rFonts w:eastAsia="楷体"/>
          <w:iCs/>
          <w:snapToGrid w:val="0"/>
          <w:lang w:val="en-CA"/>
        </w:rPr>
        <w:t>ICS</w:t>
      </w:r>
      <w:r w:rsidRPr="002347E9">
        <w:rPr>
          <w:rFonts w:eastAsia="楷体" w:hint="eastAsia"/>
          <w:iCs/>
          <w:snapToGrid w:val="0"/>
          <w:lang w:val="en-CA"/>
        </w:rPr>
        <w:t>案</w:t>
      </w:r>
      <w:r w:rsidRPr="002347E9">
        <w:rPr>
          <w:rFonts w:hint="eastAsia"/>
          <w:snapToGrid w:val="0"/>
          <w:lang w:val="en-CA"/>
        </w:rPr>
        <w:t>法庭还指出：</w:t>
      </w:r>
      <w:r w:rsidRPr="002347E9">
        <w:rPr>
          <w:snapToGrid w:val="0"/>
          <w:lang w:val="en-CA"/>
        </w:rPr>
        <w:t xml:space="preserve">(a) </w:t>
      </w:r>
      <w:r w:rsidRPr="002347E9">
        <w:rPr>
          <w:rFonts w:hint="eastAsia"/>
          <w:snapToGrid w:val="0"/>
          <w:lang w:val="en-CA"/>
        </w:rPr>
        <w:t>双边投资条约下的</w:t>
      </w:r>
      <w:r w:rsidRPr="002347E9">
        <w:rPr>
          <w:rFonts w:ascii="宋体" w:hAnsi="宋体" w:cs="宋体" w:hint="eastAsia"/>
          <w:snapToGrid w:val="0"/>
          <w:lang w:val="en-CA"/>
        </w:rPr>
        <w:t>最惠国待遇</w:t>
      </w:r>
      <w:r w:rsidRPr="002347E9">
        <w:rPr>
          <w:rFonts w:hint="eastAsia"/>
          <w:snapToGrid w:val="0"/>
        </w:rPr>
        <w:t>仅适用于投资的“管理、维持、使用、享有或处置”</w:t>
      </w:r>
      <w:r w:rsidRPr="002347E9">
        <w:rPr>
          <w:rFonts w:hint="eastAsia"/>
          <w:snapToGrid w:val="0"/>
          <w:lang w:val="en-CA"/>
        </w:rPr>
        <w:t>；</w:t>
      </w:r>
      <w:r w:rsidRPr="002347E9">
        <w:rPr>
          <w:snapToGrid w:val="0"/>
          <w:lang w:val="en-CA"/>
        </w:rPr>
        <w:t>(b)</w:t>
      </w:r>
      <w:r w:rsidRPr="002347E9">
        <w:rPr>
          <w:rFonts w:hint="eastAsia"/>
          <w:snapToGrid w:val="0"/>
          <w:lang w:val="en-CA"/>
        </w:rPr>
        <w:t xml:space="preserve"> </w:t>
      </w:r>
      <w:r w:rsidRPr="002347E9">
        <w:rPr>
          <w:rFonts w:ascii="宋体" w:hAnsi="宋体" w:cs="宋体" w:hint="eastAsia"/>
          <w:snapToGrid w:val="0"/>
          <w:lang w:val="en-CA"/>
        </w:rPr>
        <w:t>最惠国条款仅适用于东道国“境内”的待遇</w:t>
      </w:r>
      <w:r w:rsidRPr="002347E9">
        <w:rPr>
          <w:rFonts w:hint="eastAsia"/>
          <w:snapToGrid w:val="0"/>
          <w:lang w:val="en-CA"/>
        </w:rPr>
        <w:t>；</w:t>
      </w:r>
      <w:r w:rsidRPr="002347E9">
        <w:rPr>
          <w:snapToGrid w:val="0"/>
          <w:lang w:val="en-CA"/>
        </w:rPr>
        <w:t>(c)</w:t>
      </w:r>
      <w:r w:rsidRPr="002347E9">
        <w:rPr>
          <w:rFonts w:hint="eastAsia"/>
          <w:snapToGrid w:val="0"/>
          <w:lang w:val="en-CA"/>
        </w:rPr>
        <w:t xml:space="preserve"> </w:t>
      </w:r>
      <w:r w:rsidRPr="002347E9">
        <w:rPr>
          <w:rFonts w:hint="eastAsia"/>
          <w:snapToGrid w:val="0"/>
          <w:lang w:val="en-CA"/>
        </w:rPr>
        <w:t>双边投资条约下</w:t>
      </w:r>
      <w:r w:rsidRPr="002347E9">
        <w:rPr>
          <w:rFonts w:ascii="宋体" w:hAnsi="宋体" w:cs="宋体" w:hint="eastAsia"/>
          <w:snapToGrid w:val="0"/>
          <w:lang w:val="en-CA"/>
        </w:rPr>
        <w:t>最惠国待遇的例外仅涉及实质性事项</w:t>
      </w:r>
      <w:r w:rsidRPr="002347E9">
        <w:rPr>
          <w:rFonts w:hint="eastAsia"/>
          <w:snapToGrid w:val="0"/>
          <w:lang w:val="en-CA"/>
        </w:rPr>
        <w:t>；</w:t>
      </w:r>
      <w:r w:rsidRPr="002347E9">
        <w:rPr>
          <w:snapToGrid w:val="0"/>
          <w:lang w:val="en-CA"/>
        </w:rPr>
        <w:t>(d)</w:t>
      </w:r>
      <w:r w:rsidRPr="002347E9">
        <w:rPr>
          <w:rFonts w:hint="eastAsia"/>
          <w:snapToGrid w:val="0"/>
          <w:lang w:val="en-CA"/>
        </w:rPr>
        <w:t xml:space="preserve"> </w:t>
      </w:r>
      <w:r w:rsidRPr="002347E9">
        <w:rPr>
          <w:rFonts w:hint="eastAsia"/>
          <w:snapToGrid w:val="0"/>
          <w:lang w:val="en-CA"/>
        </w:rPr>
        <w:t>若某条约缔约方曾缔结过不包含</w:t>
      </w:r>
      <w:r w:rsidRPr="002347E9">
        <w:rPr>
          <w:snapToGrid w:val="0"/>
          <w:lang w:val="en-CA"/>
        </w:rPr>
        <w:t>18</w:t>
      </w:r>
      <w:r w:rsidRPr="002347E9">
        <w:rPr>
          <w:rFonts w:hint="eastAsia"/>
          <w:snapToGrid w:val="0"/>
          <w:lang w:val="en-CA"/>
        </w:rPr>
        <w:t>个月诉讼期要求的条约，一旦适用</w:t>
      </w:r>
      <w:r w:rsidRPr="002347E9">
        <w:rPr>
          <w:rFonts w:ascii="宋体" w:hAnsi="宋体" w:cs="宋体" w:hint="eastAsia"/>
          <w:snapToGrid w:val="0"/>
          <w:lang w:val="en-CA"/>
        </w:rPr>
        <w:t>最惠国条款，</w:t>
      </w:r>
      <w:r w:rsidRPr="002347E9">
        <w:rPr>
          <w:rFonts w:hint="eastAsia"/>
          <w:snapToGrid w:val="0"/>
          <w:lang w:val="en-CA"/>
        </w:rPr>
        <w:t>这项规定便将失去效力，所以在该条约中纳入</w:t>
      </w:r>
      <w:r w:rsidRPr="002347E9">
        <w:rPr>
          <w:rFonts w:hint="eastAsia"/>
          <w:snapToGrid w:val="0"/>
          <w:lang w:val="en-CA"/>
        </w:rPr>
        <w:t>18</w:t>
      </w:r>
      <w:r w:rsidRPr="002347E9">
        <w:rPr>
          <w:rFonts w:hint="eastAsia"/>
          <w:snapToGrid w:val="0"/>
          <w:lang w:val="en-CA"/>
        </w:rPr>
        <w:t>个月诉讼期要求很可能毫无意义</w:t>
      </w:r>
      <w:r w:rsidRPr="002347E9">
        <w:rPr>
          <w:snapToGrid w:val="0"/>
          <w:lang w:val="en-CA"/>
        </w:rPr>
        <w:t>(</w:t>
      </w:r>
      <w:r w:rsidRPr="002347E9">
        <w:rPr>
          <w:rFonts w:hint="eastAsia"/>
          <w:snapToGrid w:val="0"/>
          <w:lang w:val="en-CA"/>
        </w:rPr>
        <w:t>不具</w:t>
      </w:r>
      <w:r w:rsidRPr="002347E9">
        <w:rPr>
          <w:rFonts w:eastAsia="楷体" w:hint="eastAsia"/>
          <w:snapToGrid w:val="0"/>
          <w:lang w:val="en-CA"/>
        </w:rPr>
        <w:t>实际效果</w:t>
      </w:r>
      <w:r w:rsidRPr="002347E9">
        <w:rPr>
          <w:snapToGrid w:val="0"/>
          <w:lang w:val="en-CA"/>
        </w:rPr>
        <w:t>)</w:t>
      </w:r>
      <w:r w:rsidRPr="002347E9">
        <w:rPr>
          <w:rFonts w:hint="eastAsia"/>
          <w:snapToGrid w:val="0"/>
          <w:lang w:val="en-CA"/>
        </w:rPr>
        <w:t>。</w:t>
      </w:r>
      <w:r w:rsidRPr="002347E9">
        <w:rPr>
          <w:rFonts w:ascii="宋体" w:hAnsi="宋体" w:cs="宋体" w:hint="eastAsia"/>
          <w:snapToGrid w:val="0"/>
          <w:lang w:val="en-CA"/>
        </w:rPr>
        <w:t>法庭认为，</w:t>
      </w:r>
      <w:r w:rsidRPr="002347E9">
        <w:rPr>
          <w:rFonts w:hint="eastAsia"/>
          <w:snapToGrid w:val="0"/>
          <w:lang w:val="en-CA"/>
        </w:rPr>
        <w:t>所有这些因素均表明，双方在缔结《联合王国与阿根廷双边投资条约》时，不可能打算将国际</w:t>
      </w:r>
      <w:r w:rsidRPr="002347E9">
        <w:rPr>
          <w:rFonts w:ascii="宋体" w:hAnsi="宋体" w:cs="宋体" w:hint="eastAsia"/>
          <w:snapToGrid w:val="0"/>
          <w:lang w:val="en-CA"/>
        </w:rPr>
        <w:t>争端解决规定纳入最惠国条款的适用范畴。</w:t>
      </w:r>
      <w:r w:rsidRPr="00953281">
        <w:rPr>
          <w:snapToGrid w:val="0"/>
          <w:w w:val="150"/>
          <w:vertAlign w:val="superscript"/>
          <w:lang w:val="en-CA"/>
        </w:rPr>
        <w:footnoteReference w:id="529"/>
      </w:r>
    </w:p>
    <w:p w:rsidR="00F53060" w:rsidRPr="002347E9" w:rsidRDefault="00F53060" w:rsidP="00F53060">
      <w:pPr>
        <w:pStyle w:val="SingleTxt"/>
        <w:rPr>
          <w:snapToGrid w:val="0"/>
          <w:lang w:val="en-CA"/>
        </w:rPr>
      </w:pPr>
      <w:r w:rsidRPr="002347E9">
        <w:rPr>
          <w:snapToGrid w:val="0"/>
          <w:lang w:val="en-CA"/>
        </w:rPr>
        <w:lastRenderedPageBreak/>
        <w:t>111.</w:t>
      </w:r>
      <w:r w:rsidRPr="002347E9">
        <w:rPr>
          <w:rFonts w:hint="eastAsia"/>
          <w:snapToGrid w:val="0"/>
          <w:lang w:val="en-CA"/>
        </w:rPr>
        <w:t xml:space="preserve">  </w:t>
      </w:r>
      <w:r w:rsidRPr="002347E9">
        <w:rPr>
          <w:rFonts w:eastAsia="楷体" w:hint="eastAsia"/>
          <w:snapToGrid w:val="0"/>
          <w:lang w:val="en-CA"/>
        </w:rPr>
        <w:t>戴姆勒金融服务公司</w:t>
      </w:r>
      <w:r w:rsidRPr="002347E9">
        <w:rPr>
          <w:rFonts w:eastAsia="楷体" w:hint="eastAsia"/>
          <w:snapToGrid w:val="0"/>
          <w:lang w:val="en-CA"/>
        </w:rPr>
        <w:t>(</w:t>
      </w:r>
      <w:r w:rsidRPr="002347E9">
        <w:rPr>
          <w:rFonts w:eastAsia="楷体"/>
          <w:snapToGrid w:val="0"/>
          <w:lang w:val="en-CA"/>
        </w:rPr>
        <w:t>Daimler Financial Services AG</w:t>
      </w:r>
      <w:r w:rsidRPr="002347E9">
        <w:rPr>
          <w:rFonts w:eastAsia="楷体" w:hint="eastAsia"/>
          <w:snapToGrid w:val="0"/>
          <w:lang w:val="en-CA"/>
        </w:rPr>
        <w:t>)</w:t>
      </w:r>
      <w:r w:rsidRPr="002347E9">
        <w:rPr>
          <w:rFonts w:eastAsia="楷体" w:hint="eastAsia"/>
          <w:snapToGrid w:val="0"/>
          <w:lang w:val="en-CA"/>
        </w:rPr>
        <w:t>诉阿根廷共和国案</w:t>
      </w:r>
      <w:r w:rsidRPr="00953281">
        <w:rPr>
          <w:snapToGrid w:val="0"/>
          <w:w w:val="150"/>
          <w:vertAlign w:val="superscript"/>
          <w:lang w:val="en-CA"/>
        </w:rPr>
        <w:footnoteReference w:id="530"/>
      </w:r>
      <w:r w:rsidRPr="002347E9">
        <w:rPr>
          <w:rFonts w:hint="eastAsia"/>
          <w:snapToGrid w:val="0"/>
          <w:lang w:val="en-CA"/>
        </w:rPr>
        <w:t>再次采用了</w:t>
      </w:r>
      <w:r w:rsidRPr="002347E9">
        <w:rPr>
          <w:rFonts w:eastAsia="楷体" w:hint="eastAsia"/>
          <w:snapToGrid w:val="0"/>
          <w:lang w:val="en-CA"/>
        </w:rPr>
        <w:t>ICS</w:t>
      </w:r>
      <w:r w:rsidRPr="002347E9">
        <w:rPr>
          <w:rFonts w:eastAsia="楷体" w:hint="eastAsia"/>
          <w:snapToGrid w:val="0"/>
          <w:lang w:val="en-CA"/>
        </w:rPr>
        <w:t>案</w:t>
      </w:r>
      <w:r w:rsidRPr="002347E9">
        <w:rPr>
          <w:rFonts w:hint="eastAsia"/>
          <w:snapToGrid w:val="0"/>
          <w:lang w:val="en-CA"/>
        </w:rPr>
        <w:t>的方法；</w:t>
      </w:r>
      <w:r w:rsidRPr="002347E9">
        <w:rPr>
          <w:rFonts w:ascii="宋体" w:hAnsi="宋体" w:cs="宋体" w:hint="eastAsia"/>
          <w:snapToGrid w:val="0"/>
          <w:lang w:val="en-CA"/>
        </w:rPr>
        <w:t>法庭认定，</w:t>
      </w:r>
      <w:r w:rsidRPr="002347E9">
        <w:rPr>
          <w:rFonts w:hint="eastAsia"/>
          <w:snapToGrid w:val="0"/>
          <w:lang w:val="en-CA"/>
        </w:rPr>
        <w:t>延时</w:t>
      </w:r>
      <w:r w:rsidRPr="002347E9">
        <w:rPr>
          <w:snapToGrid w:val="0"/>
          <w:lang w:val="en-CA"/>
        </w:rPr>
        <w:t>18</w:t>
      </w:r>
      <w:r w:rsidRPr="002347E9">
        <w:rPr>
          <w:rFonts w:hint="eastAsia"/>
          <w:snapToGrid w:val="0"/>
          <w:lang w:val="en-CA"/>
        </w:rPr>
        <w:t>个月的要求是行使管辖权的前提条件，因而不能通过适用最惠国条款改变。</w:t>
      </w:r>
      <w:r w:rsidRPr="002347E9">
        <w:rPr>
          <w:rFonts w:eastAsia="楷体"/>
          <w:snapToGrid w:val="0"/>
          <w:lang w:val="en-CA" w:eastAsia="ja-JP"/>
        </w:rPr>
        <w:t>Kılıç İnşaat İthalat İhracat Sanayi ve Ticaret Anonim Şirketi</w:t>
      </w:r>
      <w:r w:rsidRPr="002347E9">
        <w:rPr>
          <w:rFonts w:eastAsia="楷体" w:hint="eastAsia"/>
          <w:snapToGrid w:val="0"/>
          <w:lang w:val="en-CA"/>
        </w:rPr>
        <w:t>诉土库曼斯坦案</w:t>
      </w:r>
      <w:r w:rsidRPr="002347E9">
        <w:rPr>
          <w:rFonts w:hint="eastAsia"/>
          <w:snapToGrid w:val="0"/>
          <w:lang w:val="en-CA"/>
        </w:rPr>
        <w:t>也得出了类似的结论。</w:t>
      </w:r>
      <w:r w:rsidRPr="00953281">
        <w:rPr>
          <w:snapToGrid w:val="0"/>
          <w:w w:val="150"/>
          <w:vertAlign w:val="superscript"/>
          <w:lang w:val="en-CA" w:eastAsia="ja-JP"/>
        </w:rPr>
        <w:footnoteReference w:id="531"/>
      </w:r>
      <w:r w:rsidRPr="002347E9">
        <w:rPr>
          <w:rFonts w:hint="eastAsia"/>
          <w:snapToGrid w:val="0"/>
          <w:lang w:val="en-CA"/>
        </w:rPr>
        <w:t xml:space="preserve"> </w:t>
      </w:r>
      <w:r w:rsidRPr="002347E9">
        <w:rPr>
          <w:snapToGrid w:val="0"/>
          <w:lang w:val="en-CA" w:eastAsia="ja-JP"/>
        </w:rPr>
        <w:t>法庭</w:t>
      </w:r>
      <w:r w:rsidRPr="002347E9">
        <w:rPr>
          <w:rFonts w:hint="eastAsia"/>
          <w:snapToGrid w:val="0"/>
          <w:lang w:val="en-CA"/>
        </w:rPr>
        <w:t>认为，被告国同意仲裁的前提是遵守双边投资条约中规定的条件，包括延时</w:t>
      </w:r>
      <w:r w:rsidRPr="002347E9">
        <w:rPr>
          <w:rFonts w:hint="eastAsia"/>
          <w:snapToGrid w:val="0"/>
          <w:lang w:val="en-CA"/>
        </w:rPr>
        <w:t>18</w:t>
      </w:r>
      <w:r w:rsidRPr="002347E9">
        <w:rPr>
          <w:rFonts w:hint="eastAsia"/>
          <w:snapToGrid w:val="0"/>
          <w:lang w:val="en-CA"/>
        </w:rPr>
        <w:t>个月的要求。由于不遵守这样的规定产生了否定管辖权的效果，因此该事项不能通过适用</w:t>
      </w:r>
      <w:r w:rsidRPr="002347E9">
        <w:rPr>
          <w:snapToGrid w:val="0"/>
          <w:lang w:val="en-CA" w:eastAsia="ja-JP"/>
        </w:rPr>
        <w:t>最惠国条款</w:t>
      </w:r>
      <w:r w:rsidRPr="002347E9">
        <w:rPr>
          <w:rFonts w:hint="eastAsia"/>
          <w:snapToGrid w:val="0"/>
          <w:lang w:val="en-CA"/>
        </w:rPr>
        <w:t>来解决。同样，</w:t>
      </w:r>
      <w:r w:rsidRPr="002347E9">
        <w:rPr>
          <w:rFonts w:eastAsia="楷体"/>
          <w:snapToGrid w:val="0"/>
          <w:lang w:val="en-CA" w:eastAsia="ja-JP"/>
        </w:rPr>
        <w:t>ST-A</w:t>
      </w:r>
      <w:r>
        <w:rPr>
          <w:rFonts w:eastAsia="楷体" w:hint="eastAsia"/>
          <w:snapToGrid w:val="0"/>
          <w:lang w:val="en-CA"/>
        </w:rPr>
        <w:t>D</w:t>
      </w:r>
      <w:r w:rsidRPr="002347E9">
        <w:rPr>
          <w:rFonts w:eastAsia="楷体"/>
          <w:snapToGrid w:val="0"/>
          <w:lang w:val="en-CA" w:eastAsia="ja-JP"/>
        </w:rPr>
        <w:t xml:space="preserve"> GmbH (</w:t>
      </w:r>
      <w:r w:rsidRPr="002347E9">
        <w:rPr>
          <w:rFonts w:eastAsia="楷体" w:hint="eastAsia"/>
          <w:snapToGrid w:val="0"/>
          <w:lang w:val="en-CA"/>
        </w:rPr>
        <w:t>德国</w:t>
      </w:r>
      <w:r w:rsidRPr="002347E9">
        <w:rPr>
          <w:rFonts w:eastAsia="楷体"/>
          <w:snapToGrid w:val="0"/>
          <w:lang w:val="en-CA" w:eastAsia="ja-JP"/>
        </w:rPr>
        <w:t>)</w:t>
      </w:r>
      <w:r w:rsidRPr="002347E9">
        <w:rPr>
          <w:rFonts w:eastAsia="楷体"/>
          <w:snapToGrid w:val="0"/>
          <w:lang w:val="en-CA"/>
        </w:rPr>
        <w:t>诉保加利亚共和国</w:t>
      </w:r>
      <w:r w:rsidRPr="002347E9">
        <w:rPr>
          <w:rFonts w:eastAsia="楷体" w:hint="eastAsia"/>
          <w:snapToGrid w:val="0"/>
          <w:lang w:val="en-CA"/>
        </w:rPr>
        <w:t>案</w:t>
      </w:r>
      <w:r w:rsidRPr="00953281">
        <w:rPr>
          <w:snapToGrid w:val="0"/>
          <w:w w:val="150"/>
          <w:vertAlign w:val="superscript"/>
          <w:lang w:val="en-CA" w:eastAsia="ja-JP"/>
        </w:rPr>
        <w:footnoteReference w:id="532"/>
      </w:r>
      <w:r w:rsidRPr="002347E9">
        <w:rPr>
          <w:rFonts w:eastAsia="楷体" w:hint="eastAsia"/>
          <w:snapToGrid w:val="0"/>
          <w:lang w:val="en-CA"/>
        </w:rPr>
        <w:t xml:space="preserve"> </w:t>
      </w:r>
      <w:r w:rsidRPr="002347E9">
        <w:rPr>
          <w:rFonts w:hint="eastAsia"/>
          <w:snapToGrid w:val="0"/>
          <w:lang w:val="en-CA"/>
        </w:rPr>
        <w:t>也认定，不遵守延时</w:t>
      </w:r>
      <w:r w:rsidRPr="002347E9">
        <w:rPr>
          <w:rFonts w:hint="eastAsia"/>
          <w:snapToGrid w:val="0"/>
          <w:lang w:val="en-CA"/>
        </w:rPr>
        <w:t>18</w:t>
      </w:r>
      <w:r w:rsidRPr="002347E9">
        <w:rPr>
          <w:rFonts w:hint="eastAsia"/>
          <w:snapToGrid w:val="0"/>
          <w:lang w:val="en-CA"/>
        </w:rPr>
        <w:t>个月的要求令法庭丧失了管辖权。</w:t>
      </w:r>
    </w:p>
    <w:p w:rsidR="00F53060" w:rsidRPr="002347E9" w:rsidRDefault="00F53060" w:rsidP="00F53060">
      <w:pPr>
        <w:pStyle w:val="SingleTxt"/>
        <w:rPr>
          <w:snapToGrid w:val="0"/>
          <w:lang w:val="en-CA"/>
        </w:rPr>
      </w:pPr>
      <w:r w:rsidRPr="002347E9">
        <w:rPr>
          <w:snapToGrid w:val="0"/>
          <w:lang w:val="en-CA"/>
        </w:rPr>
        <w:t>112.</w:t>
      </w:r>
      <w:r w:rsidRPr="002347E9">
        <w:rPr>
          <w:rFonts w:hint="eastAsia"/>
          <w:snapToGrid w:val="0"/>
          <w:lang w:val="en-CA"/>
        </w:rPr>
        <w:t xml:space="preserve">  </w:t>
      </w:r>
      <w:r w:rsidRPr="002347E9">
        <w:rPr>
          <w:rFonts w:hint="eastAsia"/>
          <w:snapToGrid w:val="0"/>
          <w:lang w:val="en-CA"/>
        </w:rPr>
        <w:t>然而，在</w:t>
      </w:r>
      <w:r w:rsidRPr="002347E9">
        <w:rPr>
          <w:rFonts w:eastAsia="楷体" w:hint="eastAsia"/>
          <w:iCs/>
          <w:snapToGrid w:val="0"/>
          <w:lang w:val="en-CA"/>
        </w:rPr>
        <w:t>豪赫蒂夫案</w:t>
      </w:r>
      <w:r w:rsidRPr="002347E9">
        <w:rPr>
          <w:rFonts w:hint="eastAsia"/>
          <w:snapToGrid w:val="0"/>
          <w:lang w:val="en-CA"/>
        </w:rPr>
        <w:t>中，法庭认为，</w:t>
      </w:r>
      <w:r w:rsidRPr="002347E9">
        <w:rPr>
          <w:snapToGrid w:val="0"/>
          <w:lang w:val="en-CA"/>
        </w:rPr>
        <w:t>18</w:t>
      </w:r>
      <w:r w:rsidRPr="002347E9">
        <w:rPr>
          <w:rFonts w:hint="eastAsia"/>
          <w:snapToGrid w:val="0"/>
          <w:lang w:val="en-CA"/>
        </w:rPr>
        <w:t>个月国内诉讼期的要求不属于管辖权事项，</w:t>
      </w:r>
      <w:r w:rsidRPr="00953281">
        <w:rPr>
          <w:snapToGrid w:val="0"/>
          <w:w w:val="150"/>
          <w:vertAlign w:val="superscript"/>
          <w:lang w:val="en-CA"/>
        </w:rPr>
        <w:footnoteReference w:id="533"/>
      </w:r>
      <w:r w:rsidRPr="002347E9">
        <w:rPr>
          <w:snapToGrid w:val="0"/>
          <w:lang w:val="en-CA"/>
        </w:rPr>
        <w:t xml:space="preserve"> </w:t>
      </w:r>
      <w:r w:rsidRPr="002347E9">
        <w:rPr>
          <w:rFonts w:hint="eastAsia"/>
          <w:snapToGrid w:val="0"/>
          <w:lang w:val="en-CA"/>
        </w:rPr>
        <w:t>而属于可否受理的问题</w:t>
      </w:r>
      <w:r w:rsidRPr="002347E9">
        <w:rPr>
          <w:rFonts w:hint="eastAsia"/>
          <w:snapToGrid w:val="0"/>
          <w:spacing w:val="-50"/>
          <w:lang w:val="en-CA"/>
        </w:rPr>
        <w:t>―</w:t>
      </w:r>
      <w:r w:rsidRPr="002347E9">
        <w:rPr>
          <w:rFonts w:hint="eastAsia"/>
          <w:snapToGrid w:val="0"/>
          <w:lang w:val="en-CA"/>
        </w:rPr>
        <w:t>―争端一方可以、但未必需要提出反对的问题。</w:t>
      </w:r>
      <w:r w:rsidRPr="002347E9">
        <w:rPr>
          <w:rFonts w:ascii="宋体" w:hAnsi="宋体" w:cs="宋体" w:hint="eastAsia"/>
          <w:snapToGrid w:val="0"/>
          <w:lang w:val="en-CA"/>
        </w:rPr>
        <w:t>法庭区分了影响诉讼权利的规定(管辖权)与影响诉讼方式的规定(可受理性)。因此</w:t>
      </w:r>
      <w:r w:rsidRPr="002347E9">
        <w:rPr>
          <w:rFonts w:hint="eastAsia"/>
          <w:snapToGrid w:val="0"/>
          <w:lang w:val="en-CA"/>
        </w:rPr>
        <w:t>，原告无视《德国与阿根廷双边投资条约》规定的</w:t>
      </w:r>
      <w:r w:rsidRPr="002347E9">
        <w:rPr>
          <w:rFonts w:hint="eastAsia"/>
          <w:snapToGrid w:val="0"/>
          <w:lang w:val="en-CA"/>
        </w:rPr>
        <w:t>18</w:t>
      </w:r>
      <w:r w:rsidRPr="002347E9">
        <w:rPr>
          <w:rFonts w:hint="eastAsia"/>
          <w:snapToGrid w:val="0"/>
          <w:lang w:val="en-CA"/>
        </w:rPr>
        <w:t>个月诉讼期要求，转而援引《阿根廷与智利双边投资条约》中的</w:t>
      </w:r>
      <w:r w:rsidRPr="002347E9">
        <w:rPr>
          <w:rFonts w:ascii="宋体" w:hAnsi="宋体" w:cs="宋体" w:hint="eastAsia"/>
          <w:snapToGrid w:val="0"/>
          <w:lang w:val="en-CA"/>
        </w:rPr>
        <w:t>争端解决规定，并不影响法庭的管辖权。</w:t>
      </w:r>
      <w:r w:rsidRPr="00953281">
        <w:rPr>
          <w:snapToGrid w:val="0"/>
          <w:w w:val="150"/>
          <w:vertAlign w:val="superscript"/>
          <w:lang w:val="en-CA"/>
        </w:rPr>
        <w:footnoteReference w:id="534"/>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eastAsia="ja-JP"/>
        </w:rPr>
        <w:t>113.</w:t>
      </w:r>
      <w:r w:rsidRPr="002347E9">
        <w:rPr>
          <w:rFonts w:hint="eastAsia"/>
          <w:snapToGrid w:val="0"/>
          <w:lang w:val="en-CA"/>
        </w:rPr>
        <w:t xml:space="preserve">  </w:t>
      </w:r>
      <w:r w:rsidRPr="002347E9">
        <w:rPr>
          <w:rFonts w:hint="eastAsia"/>
          <w:snapToGrid w:val="0"/>
          <w:lang w:val="en-CA"/>
        </w:rPr>
        <w:t>在</w:t>
      </w:r>
      <w:r w:rsidRPr="002347E9">
        <w:rPr>
          <w:rFonts w:eastAsia="楷体"/>
          <w:iCs/>
          <w:snapToGrid w:val="0"/>
          <w:lang w:val="en-CA" w:eastAsia="ja-JP"/>
        </w:rPr>
        <w:t>Teinve</w:t>
      </w:r>
      <w:r w:rsidRPr="002347E9">
        <w:rPr>
          <w:rFonts w:eastAsia="楷体" w:hint="eastAsia"/>
          <w:iCs/>
          <w:snapToGrid w:val="0"/>
          <w:lang w:val="en-CA"/>
        </w:rPr>
        <w:t>r</w:t>
      </w:r>
      <w:r w:rsidRPr="002347E9">
        <w:rPr>
          <w:rFonts w:eastAsia="楷体" w:hint="eastAsia"/>
          <w:iCs/>
          <w:snapToGrid w:val="0"/>
          <w:lang w:val="en-CA"/>
        </w:rPr>
        <w:t>案</w:t>
      </w:r>
      <w:r w:rsidRPr="002347E9">
        <w:rPr>
          <w:rFonts w:hint="eastAsia"/>
          <w:iCs/>
          <w:snapToGrid w:val="0"/>
          <w:lang w:val="en-CA"/>
        </w:rPr>
        <w:t>中，</w:t>
      </w:r>
      <w:r w:rsidRPr="00953281">
        <w:rPr>
          <w:snapToGrid w:val="0"/>
          <w:w w:val="150"/>
          <w:vertAlign w:val="superscript"/>
          <w:lang w:val="en-CA" w:eastAsia="ja-JP"/>
        </w:rPr>
        <w:footnoteReference w:id="535"/>
      </w:r>
      <w:r w:rsidRPr="002347E9">
        <w:rPr>
          <w:rFonts w:hint="eastAsia"/>
          <w:iCs/>
          <w:snapToGrid w:val="0"/>
          <w:lang w:val="en-CA"/>
        </w:rPr>
        <w:t xml:space="preserve"> </w:t>
      </w:r>
      <w:r w:rsidRPr="002347E9">
        <w:rPr>
          <w:snapToGrid w:val="0"/>
          <w:lang w:val="en-CA" w:eastAsia="ja-JP"/>
        </w:rPr>
        <w:t>法庭</w:t>
      </w:r>
      <w:r w:rsidRPr="002347E9">
        <w:rPr>
          <w:rFonts w:hint="eastAsia"/>
          <w:snapToGrid w:val="0"/>
          <w:lang w:val="en-CA"/>
        </w:rPr>
        <w:t>支持将</w:t>
      </w:r>
      <w:r w:rsidRPr="002347E9">
        <w:rPr>
          <w:snapToGrid w:val="0"/>
          <w:lang w:val="en-CA" w:eastAsia="ja-JP"/>
        </w:rPr>
        <w:t>最惠国条款</w:t>
      </w:r>
      <w:r w:rsidRPr="002347E9">
        <w:rPr>
          <w:rFonts w:hint="eastAsia"/>
          <w:snapToGrid w:val="0"/>
          <w:lang w:val="en-CA"/>
        </w:rPr>
        <w:t>适用于延时</w:t>
      </w:r>
      <w:r w:rsidRPr="002347E9">
        <w:rPr>
          <w:rFonts w:hint="eastAsia"/>
          <w:snapToGrid w:val="0"/>
          <w:lang w:val="en-CA"/>
        </w:rPr>
        <w:t>18</w:t>
      </w:r>
      <w:r w:rsidRPr="002347E9">
        <w:rPr>
          <w:rFonts w:hint="eastAsia"/>
          <w:snapToGrid w:val="0"/>
          <w:lang w:val="en-CA"/>
        </w:rPr>
        <w:t>个月和</w:t>
      </w:r>
      <w:r w:rsidRPr="002347E9">
        <w:rPr>
          <w:rFonts w:hint="eastAsia"/>
          <w:snapToGrid w:val="0"/>
          <w:lang w:val="en-CA"/>
        </w:rPr>
        <w:t>6</w:t>
      </w:r>
      <w:r w:rsidRPr="002347E9">
        <w:rPr>
          <w:rFonts w:hint="eastAsia"/>
          <w:snapToGrid w:val="0"/>
          <w:lang w:val="en-CA"/>
        </w:rPr>
        <w:t>个月谈判期的规定。</w:t>
      </w:r>
      <w:r w:rsidRPr="002347E9">
        <w:rPr>
          <w:snapToGrid w:val="0"/>
          <w:lang w:val="en-CA" w:eastAsia="ja-JP"/>
        </w:rPr>
        <w:t>法庭</w:t>
      </w:r>
      <w:r w:rsidRPr="002347E9">
        <w:rPr>
          <w:rFonts w:hint="eastAsia"/>
          <w:snapToGrid w:val="0"/>
          <w:lang w:val="en-CA"/>
        </w:rPr>
        <w:t>认为，这些规定事关可否受理，而不涉及管辖权。然而，法庭依据的似乎是贸发会议关于</w:t>
      </w:r>
      <w:r w:rsidRPr="002347E9">
        <w:rPr>
          <w:snapToGrid w:val="0"/>
          <w:lang w:val="en-CA" w:eastAsia="ja-JP"/>
        </w:rPr>
        <w:t>最惠国条款</w:t>
      </w:r>
      <w:r w:rsidRPr="002347E9">
        <w:rPr>
          <w:rFonts w:hint="eastAsia"/>
          <w:snapToGrid w:val="0"/>
          <w:lang w:val="en-CA"/>
        </w:rPr>
        <w:t>的一份报告，</w:t>
      </w:r>
      <w:r w:rsidRPr="00953281">
        <w:rPr>
          <w:snapToGrid w:val="0"/>
          <w:w w:val="150"/>
          <w:vertAlign w:val="superscript"/>
          <w:lang w:val="en-CA" w:eastAsia="ja-JP"/>
        </w:rPr>
        <w:footnoteReference w:id="536"/>
      </w:r>
      <w:r w:rsidRPr="002347E9">
        <w:rPr>
          <w:snapToGrid w:val="0"/>
          <w:lang w:val="en-CA" w:eastAsia="ja-JP"/>
        </w:rPr>
        <w:t xml:space="preserve"> </w:t>
      </w:r>
      <w:r w:rsidRPr="002347E9">
        <w:rPr>
          <w:rFonts w:hint="eastAsia"/>
          <w:snapToGrid w:val="0"/>
          <w:lang w:val="en-CA"/>
        </w:rPr>
        <w:t>报告中将与</w:t>
      </w:r>
      <w:r w:rsidRPr="002347E9">
        <w:rPr>
          <w:snapToGrid w:val="0"/>
          <w:lang w:val="en-CA"/>
        </w:rPr>
        <w:t>18</w:t>
      </w:r>
      <w:r w:rsidRPr="002347E9">
        <w:rPr>
          <w:rFonts w:hint="eastAsia"/>
          <w:snapToGrid w:val="0"/>
          <w:lang w:val="en-CA"/>
        </w:rPr>
        <w:t>个月诉讼期要求有关的案件称为“可否受理案件”，而将就</w:t>
      </w:r>
      <w:r w:rsidRPr="002347E9">
        <w:rPr>
          <w:snapToGrid w:val="0"/>
          <w:lang w:val="en-CA" w:eastAsia="ja-JP"/>
        </w:rPr>
        <w:t>争端解决</w:t>
      </w:r>
      <w:r w:rsidRPr="002347E9">
        <w:rPr>
          <w:rFonts w:hint="eastAsia"/>
          <w:snapToGrid w:val="0"/>
          <w:lang w:val="en-CA"/>
        </w:rPr>
        <w:t>问题援引</w:t>
      </w:r>
      <w:r w:rsidRPr="002347E9">
        <w:rPr>
          <w:snapToGrid w:val="0"/>
          <w:lang w:val="en-CA" w:eastAsia="ja-JP"/>
        </w:rPr>
        <w:t>最惠国条款</w:t>
      </w:r>
      <w:r w:rsidRPr="002347E9">
        <w:rPr>
          <w:rFonts w:hint="eastAsia"/>
          <w:snapToGrid w:val="0"/>
          <w:lang w:val="en-CA"/>
        </w:rPr>
        <w:t>的其他案件称为“管辖范围案件”。但是，贸发会议在报告中并未解释为何认为与</w:t>
      </w:r>
      <w:r w:rsidRPr="002347E9">
        <w:rPr>
          <w:rFonts w:hint="eastAsia"/>
          <w:snapToGrid w:val="0"/>
          <w:lang w:val="en-CA"/>
        </w:rPr>
        <w:t>18</w:t>
      </w:r>
      <w:r w:rsidRPr="002347E9">
        <w:rPr>
          <w:rFonts w:hint="eastAsia"/>
          <w:snapToGrid w:val="0"/>
          <w:lang w:val="en-CA"/>
        </w:rPr>
        <w:t>个月诉讼期要求有关的案件事关可否受理，而无关管辖权。</w:t>
      </w:r>
    </w:p>
    <w:p w:rsidR="00F53060" w:rsidRDefault="00F53060" w:rsidP="00F53060">
      <w:pPr>
        <w:pStyle w:val="SingleTxt"/>
        <w:rPr>
          <w:snapToGrid w:val="0"/>
          <w:lang w:val="en-CA"/>
        </w:rPr>
      </w:pPr>
      <w:r w:rsidRPr="002347E9">
        <w:rPr>
          <w:snapToGrid w:val="0"/>
          <w:lang w:val="en-CA"/>
        </w:rPr>
        <w:t>114.</w:t>
      </w:r>
      <w:r w:rsidRPr="002347E9">
        <w:rPr>
          <w:rFonts w:hint="eastAsia"/>
          <w:snapToGrid w:val="0"/>
          <w:lang w:val="en-CA"/>
        </w:rPr>
        <w:t xml:space="preserve">  </w:t>
      </w:r>
      <w:r w:rsidRPr="002347E9">
        <w:rPr>
          <w:rFonts w:hint="eastAsia"/>
          <w:snapToGrid w:val="0"/>
          <w:lang w:val="en-CA"/>
        </w:rPr>
        <w:t>不允许无视</w:t>
      </w:r>
      <w:r w:rsidRPr="002347E9">
        <w:rPr>
          <w:rFonts w:hint="eastAsia"/>
          <w:snapToGrid w:val="0"/>
          <w:lang w:val="en-CA"/>
        </w:rPr>
        <w:t>18</w:t>
      </w:r>
      <w:r w:rsidRPr="002347E9">
        <w:rPr>
          <w:rFonts w:hint="eastAsia"/>
          <w:snapToGrid w:val="0"/>
          <w:lang w:val="en-CA"/>
        </w:rPr>
        <w:t>个月诉讼期要求的案件采取了共同的做法。必须有证据说明，拟订</w:t>
      </w:r>
      <w:r w:rsidRPr="002347E9">
        <w:rPr>
          <w:rFonts w:ascii="宋体" w:hAnsi="宋体" w:cs="宋体" w:hint="eastAsia"/>
          <w:snapToGrid w:val="0"/>
          <w:lang w:val="en-CA"/>
        </w:rPr>
        <w:t>最惠国条款的目的在于适用该条款改变对法庭管辖权的限制，因为东道国</w:t>
      </w:r>
      <w:r w:rsidRPr="002347E9">
        <w:rPr>
          <w:rFonts w:hint="eastAsia"/>
          <w:snapToGrid w:val="0"/>
          <w:lang w:val="en-CA"/>
        </w:rPr>
        <w:t>同意仲裁的前提条件是遵守这些限制条件。实际隐含的效果是要求提供“明确而不含糊的”证据，说明有改变法庭管辖权的意图；虽然理由不同，但这与</w:t>
      </w:r>
      <w:r w:rsidRPr="002347E9">
        <w:rPr>
          <w:rFonts w:eastAsia="楷体"/>
          <w:iCs/>
          <w:snapToGrid w:val="0"/>
          <w:lang w:val="en-CA"/>
        </w:rPr>
        <w:t>Plama</w:t>
      </w:r>
      <w:r w:rsidRPr="002347E9">
        <w:rPr>
          <w:rFonts w:eastAsia="楷体" w:hint="eastAsia"/>
          <w:iCs/>
          <w:snapToGrid w:val="0"/>
          <w:lang w:val="en-CA"/>
        </w:rPr>
        <w:t>案</w:t>
      </w:r>
      <w:r w:rsidRPr="002347E9">
        <w:rPr>
          <w:rFonts w:hint="eastAsia"/>
          <w:snapToGrid w:val="0"/>
          <w:lang w:val="en-CA"/>
        </w:rPr>
        <w:t>采取的做法一脉相承。</w:t>
      </w:r>
    </w:p>
    <w:p w:rsidR="00750D7D" w:rsidRPr="002347E9" w:rsidRDefault="00750D7D" w:rsidP="00F53060">
      <w:pPr>
        <w:pStyle w:val="SingleTxt"/>
        <w:rPr>
          <w:snapToGrid w:val="0"/>
          <w:lang w:val="en-CA"/>
        </w:rPr>
      </w:pP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lastRenderedPageBreak/>
        <w:tab/>
      </w:r>
      <w:r w:rsidRPr="002347E9">
        <w:rPr>
          <w:lang w:val="en-CA"/>
        </w:rPr>
        <w:t>(</w:t>
      </w:r>
      <w:r w:rsidRPr="002347E9">
        <w:rPr>
          <w:rFonts w:hint="eastAsia"/>
          <w:lang w:val="en-CA"/>
        </w:rPr>
        <w:t>三</w:t>
      </w:r>
      <w:r w:rsidRPr="002347E9">
        <w:rPr>
          <w:lang w:val="en-CA"/>
        </w:rPr>
        <w:t>)</w:t>
      </w:r>
      <w:r w:rsidRPr="002347E9">
        <w:rPr>
          <w:lang w:val="en-CA"/>
        </w:rPr>
        <w:tab/>
      </w:r>
      <w:r w:rsidRPr="002347E9">
        <w:rPr>
          <w:rFonts w:hint="eastAsia"/>
          <w:lang w:val="en-CA"/>
        </w:rPr>
        <w:t>其他条约规定的具体意图</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530FC5" w:rsidRPr="00530FC5" w:rsidRDefault="00530FC5" w:rsidP="00530FC5">
      <w:pPr>
        <w:pStyle w:val="SingleTxt"/>
        <w:spacing w:after="0" w:line="120" w:lineRule="exact"/>
        <w:rPr>
          <w:snapToGrid w:val="0"/>
          <w:sz w:val="10"/>
          <w:lang w:val="en-CA"/>
        </w:rPr>
      </w:pPr>
    </w:p>
    <w:p w:rsidR="00F53060" w:rsidRPr="002347E9" w:rsidRDefault="00F53060" w:rsidP="00F53060">
      <w:pPr>
        <w:pStyle w:val="SingleTxt"/>
        <w:rPr>
          <w:snapToGrid w:val="0"/>
          <w:lang w:val="en-CA"/>
        </w:rPr>
      </w:pPr>
      <w:r w:rsidRPr="002347E9">
        <w:rPr>
          <w:snapToGrid w:val="0"/>
          <w:lang w:val="en-CA"/>
        </w:rPr>
        <w:t>115.</w:t>
      </w:r>
      <w:r w:rsidRPr="002347E9">
        <w:rPr>
          <w:rFonts w:hint="eastAsia"/>
          <w:snapToGrid w:val="0"/>
          <w:lang w:val="en-CA"/>
        </w:rPr>
        <w:t xml:space="preserve">  </w:t>
      </w:r>
      <w:r w:rsidRPr="002347E9">
        <w:rPr>
          <w:rFonts w:hint="eastAsia"/>
          <w:snapToGrid w:val="0"/>
          <w:lang w:val="en-CA"/>
        </w:rPr>
        <w:t>有些案件中，法庭在解释</w:t>
      </w:r>
      <w:r w:rsidRPr="002347E9">
        <w:rPr>
          <w:rFonts w:ascii="宋体" w:hAnsi="宋体" w:cs="宋体" w:hint="eastAsia"/>
          <w:snapToGrid w:val="0"/>
          <w:lang w:val="en-CA"/>
        </w:rPr>
        <w:t>最惠国条款</w:t>
      </w:r>
      <w:r w:rsidRPr="002347E9">
        <w:rPr>
          <w:rFonts w:hint="eastAsia"/>
          <w:snapToGrid w:val="0"/>
          <w:lang w:val="en-CA"/>
        </w:rPr>
        <w:t>时考虑了这样的事实：基础条约已经以不同方式或更具体的方式涵盖了想要从其他条约中获得的好处。在某种意义上，这便是最惠国待遇的核心所在：力求向</w:t>
      </w:r>
      <w:r w:rsidRPr="002347E9">
        <w:rPr>
          <w:rFonts w:ascii="宋体" w:hAnsi="宋体" w:cs="宋体" w:hint="eastAsia"/>
          <w:snapToGrid w:val="0"/>
          <w:lang w:val="en-CA"/>
        </w:rPr>
        <w:t>受惠方</w:t>
      </w:r>
      <w:r w:rsidRPr="002347E9">
        <w:rPr>
          <w:rFonts w:hint="eastAsia"/>
          <w:snapToGrid w:val="0"/>
          <w:lang w:val="en-CA"/>
        </w:rPr>
        <w:t>提供优于其在基础条约下可以得到的待遇。依据这一点，似乎必然会出现这样的情况：若基础条约给予了某种待遇，适用最惠国条款的后果是使基础条约中的条款丧失效力。</w:t>
      </w:r>
    </w:p>
    <w:p w:rsidR="00F53060" w:rsidRPr="002347E9" w:rsidRDefault="00F53060" w:rsidP="00F53060">
      <w:pPr>
        <w:pStyle w:val="SingleTxt"/>
        <w:rPr>
          <w:snapToGrid w:val="0"/>
          <w:lang w:val="en-CA" w:bidi="en-US"/>
        </w:rPr>
      </w:pPr>
      <w:r w:rsidRPr="002347E9">
        <w:rPr>
          <w:snapToGrid w:val="0"/>
          <w:lang w:val="en-CA"/>
        </w:rPr>
        <w:t>116.</w:t>
      </w:r>
      <w:r w:rsidRPr="002347E9">
        <w:rPr>
          <w:rFonts w:hint="eastAsia"/>
          <w:snapToGrid w:val="0"/>
          <w:lang w:val="en-CA"/>
        </w:rPr>
        <w:t xml:space="preserve">  </w:t>
      </w:r>
      <w:r w:rsidRPr="002347E9">
        <w:rPr>
          <w:rFonts w:hint="eastAsia"/>
          <w:snapToGrid w:val="0"/>
          <w:lang w:val="en-CA"/>
        </w:rPr>
        <w:t>在</w:t>
      </w:r>
      <w:r w:rsidRPr="002347E9">
        <w:rPr>
          <w:rFonts w:eastAsia="楷体"/>
          <w:iCs/>
          <w:snapToGrid w:val="0"/>
          <w:lang w:val="en-CA"/>
        </w:rPr>
        <w:t>罗斯投资公司</w:t>
      </w:r>
      <w:r w:rsidRPr="002347E9">
        <w:rPr>
          <w:rFonts w:eastAsia="楷体" w:hint="eastAsia"/>
          <w:iCs/>
          <w:snapToGrid w:val="0"/>
          <w:lang w:val="en-CA"/>
        </w:rPr>
        <w:t>(RosInvest)</w:t>
      </w:r>
      <w:r w:rsidRPr="002347E9">
        <w:rPr>
          <w:rFonts w:eastAsia="楷体" w:hint="eastAsia"/>
          <w:iCs/>
          <w:snapToGrid w:val="0"/>
          <w:lang w:val="en-CA"/>
        </w:rPr>
        <w:t>案</w:t>
      </w:r>
      <w:r w:rsidRPr="002347E9">
        <w:rPr>
          <w:rFonts w:hint="eastAsia"/>
          <w:snapToGrid w:val="0"/>
          <w:lang w:val="en-CA"/>
        </w:rPr>
        <w:t>中，法庭认为，运用最惠国条款可能会扩大法庭的管辖范围是“适用</w:t>
      </w:r>
      <w:r w:rsidRPr="002347E9">
        <w:rPr>
          <w:rFonts w:hint="eastAsia"/>
          <w:snapToGrid w:val="0"/>
          <w:lang w:val="en-CA" w:bidi="en-US"/>
        </w:rPr>
        <w:t>最惠国条款的正常结果，其根本性质和意图是，通过援用另一项条约中给予的保护，扩大某项条约未同意给予的保护的范围</w:t>
      </w:r>
      <w:r w:rsidRPr="002347E9">
        <w:rPr>
          <w:rFonts w:hint="eastAsia"/>
          <w:snapToGrid w:val="0"/>
          <w:lang w:val="en-CA"/>
        </w:rPr>
        <w:t>”。</w:t>
      </w:r>
      <w:r w:rsidRPr="00953281">
        <w:rPr>
          <w:snapToGrid w:val="0"/>
          <w:w w:val="150"/>
          <w:vertAlign w:val="superscript"/>
          <w:lang w:val="en-CA" w:bidi="en-US"/>
        </w:rPr>
        <w:footnoteReference w:id="537"/>
      </w:r>
      <w:r w:rsidRPr="002347E9">
        <w:rPr>
          <w:snapToGrid w:val="0"/>
          <w:lang w:val="en-CA" w:bidi="en-US"/>
        </w:rPr>
        <w:t xml:space="preserve"> </w:t>
      </w:r>
    </w:p>
    <w:p w:rsidR="00F53060" w:rsidRPr="002347E9" w:rsidRDefault="00F53060" w:rsidP="00F53060">
      <w:pPr>
        <w:pStyle w:val="SingleTxt"/>
        <w:rPr>
          <w:snapToGrid w:val="0"/>
          <w:lang w:val="en-CA"/>
        </w:rPr>
      </w:pPr>
      <w:r w:rsidRPr="002347E9">
        <w:rPr>
          <w:snapToGrid w:val="0"/>
          <w:lang w:val="en-CA"/>
        </w:rPr>
        <w:t>117.</w:t>
      </w:r>
      <w:r w:rsidRPr="002347E9">
        <w:rPr>
          <w:rFonts w:hint="eastAsia"/>
          <w:snapToGrid w:val="0"/>
          <w:lang w:val="en-CA"/>
        </w:rPr>
        <w:t xml:space="preserve">  </w:t>
      </w:r>
      <w:r w:rsidRPr="002347E9">
        <w:rPr>
          <w:rFonts w:hint="eastAsia"/>
          <w:snapToGrid w:val="0"/>
          <w:lang w:val="en-CA"/>
        </w:rPr>
        <w:t>然而，也有人持相反意见。在</w:t>
      </w:r>
      <w:r w:rsidRPr="002347E9">
        <w:rPr>
          <w:rFonts w:eastAsia="楷体"/>
          <w:snapToGrid w:val="0"/>
          <w:lang w:val="en-CA"/>
        </w:rPr>
        <w:t>中欧传媒企业</w:t>
      </w:r>
      <w:r w:rsidRPr="002347E9">
        <w:rPr>
          <w:rFonts w:eastAsia="楷体" w:hint="eastAsia"/>
          <w:snapToGrid w:val="0"/>
          <w:lang w:val="en-CA"/>
        </w:rPr>
        <w:t>(CME)</w:t>
      </w:r>
      <w:r w:rsidRPr="002347E9">
        <w:rPr>
          <w:rFonts w:eastAsia="楷体" w:hint="eastAsia"/>
          <w:snapToGrid w:val="0"/>
          <w:lang w:val="en-CA"/>
        </w:rPr>
        <w:t>案</w:t>
      </w:r>
      <w:r w:rsidRPr="002347E9">
        <w:rPr>
          <w:rFonts w:hint="eastAsia"/>
          <w:snapToGrid w:val="0"/>
          <w:lang w:val="en-CA"/>
        </w:rPr>
        <w:t>中，持反对意见的仲裁人</w:t>
      </w:r>
      <w:r w:rsidRPr="002347E9">
        <w:rPr>
          <w:rFonts w:hint="eastAsia"/>
          <w:snapToGrid w:val="0"/>
        </w:rPr>
        <w:t>伊恩</w:t>
      </w:r>
      <w:r w:rsidRPr="002347E9">
        <w:rPr>
          <w:rFonts w:hint="eastAsia"/>
          <w:snapToGrid w:val="0"/>
          <w:lang w:val="en-CA"/>
        </w:rPr>
        <w:t>·</w:t>
      </w:r>
      <w:r w:rsidRPr="002347E9">
        <w:rPr>
          <w:rFonts w:hint="eastAsia"/>
          <w:snapToGrid w:val="0"/>
        </w:rPr>
        <w:t>布朗利不同意经由</w:t>
      </w:r>
      <w:r w:rsidRPr="002347E9">
        <w:rPr>
          <w:rFonts w:hint="eastAsia"/>
          <w:snapToGrid w:val="0"/>
          <w:lang w:val="en-CA"/>
        </w:rPr>
        <w:t>最惠国条款将其他赔偿方式纳入条约，因为这将使条约中关于赔偿的明示规定丧失效力。</w:t>
      </w:r>
      <w:r w:rsidRPr="00953281">
        <w:rPr>
          <w:snapToGrid w:val="0"/>
          <w:w w:val="150"/>
          <w:vertAlign w:val="superscript"/>
          <w:lang w:val="en-CA"/>
        </w:rPr>
        <w:footnoteReference w:id="538"/>
      </w:r>
      <w:r w:rsidRPr="002347E9">
        <w:rPr>
          <w:snapToGrid w:val="0"/>
          <w:lang w:val="en-CA"/>
        </w:rPr>
        <w:t xml:space="preserve"> </w:t>
      </w:r>
      <w:r w:rsidRPr="002347E9">
        <w:rPr>
          <w:rFonts w:hint="eastAsia"/>
          <w:snapToGrid w:val="0"/>
          <w:lang w:val="en-CA"/>
        </w:rPr>
        <w:t>在</w:t>
      </w:r>
      <w:r w:rsidRPr="002347E9">
        <w:rPr>
          <w:rFonts w:eastAsia="楷体"/>
          <w:snapToGrid w:val="0"/>
          <w:lang w:val="en-CA"/>
        </w:rPr>
        <w:t>奥地利航空案</w:t>
      </w:r>
      <w:r w:rsidRPr="002347E9">
        <w:rPr>
          <w:rFonts w:hint="eastAsia"/>
          <w:snapToGrid w:val="0"/>
          <w:lang w:val="en-CA"/>
        </w:rPr>
        <w:t>中，法庭认为，条约中关于管辖权的具体规定本身就明确说明，缔约方不打算允许通过最惠国条款扩大法庭的管辖权。法庭认为，不应凭借最惠国条款的一般意图推翻上述规定的具体意图。</w:t>
      </w:r>
      <w:r w:rsidRPr="00953281">
        <w:rPr>
          <w:snapToGrid w:val="0"/>
          <w:w w:val="150"/>
          <w:vertAlign w:val="superscript"/>
          <w:lang w:val="en-CA"/>
        </w:rPr>
        <w:footnoteReference w:id="539"/>
      </w:r>
      <w:r w:rsidRPr="002347E9">
        <w:rPr>
          <w:rFonts w:hint="eastAsia"/>
          <w:snapToGrid w:val="0"/>
          <w:lang w:val="en-CA"/>
        </w:rPr>
        <w:t xml:space="preserve"> </w:t>
      </w:r>
      <w:r w:rsidRPr="002347E9">
        <w:rPr>
          <w:rFonts w:hint="eastAsia"/>
          <w:snapToGrid w:val="0"/>
          <w:lang w:val="en-CA"/>
        </w:rPr>
        <w:t>为了巩固这一结论，法庭回顾了《奥地利与斯洛伐克双边投资条约》的谈判过程，期间双方不同意规定法庭享有更广泛的管辖权。在</w:t>
      </w:r>
      <w:r w:rsidRPr="002347E9">
        <w:rPr>
          <w:rFonts w:eastAsia="楷体"/>
          <w:snapToGrid w:val="0"/>
          <w:lang w:val="en-CA"/>
        </w:rPr>
        <w:t>Berschader</w:t>
      </w:r>
      <w:r w:rsidRPr="002347E9">
        <w:rPr>
          <w:rFonts w:eastAsia="楷体" w:hint="eastAsia"/>
          <w:snapToGrid w:val="0"/>
          <w:lang w:val="en-CA"/>
        </w:rPr>
        <w:t>案</w:t>
      </w:r>
      <w:r w:rsidRPr="002347E9">
        <w:rPr>
          <w:rFonts w:hint="eastAsia"/>
          <w:snapToGrid w:val="0"/>
          <w:lang w:val="en-CA"/>
        </w:rPr>
        <w:t>中，法庭审阅了条约中的其他规定，以表明有一些规定无法适用最惠国条款，因此不能按字面意思理解“本条约涵盖的所有事项”这一表述。</w:t>
      </w:r>
      <w:r w:rsidRPr="00953281">
        <w:rPr>
          <w:snapToGrid w:val="0"/>
          <w:w w:val="150"/>
          <w:vertAlign w:val="superscript"/>
          <w:lang w:val="en-CA"/>
        </w:rPr>
        <w:footnoteReference w:id="540"/>
      </w:r>
    </w:p>
    <w:p w:rsidR="00F53060" w:rsidRPr="002347E9" w:rsidRDefault="00F53060" w:rsidP="00F53060">
      <w:pPr>
        <w:pStyle w:val="SingleTxt"/>
        <w:rPr>
          <w:i/>
          <w:snapToGrid w:val="0"/>
          <w:lang w:val="en-CA"/>
        </w:rPr>
      </w:pPr>
      <w:r w:rsidRPr="002347E9">
        <w:rPr>
          <w:snapToGrid w:val="0"/>
          <w:lang w:val="en-CA"/>
        </w:rPr>
        <w:t>118.</w:t>
      </w:r>
      <w:r w:rsidRPr="002347E9">
        <w:rPr>
          <w:rFonts w:hint="eastAsia"/>
          <w:snapToGrid w:val="0"/>
          <w:lang w:val="en-CA"/>
        </w:rPr>
        <w:t xml:space="preserve">  </w:t>
      </w:r>
      <w:r w:rsidRPr="002347E9">
        <w:rPr>
          <w:rFonts w:ascii="宋体" w:hAnsi="宋体" w:cs="宋体" w:hint="eastAsia"/>
          <w:snapToGrid w:val="0"/>
          <w:lang w:val="en-CA"/>
        </w:rPr>
        <w:t>在</w:t>
      </w:r>
      <w:r w:rsidRPr="002347E9">
        <w:rPr>
          <w:rFonts w:ascii="宋体" w:eastAsia="楷体" w:hAnsi="宋体" w:cs="宋体" w:hint="eastAsia"/>
          <w:snapToGrid w:val="0"/>
          <w:lang w:val="en-CA"/>
        </w:rPr>
        <w:t>奥地利航空案</w:t>
      </w:r>
      <w:r w:rsidRPr="002347E9">
        <w:rPr>
          <w:rFonts w:ascii="宋体" w:hAnsi="宋体" w:cs="宋体" w:hint="eastAsia"/>
          <w:snapToGrid w:val="0"/>
          <w:lang w:val="en-CA"/>
        </w:rPr>
        <w:t>中，法庭还结合条约中的其他规定来考量最惠国条款的问题，强调</w:t>
      </w:r>
      <w:r w:rsidRPr="002347E9">
        <w:rPr>
          <w:rFonts w:hint="eastAsia"/>
          <w:snapToGrid w:val="0"/>
          <w:lang w:val="en-CA"/>
        </w:rPr>
        <w:t>条约本身专门规定了有限的仲裁范围。</w:t>
      </w:r>
      <w:r w:rsidRPr="002347E9">
        <w:rPr>
          <w:rFonts w:ascii="宋体" w:hAnsi="宋体" w:cs="宋体" w:hint="eastAsia"/>
          <w:snapToGrid w:val="0"/>
          <w:lang w:val="en-CA"/>
        </w:rPr>
        <w:t>法庭认为，鉴于条约具有“明显而具体的意图”</w:t>
      </w:r>
      <w:r w:rsidRPr="002347E9">
        <w:rPr>
          <w:rFonts w:hint="eastAsia"/>
          <w:snapToGrid w:val="0"/>
          <w:lang w:val="en-CA"/>
        </w:rPr>
        <w:t>，将仲裁范围限制为关于赔偿金额的争端，而不包括有关赔偿原则的争端，因此“援引</w:t>
      </w:r>
      <w:r w:rsidRPr="002347E9">
        <w:rPr>
          <w:rFonts w:ascii="宋体" w:hAnsi="宋体" w:cs="宋体" w:hint="eastAsia"/>
          <w:snapToGrid w:val="0"/>
          <w:lang w:val="en-CA"/>
        </w:rPr>
        <w:t>最惠国条款中</w:t>
      </w:r>
      <w:r w:rsidRPr="002347E9">
        <w:rPr>
          <w:rFonts w:hint="eastAsia"/>
          <w:snapToGrid w:val="0"/>
          <w:lang w:val="en-CA"/>
        </w:rPr>
        <w:t>一般</w:t>
      </w:r>
      <w:r w:rsidRPr="002347E9">
        <w:rPr>
          <w:rFonts w:ascii="宋体" w:hAnsi="宋体" w:cs="宋体" w:hint="eastAsia"/>
          <w:snapToGrid w:val="0"/>
          <w:lang w:val="en-CA"/>
        </w:rPr>
        <w:t>的</w:t>
      </w:r>
      <w:r w:rsidRPr="002347E9">
        <w:rPr>
          <w:rFonts w:hint="eastAsia"/>
          <w:snapToGrid w:val="0"/>
          <w:lang w:val="en-CA"/>
        </w:rPr>
        <w:t>非具体意图来推翻这一具体意图，有悖常理”。</w:t>
      </w:r>
      <w:r w:rsidRPr="00953281">
        <w:rPr>
          <w:snapToGrid w:val="0"/>
          <w:w w:val="150"/>
          <w:vertAlign w:val="superscript"/>
          <w:lang w:val="en-CA"/>
        </w:rPr>
        <w:footnoteReference w:id="541"/>
      </w:r>
      <w:r w:rsidRPr="002347E9">
        <w:rPr>
          <w:snapToGrid w:val="0"/>
          <w:lang w:val="en-CA"/>
        </w:rPr>
        <w:t xml:space="preserve"> </w:t>
      </w:r>
      <w:r w:rsidRPr="002347E9">
        <w:rPr>
          <w:rFonts w:eastAsia="楷体" w:hint="eastAsia"/>
          <w:snapToGrid w:val="0"/>
          <w:lang w:val="en-CA"/>
        </w:rPr>
        <w:t>谢业深</w:t>
      </w:r>
      <w:r w:rsidRPr="002347E9">
        <w:rPr>
          <w:rFonts w:eastAsia="楷体" w:hint="eastAsia"/>
          <w:snapToGrid w:val="0"/>
          <w:lang w:val="en-CA"/>
        </w:rPr>
        <w:t>(</w:t>
      </w:r>
      <w:r w:rsidRPr="002347E9">
        <w:rPr>
          <w:rFonts w:eastAsia="楷体"/>
          <w:snapToGrid w:val="0"/>
          <w:lang w:val="en-CA"/>
        </w:rPr>
        <w:t>Tza Yap Shum</w:t>
      </w:r>
      <w:r w:rsidRPr="002347E9">
        <w:rPr>
          <w:rFonts w:eastAsia="楷体" w:hint="eastAsia"/>
          <w:snapToGrid w:val="0"/>
          <w:lang w:val="en-CA"/>
        </w:rPr>
        <w:t>)</w:t>
      </w:r>
      <w:r w:rsidRPr="002347E9">
        <w:rPr>
          <w:rFonts w:eastAsia="楷体" w:hint="eastAsia"/>
          <w:snapToGrid w:val="0"/>
          <w:lang w:val="en-CA"/>
        </w:rPr>
        <w:t>案</w:t>
      </w:r>
      <w:r w:rsidRPr="002347E9">
        <w:rPr>
          <w:rFonts w:hint="eastAsia"/>
          <w:snapToGrid w:val="0"/>
          <w:lang w:val="en-CA"/>
        </w:rPr>
        <w:t>法庭也认为，</w:t>
      </w:r>
      <w:r w:rsidRPr="002347E9">
        <w:rPr>
          <w:rFonts w:ascii="宋体" w:hAnsi="宋体" w:cs="宋体" w:hint="eastAsia"/>
          <w:snapToGrid w:val="0"/>
          <w:lang w:val="en-CA"/>
        </w:rPr>
        <w:t>最惠国条款的一般意图必须服从基础条约的特定条款所规定的具体意图。</w:t>
      </w:r>
      <w:r w:rsidRPr="00953281">
        <w:rPr>
          <w:snapToGrid w:val="0"/>
          <w:w w:val="150"/>
          <w:vertAlign w:val="superscript"/>
          <w:lang w:val="en-CA"/>
        </w:rPr>
        <w:footnoteReference w:id="542"/>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530FC5" w:rsidRPr="00530FC5" w:rsidRDefault="00530FC5" w:rsidP="00530FC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四</w:t>
      </w:r>
      <w:r w:rsidRPr="002347E9">
        <w:rPr>
          <w:lang w:val="en-CA"/>
        </w:rPr>
        <w:t>)</w:t>
      </w:r>
      <w:r w:rsidRPr="002347E9">
        <w:rPr>
          <w:lang w:val="en-CA"/>
        </w:rPr>
        <w:tab/>
      </w:r>
      <w:r w:rsidRPr="002347E9">
        <w:rPr>
          <w:rFonts w:hint="eastAsia"/>
          <w:lang w:val="en-CA"/>
        </w:rPr>
        <w:t>缔约方的实践</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530FC5">
      <w:pPr>
        <w:pStyle w:val="SingleTxt"/>
        <w:rPr>
          <w:snapToGrid w:val="0"/>
          <w:lang w:val="en-CA"/>
        </w:rPr>
      </w:pPr>
      <w:r w:rsidRPr="002347E9">
        <w:rPr>
          <w:snapToGrid w:val="0"/>
          <w:lang w:val="en-CA"/>
        </w:rPr>
        <w:t>119.</w:t>
      </w:r>
      <w:r w:rsidRPr="002347E9">
        <w:rPr>
          <w:rFonts w:hint="eastAsia"/>
          <w:snapToGrid w:val="0"/>
          <w:lang w:val="en-CA"/>
        </w:rPr>
        <w:t xml:space="preserve">  </w:t>
      </w:r>
      <w:r w:rsidRPr="002347E9">
        <w:rPr>
          <w:rFonts w:hint="eastAsia"/>
          <w:snapToGrid w:val="0"/>
          <w:lang w:val="en-CA"/>
        </w:rPr>
        <w:t>在要求就双边投资条约适用最惠国待遇的案例中，有些法庭参考条约缔约方的其他缔约实践，以确定缔约方在</w:t>
      </w:r>
      <w:r w:rsidRPr="002347E9">
        <w:rPr>
          <w:rFonts w:ascii="宋体" w:hAnsi="宋体" w:cs="宋体" w:hint="eastAsia"/>
          <w:snapToGrid w:val="0"/>
          <w:lang w:val="en-CA"/>
        </w:rPr>
        <w:t>最惠国条款范围方面的意图</w:t>
      </w:r>
      <w:r w:rsidRPr="002347E9">
        <w:rPr>
          <w:rFonts w:hint="eastAsia"/>
          <w:snapToGrid w:val="0"/>
          <w:lang w:val="en-CA"/>
        </w:rPr>
        <w:t>。</w:t>
      </w:r>
      <w:r w:rsidRPr="002347E9">
        <w:rPr>
          <w:rFonts w:eastAsia="楷体"/>
          <w:iCs/>
          <w:snapToGrid w:val="0"/>
          <w:lang w:val="en-CA"/>
        </w:rPr>
        <w:t>马菲基尼</w:t>
      </w:r>
      <w:r w:rsidRPr="002347E9">
        <w:rPr>
          <w:rFonts w:eastAsia="楷体" w:hint="eastAsia"/>
          <w:iCs/>
          <w:snapToGrid w:val="0"/>
          <w:lang w:val="en-CA"/>
        </w:rPr>
        <w:t>案</w:t>
      </w:r>
      <w:r w:rsidRPr="002347E9">
        <w:rPr>
          <w:rFonts w:ascii="宋体" w:hAnsi="宋体" w:cs="宋体" w:hint="eastAsia"/>
          <w:snapToGrid w:val="0"/>
          <w:lang w:val="en-CA"/>
        </w:rPr>
        <w:t>法庭研</w:t>
      </w:r>
      <w:r w:rsidRPr="002347E9">
        <w:rPr>
          <w:rFonts w:ascii="宋体" w:hAnsi="宋体" w:cs="宋体" w:hint="eastAsia"/>
          <w:snapToGrid w:val="0"/>
          <w:lang w:val="en-CA"/>
        </w:rPr>
        <w:lastRenderedPageBreak/>
        <w:t>究了西班牙缔结双边投资条约的实践</w:t>
      </w:r>
      <w:r w:rsidRPr="002347E9">
        <w:rPr>
          <w:rFonts w:hint="eastAsia"/>
          <w:snapToGrid w:val="0"/>
          <w:lang w:val="en-CA"/>
        </w:rPr>
        <w:t>并指出，西班牙的做法是允许不经过《阿根廷与西班牙双边投资条约》中规定的</w:t>
      </w:r>
      <w:r w:rsidRPr="002347E9">
        <w:rPr>
          <w:rFonts w:hint="eastAsia"/>
          <w:snapToGrid w:val="0"/>
          <w:lang w:val="en-CA"/>
        </w:rPr>
        <w:t>18</w:t>
      </w:r>
      <w:r w:rsidRPr="002347E9">
        <w:rPr>
          <w:rFonts w:hint="eastAsia"/>
          <w:snapToGrid w:val="0"/>
          <w:lang w:val="en-CA"/>
        </w:rPr>
        <w:t>个月便提起争端诉讼。</w:t>
      </w:r>
      <w:r w:rsidRPr="002347E9">
        <w:rPr>
          <w:rFonts w:ascii="宋体" w:hAnsi="宋体" w:cs="宋体" w:hint="eastAsia"/>
          <w:snapToGrid w:val="0"/>
          <w:lang w:val="en-CA"/>
        </w:rPr>
        <w:t>法庭还指出，《阿根廷与西班牙双边投资条约》是西班牙唯</w:t>
      </w:r>
      <w:r w:rsidR="00530FC5">
        <w:rPr>
          <w:rFonts w:hint="eastAsia"/>
          <w:spacing w:val="-50"/>
        </w:rPr>
        <w:t>―</w:t>
      </w:r>
      <w:r w:rsidR="00530FC5">
        <w:rPr>
          <w:rFonts w:hint="eastAsia"/>
        </w:rPr>
        <w:t>―</w:t>
      </w:r>
      <w:r w:rsidRPr="002347E9">
        <w:rPr>
          <w:rFonts w:ascii="宋体" w:hAnsi="宋体" w:cs="宋体" w:hint="eastAsia"/>
          <w:snapToGrid w:val="0"/>
          <w:lang w:val="en-CA"/>
        </w:rPr>
        <w:t>项在最惠国条款中使用了</w:t>
      </w:r>
      <w:r w:rsidRPr="002347E9">
        <w:rPr>
          <w:rFonts w:hint="eastAsia"/>
          <w:snapToGrid w:val="0"/>
          <w:lang w:val="en-CA"/>
        </w:rPr>
        <w:t>“本协定约束的所有事项”这种宽泛用语的双边投资条约。</w:t>
      </w:r>
      <w:r w:rsidRPr="00953281">
        <w:rPr>
          <w:snapToGrid w:val="0"/>
          <w:w w:val="150"/>
          <w:vertAlign w:val="superscript"/>
          <w:lang w:val="en-CA"/>
        </w:rPr>
        <w:footnoteReference w:id="543"/>
      </w:r>
      <w:r w:rsidRPr="002347E9">
        <w:rPr>
          <w:snapToGrid w:val="0"/>
          <w:lang w:val="en-CA"/>
        </w:rPr>
        <w:t xml:space="preserve"> </w:t>
      </w:r>
      <w:r w:rsidRPr="002347E9">
        <w:rPr>
          <w:rFonts w:hint="eastAsia"/>
          <w:snapToGrid w:val="0"/>
          <w:lang w:val="en-CA"/>
        </w:rPr>
        <w:t>然而，</w:t>
      </w:r>
      <w:r w:rsidRPr="002347E9">
        <w:rPr>
          <w:rFonts w:ascii="宋体" w:hAnsi="宋体" w:cs="宋体" w:hint="eastAsia"/>
          <w:snapToGrid w:val="0"/>
          <w:lang w:val="en-CA"/>
        </w:rPr>
        <w:t>法庭既未说明缔约方嗣后惯例的法律意义，也未澄清参照嗣后惯例作出解释的依据。</w:t>
      </w:r>
    </w:p>
    <w:p w:rsidR="00F53060" w:rsidRPr="002347E9" w:rsidRDefault="00F53060" w:rsidP="00F53060">
      <w:pPr>
        <w:pStyle w:val="SingleTxt"/>
        <w:rPr>
          <w:snapToGrid w:val="0"/>
          <w:lang w:val="en-CA"/>
        </w:rPr>
      </w:pPr>
      <w:r w:rsidRPr="002347E9">
        <w:rPr>
          <w:snapToGrid w:val="0"/>
          <w:lang w:val="en-CA"/>
        </w:rPr>
        <w:t>120.</w:t>
      </w:r>
      <w:r w:rsidRPr="002347E9">
        <w:rPr>
          <w:rFonts w:hint="eastAsia"/>
          <w:snapToGrid w:val="0"/>
          <w:lang w:val="en-CA"/>
        </w:rPr>
        <w:t xml:space="preserve">  </w:t>
      </w:r>
      <w:r w:rsidRPr="002347E9">
        <w:rPr>
          <w:rFonts w:hint="eastAsia"/>
          <w:snapToGrid w:val="0"/>
          <w:lang w:val="en-CA"/>
        </w:rPr>
        <w:t>在</w:t>
      </w:r>
      <w:r w:rsidRPr="002347E9">
        <w:rPr>
          <w:rFonts w:eastAsia="楷体"/>
          <w:iCs/>
          <w:snapToGrid w:val="0"/>
          <w:lang w:val="en-CA"/>
        </w:rPr>
        <w:t>挪威电信</w:t>
      </w:r>
      <w:r w:rsidRPr="002347E9">
        <w:rPr>
          <w:rFonts w:eastAsia="楷体" w:hint="eastAsia"/>
          <w:iCs/>
          <w:snapToGrid w:val="0"/>
          <w:lang w:val="en-CA"/>
        </w:rPr>
        <w:t>案</w:t>
      </w:r>
      <w:r w:rsidRPr="002347E9">
        <w:rPr>
          <w:rFonts w:hint="eastAsia"/>
          <w:iCs/>
          <w:snapToGrid w:val="0"/>
          <w:lang w:val="en-CA"/>
        </w:rPr>
        <w:t>中，</w:t>
      </w:r>
      <w:r w:rsidRPr="00953281">
        <w:rPr>
          <w:snapToGrid w:val="0"/>
          <w:w w:val="150"/>
          <w:vertAlign w:val="superscript"/>
          <w:lang w:val="en-CA"/>
        </w:rPr>
        <w:footnoteReference w:id="544"/>
      </w:r>
      <w:r w:rsidRPr="002347E9">
        <w:rPr>
          <w:snapToGrid w:val="0"/>
          <w:lang w:val="en-CA"/>
        </w:rPr>
        <w:t xml:space="preserve"> </w:t>
      </w:r>
      <w:r w:rsidRPr="002347E9">
        <w:rPr>
          <w:rFonts w:hint="eastAsia"/>
          <w:snapToGrid w:val="0"/>
          <w:lang w:val="en-CA"/>
        </w:rPr>
        <w:t>法庭以略微不同的方式看待缔约方的相关实践。鉴于匈牙利缔结了其他不限制仲裁范围的双边投资条约，法庭据此得出结论，匈牙利与挪威双边投资条约中对仲裁范围的限制是有意为之。因此，不能使用最惠国条款扩大仲裁范围。</w:t>
      </w:r>
    </w:p>
    <w:p w:rsidR="00F53060" w:rsidRPr="002347E9" w:rsidRDefault="00F53060" w:rsidP="00F53060">
      <w:pPr>
        <w:pStyle w:val="SingleTxt"/>
        <w:rPr>
          <w:snapToGrid w:val="0"/>
          <w:lang w:val="en-CA"/>
        </w:rPr>
      </w:pPr>
      <w:r w:rsidRPr="002347E9">
        <w:rPr>
          <w:snapToGrid w:val="0"/>
          <w:lang w:val="en-CA"/>
        </w:rPr>
        <w:t>121.</w:t>
      </w:r>
      <w:r w:rsidRPr="002347E9">
        <w:rPr>
          <w:rFonts w:hint="eastAsia"/>
          <w:snapToGrid w:val="0"/>
          <w:lang w:val="en-CA"/>
        </w:rPr>
        <w:t xml:space="preserve">  </w:t>
      </w:r>
      <w:r w:rsidRPr="002347E9">
        <w:rPr>
          <w:rFonts w:hint="eastAsia"/>
          <w:snapToGrid w:val="0"/>
          <w:lang w:val="en-CA"/>
        </w:rPr>
        <w:t>在</w:t>
      </w:r>
      <w:r w:rsidRPr="002347E9">
        <w:rPr>
          <w:rFonts w:eastAsia="楷体"/>
          <w:iCs/>
          <w:snapToGrid w:val="0"/>
          <w:lang w:val="en-CA"/>
        </w:rPr>
        <w:t>奥地利航空案</w:t>
      </w:r>
      <w:r w:rsidRPr="002347E9">
        <w:rPr>
          <w:rFonts w:hint="eastAsia"/>
          <w:iCs/>
          <w:snapToGrid w:val="0"/>
          <w:lang w:val="en-CA"/>
        </w:rPr>
        <w:t>中</w:t>
      </w:r>
      <w:r w:rsidRPr="002347E9">
        <w:rPr>
          <w:rFonts w:hint="eastAsia"/>
          <w:snapToGrid w:val="0"/>
          <w:lang w:val="en-CA"/>
        </w:rPr>
        <w:t>，</w:t>
      </w:r>
      <w:r w:rsidRPr="002347E9">
        <w:rPr>
          <w:rFonts w:ascii="宋体" w:hAnsi="宋体" w:cs="宋体" w:hint="eastAsia"/>
          <w:snapToGrid w:val="0"/>
          <w:lang w:val="en-CA"/>
        </w:rPr>
        <w:t>法庭借助斯洛伐克的其他缔约实践印证其结论。</w:t>
      </w:r>
      <w:r w:rsidRPr="00953281">
        <w:rPr>
          <w:snapToGrid w:val="0"/>
          <w:w w:val="150"/>
          <w:vertAlign w:val="superscript"/>
          <w:lang w:val="en-CA"/>
        </w:rPr>
        <w:footnoteReference w:id="545"/>
      </w:r>
      <w:r w:rsidRPr="002347E9">
        <w:rPr>
          <w:rFonts w:ascii="宋体" w:hAnsi="宋体" w:cs="宋体" w:hint="eastAsia"/>
          <w:snapToGrid w:val="0"/>
          <w:lang w:val="en-CA"/>
        </w:rPr>
        <w:t xml:space="preserve"> 与之相反，在</w:t>
      </w:r>
      <w:r w:rsidRPr="002347E9">
        <w:rPr>
          <w:rFonts w:eastAsia="楷体"/>
          <w:iCs/>
          <w:snapToGrid w:val="0"/>
          <w:lang w:val="en-CA"/>
        </w:rPr>
        <w:t>Renta</w:t>
      </w:r>
      <w:r w:rsidRPr="002347E9">
        <w:rPr>
          <w:rFonts w:eastAsia="楷体" w:hint="eastAsia"/>
          <w:iCs/>
          <w:snapToGrid w:val="0"/>
          <w:lang w:val="en-CA"/>
        </w:rPr>
        <w:t>案</w:t>
      </w:r>
      <w:r w:rsidRPr="002347E9">
        <w:rPr>
          <w:rFonts w:hint="eastAsia"/>
          <w:snapToGrid w:val="0"/>
          <w:lang w:val="en-CA"/>
        </w:rPr>
        <w:t>中，法庭拒绝考虑俄罗斯在其他双边投资条约中的做法，指出其裁决所依据的是本案所涉双边投资条约的案文，因此其他双边投资条约中的做法不能取代这份案文。</w:t>
      </w:r>
      <w:r w:rsidRPr="00953281">
        <w:rPr>
          <w:snapToGrid w:val="0"/>
          <w:w w:val="150"/>
          <w:vertAlign w:val="superscript"/>
          <w:lang w:val="en-CA"/>
        </w:rPr>
        <w:footnoteReference w:id="546"/>
      </w:r>
    </w:p>
    <w:p w:rsidR="00F53060" w:rsidRPr="002347E9" w:rsidRDefault="00F53060" w:rsidP="00530FC5">
      <w:pPr>
        <w:pStyle w:val="SingleTxt"/>
        <w:rPr>
          <w:snapToGrid w:val="0"/>
          <w:lang w:val="en-CA"/>
        </w:rPr>
      </w:pPr>
      <w:r w:rsidRPr="002347E9">
        <w:rPr>
          <w:snapToGrid w:val="0"/>
          <w:lang w:val="en-CA"/>
        </w:rPr>
        <w:t>122.</w:t>
      </w:r>
      <w:r w:rsidRPr="002347E9">
        <w:rPr>
          <w:rFonts w:hint="eastAsia"/>
          <w:snapToGrid w:val="0"/>
          <w:lang w:val="en-CA"/>
        </w:rPr>
        <w:t xml:space="preserve">  </w:t>
      </w:r>
      <w:r w:rsidRPr="002347E9">
        <w:rPr>
          <w:rFonts w:hint="eastAsia"/>
          <w:snapToGrid w:val="0"/>
          <w:lang w:val="en-CA"/>
        </w:rPr>
        <w:t>法庭只参考一国的嗣后实践有何法律依据，尚不清楚。这是依据《维也纳公约》解释条约的辅助手段，还是核实缔约双方、至少是被诉一方的含蓄意图的独立方式</w:t>
      </w:r>
      <w:r w:rsidR="00530FC5">
        <w:rPr>
          <w:rFonts w:hint="eastAsia"/>
          <w:snapToGrid w:val="0"/>
          <w:lang w:val="en-CA"/>
        </w:rPr>
        <w:t>？</w:t>
      </w:r>
      <w:r w:rsidRPr="002347E9">
        <w:rPr>
          <w:rFonts w:hint="eastAsia"/>
          <w:snapToGrid w:val="0"/>
          <w:lang w:val="en-CA"/>
        </w:rPr>
        <w:t>在</w:t>
      </w:r>
      <w:r w:rsidRPr="002347E9">
        <w:rPr>
          <w:rFonts w:eastAsia="楷体"/>
          <w:iCs/>
          <w:snapToGrid w:val="0"/>
          <w:lang w:val="en-CA"/>
        </w:rPr>
        <w:t>Plama</w:t>
      </w:r>
      <w:r w:rsidRPr="002347E9">
        <w:rPr>
          <w:rFonts w:eastAsia="楷体" w:hint="eastAsia"/>
          <w:iCs/>
          <w:snapToGrid w:val="0"/>
          <w:lang w:val="en-CA"/>
        </w:rPr>
        <w:t>案</w:t>
      </w:r>
      <w:r w:rsidRPr="002347E9">
        <w:rPr>
          <w:rFonts w:hint="eastAsia"/>
          <w:snapToGrid w:val="0"/>
          <w:lang w:val="en-CA"/>
        </w:rPr>
        <w:t>中，法庭指出：“</w:t>
      </w:r>
      <w:r w:rsidRPr="002347E9">
        <w:rPr>
          <w:rFonts w:hint="eastAsia"/>
          <w:snapToGrid w:val="0"/>
          <w:lang w:val="en-CA" w:bidi="en-US"/>
        </w:rPr>
        <w:t>为明确条约案文在缔约时的含义，确可考虑</w:t>
      </w:r>
      <w:r w:rsidRPr="002347E9">
        <w:rPr>
          <w:rFonts w:hint="eastAsia"/>
          <w:snapToGrid w:val="0"/>
          <w:lang w:val="en-CA"/>
        </w:rPr>
        <w:t>缔约一方与</w:t>
      </w:r>
      <w:r w:rsidRPr="002347E9">
        <w:rPr>
          <w:rFonts w:hint="eastAsia"/>
          <w:snapToGrid w:val="0"/>
          <w:lang w:val="en-CA" w:bidi="en-US"/>
        </w:rPr>
        <w:t>第三国之间的条约。</w:t>
      </w:r>
      <w:r w:rsidRPr="002347E9">
        <w:rPr>
          <w:rFonts w:hint="eastAsia"/>
          <w:snapToGrid w:val="0"/>
          <w:lang w:val="en-CA"/>
        </w:rPr>
        <w:t>”</w:t>
      </w:r>
      <w:r w:rsidRPr="00953281">
        <w:rPr>
          <w:snapToGrid w:val="0"/>
          <w:w w:val="150"/>
          <w:vertAlign w:val="superscript"/>
          <w:lang w:val="en-CA" w:bidi="en-US"/>
        </w:rPr>
        <w:footnoteReference w:id="547"/>
      </w:r>
      <w:r w:rsidRPr="002347E9">
        <w:rPr>
          <w:snapToGrid w:val="0"/>
          <w:lang w:val="en-CA" w:bidi="en-US"/>
        </w:rPr>
        <w:t xml:space="preserve"> </w:t>
      </w:r>
      <w:r w:rsidRPr="002347E9">
        <w:rPr>
          <w:rFonts w:hint="eastAsia"/>
          <w:snapToGrid w:val="0"/>
          <w:lang w:val="en-CA" w:bidi="en-US"/>
        </w:rPr>
        <w:t>然而，虽然法庭暗中遵循的也许是《维也纳条约法公约》第三十二条，但是法庭并未指出，它依据什么认为，一国与第三国缔结的条约关系到该国与另一国之间的条约的解释。</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530FC5" w:rsidRPr="00530FC5" w:rsidRDefault="00530FC5" w:rsidP="00530FC5">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五</w:t>
      </w:r>
      <w:r w:rsidRPr="002347E9">
        <w:rPr>
          <w:lang w:val="en-CA"/>
        </w:rPr>
        <w:t>)</w:t>
      </w:r>
      <w:r w:rsidRPr="002347E9">
        <w:rPr>
          <w:lang w:val="en-CA"/>
        </w:rPr>
        <w:tab/>
      </w:r>
      <w:r w:rsidRPr="002347E9">
        <w:rPr>
          <w:rFonts w:hint="eastAsia"/>
          <w:lang w:val="en-CA"/>
        </w:rPr>
        <w:t>确定缔约方意图的有关时间</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530FC5" w:rsidRPr="00530FC5" w:rsidRDefault="00530FC5" w:rsidP="00530FC5">
      <w:pPr>
        <w:pStyle w:val="SingleTxt"/>
        <w:spacing w:after="0" w:line="120" w:lineRule="exact"/>
        <w:rPr>
          <w:snapToGrid w:val="0"/>
          <w:sz w:val="10"/>
          <w:lang w:val="en-CA"/>
        </w:rPr>
      </w:pPr>
    </w:p>
    <w:p w:rsidR="00530FC5" w:rsidRDefault="00F53060" w:rsidP="00F53060">
      <w:pPr>
        <w:pStyle w:val="SingleTxt"/>
        <w:rPr>
          <w:rFonts w:ascii="宋体" w:hAnsi="宋体" w:cs="宋体"/>
          <w:snapToGrid w:val="0"/>
          <w:lang w:val="en-CA"/>
        </w:rPr>
      </w:pPr>
      <w:r w:rsidRPr="002347E9">
        <w:rPr>
          <w:snapToGrid w:val="0"/>
          <w:lang w:val="en-CA"/>
        </w:rPr>
        <w:t>123.</w:t>
      </w:r>
      <w:r w:rsidRPr="002347E9">
        <w:rPr>
          <w:rFonts w:hint="eastAsia"/>
          <w:snapToGrid w:val="0"/>
          <w:lang w:val="en-CA"/>
        </w:rPr>
        <w:t xml:space="preserve">  </w:t>
      </w:r>
      <w:r w:rsidRPr="002347E9">
        <w:rPr>
          <w:rFonts w:hint="eastAsia"/>
          <w:snapToGrid w:val="0"/>
          <w:lang w:val="en-CA"/>
        </w:rPr>
        <w:t>大多数法庭没有考虑应该按什么时间确定双边投资条约缔约双方的意图。不过，在</w:t>
      </w:r>
      <w:r w:rsidRPr="002347E9">
        <w:rPr>
          <w:rFonts w:eastAsia="楷体"/>
          <w:iCs/>
          <w:snapToGrid w:val="0"/>
          <w:lang w:val="en-CA"/>
        </w:rPr>
        <w:t>ICS</w:t>
      </w:r>
      <w:r w:rsidRPr="002347E9">
        <w:rPr>
          <w:rFonts w:eastAsia="楷体" w:hint="eastAsia"/>
          <w:iCs/>
          <w:snapToGrid w:val="0"/>
          <w:lang w:val="en-CA"/>
        </w:rPr>
        <w:t>案</w:t>
      </w:r>
      <w:r w:rsidRPr="002347E9">
        <w:rPr>
          <w:rFonts w:hint="eastAsia"/>
          <w:snapToGrid w:val="0"/>
          <w:lang w:val="en-CA"/>
        </w:rPr>
        <w:t>中，法庭专门论及这一问题，指出有关时间是缔约之时，并依据当时的含义解释了“待遇”一词。</w:t>
      </w:r>
      <w:r w:rsidRPr="00953281">
        <w:rPr>
          <w:snapToGrid w:val="0"/>
          <w:w w:val="150"/>
          <w:vertAlign w:val="superscript"/>
          <w:lang w:val="en-CA"/>
        </w:rPr>
        <w:footnoteReference w:id="548"/>
      </w:r>
      <w:r w:rsidRPr="002347E9">
        <w:rPr>
          <w:snapToGrid w:val="0"/>
          <w:lang w:val="en-CA"/>
        </w:rPr>
        <w:t xml:space="preserve"> </w:t>
      </w:r>
      <w:r w:rsidRPr="002347E9">
        <w:rPr>
          <w:rFonts w:hint="eastAsia"/>
          <w:snapToGrid w:val="0"/>
          <w:lang w:val="en-CA"/>
        </w:rPr>
        <w:t>据法庭称，必须运用条约解释中的“同期”原则。尽管没有任何法庭对这一立场明确表示异议，但是在</w:t>
      </w:r>
      <w:r w:rsidRPr="002347E9">
        <w:rPr>
          <w:rFonts w:eastAsia="楷体"/>
          <w:iCs/>
          <w:snapToGrid w:val="0"/>
          <w:lang w:val="en-CA"/>
        </w:rPr>
        <w:t>ICS</w:t>
      </w:r>
      <w:r w:rsidRPr="002347E9">
        <w:rPr>
          <w:rFonts w:eastAsia="楷体" w:hint="eastAsia"/>
          <w:iCs/>
          <w:snapToGrid w:val="0"/>
          <w:lang w:val="en-CA"/>
        </w:rPr>
        <w:t>案</w:t>
      </w:r>
      <w:r w:rsidRPr="002347E9">
        <w:rPr>
          <w:rFonts w:hint="eastAsia"/>
          <w:iCs/>
          <w:snapToGrid w:val="0"/>
          <w:lang w:val="en-CA"/>
        </w:rPr>
        <w:t>之前，</w:t>
      </w:r>
      <w:r w:rsidRPr="002347E9">
        <w:rPr>
          <w:rFonts w:ascii="宋体" w:hAnsi="宋体" w:cs="宋体" w:hint="eastAsia"/>
          <w:snapToGrid w:val="0"/>
          <w:lang w:val="en-CA"/>
        </w:rPr>
        <w:t>法庭从未明确考虑过最惠国条款在</w:t>
      </w:r>
      <w:r w:rsidRPr="002347E9">
        <w:rPr>
          <w:rFonts w:hint="eastAsia"/>
          <w:snapToGrid w:val="0"/>
          <w:lang w:val="en-CA"/>
        </w:rPr>
        <w:t>缔约时</w:t>
      </w:r>
      <w:r w:rsidRPr="002347E9">
        <w:rPr>
          <w:rFonts w:ascii="宋体" w:hAnsi="宋体" w:cs="宋体" w:hint="eastAsia"/>
          <w:snapToGrid w:val="0"/>
          <w:lang w:val="en-CA"/>
        </w:rPr>
        <w:t>的含义</w:t>
      </w:r>
      <w:r w:rsidRPr="002347E9">
        <w:rPr>
          <w:rFonts w:hint="eastAsia"/>
          <w:snapToGrid w:val="0"/>
          <w:lang w:val="en-CA"/>
        </w:rPr>
        <w:t>。法庭考虑了条约拟定前的准备工作，但是由于准备工作文件中没有任何暗示，所以法庭在解释</w:t>
      </w:r>
      <w:r w:rsidRPr="002347E9">
        <w:rPr>
          <w:rFonts w:ascii="宋体" w:hAnsi="宋体" w:cs="宋体" w:hint="eastAsia"/>
          <w:snapToGrid w:val="0"/>
          <w:lang w:val="en-CA"/>
        </w:rPr>
        <w:t>最惠国条款时没有说明是按当时的含义还是按当代的含义加以解释。</w:t>
      </w:r>
    </w:p>
    <w:p w:rsidR="00530FC5" w:rsidRDefault="00530FC5">
      <w:pPr>
        <w:spacing w:line="240" w:lineRule="auto"/>
        <w:jc w:val="left"/>
        <w:rPr>
          <w:rFonts w:ascii="宋体" w:hAnsi="宋体" w:cs="宋体"/>
          <w:snapToGrid w:val="0"/>
          <w:lang w:val="en-CA"/>
        </w:rPr>
      </w:pPr>
      <w:r>
        <w:rPr>
          <w:rFonts w:ascii="宋体" w:hAnsi="宋体" w:cs="宋体"/>
          <w:snapToGrid w:val="0"/>
          <w:lang w:val="en-CA"/>
        </w:rPr>
        <w:br w:type="page"/>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六</w:t>
      </w:r>
      <w:r w:rsidRPr="002347E9">
        <w:rPr>
          <w:lang w:val="en-CA"/>
        </w:rPr>
        <w:t>)</w:t>
      </w:r>
      <w:r w:rsidRPr="002347E9">
        <w:rPr>
          <w:lang w:val="en-CA"/>
        </w:rPr>
        <w:tab/>
      </w:r>
      <w:r w:rsidRPr="002347E9">
        <w:rPr>
          <w:rFonts w:hint="eastAsia"/>
          <w:lang w:val="en-CA"/>
        </w:rPr>
        <w:t>通过援引最惠国条款改变的条款内容</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530FC5" w:rsidRPr="00530FC5" w:rsidRDefault="00530FC5" w:rsidP="00530FC5">
      <w:pPr>
        <w:pStyle w:val="SingleTxt"/>
        <w:spacing w:after="0" w:line="120" w:lineRule="exact"/>
        <w:rPr>
          <w:snapToGrid w:val="0"/>
          <w:sz w:val="10"/>
          <w:lang w:val="en-CA"/>
        </w:rPr>
      </w:pPr>
    </w:p>
    <w:p w:rsidR="00F53060" w:rsidRPr="002347E9" w:rsidRDefault="00F53060" w:rsidP="00F53060">
      <w:pPr>
        <w:pStyle w:val="SingleTxt"/>
        <w:rPr>
          <w:snapToGrid w:val="0"/>
          <w:lang w:val="en-CA"/>
        </w:rPr>
      </w:pPr>
      <w:r w:rsidRPr="002347E9">
        <w:rPr>
          <w:snapToGrid w:val="0"/>
          <w:lang w:val="en-CA"/>
        </w:rPr>
        <w:t>124.</w:t>
      </w:r>
      <w:r w:rsidRPr="002347E9">
        <w:rPr>
          <w:rFonts w:hint="eastAsia"/>
          <w:snapToGrid w:val="0"/>
          <w:lang w:val="en-CA"/>
        </w:rPr>
        <w:t xml:space="preserve">  </w:t>
      </w:r>
      <w:r w:rsidRPr="002347E9">
        <w:rPr>
          <w:rFonts w:hint="eastAsia"/>
          <w:snapToGrid w:val="0"/>
          <w:lang w:val="en-CA"/>
        </w:rPr>
        <w:t>有这样一个问题：将受到影响的基础条约的条款内容是否对法院允许援引最惠国条款的意愿造成影响。在这方面，值得一提的是，迄今为止成功援引了最惠国条款的</w:t>
      </w:r>
      <w:r w:rsidRPr="002347E9">
        <w:rPr>
          <w:snapToGrid w:val="0"/>
          <w:lang w:val="en-CA"/>
        </w:rPr>
        <w:t>18</w:t>
      </w:r>
      <w:r w:rsidRPr="002347E9">
        <w:rPr>
          <w:rFonts w:hint="eastAsia"/>
          <w:snapToGrid w:val="0"/>
          <w:lang w:val="en-CA"/>
        </w:rPr>
        <w:t>个案件中，</w:t>
      </w:r>
      <w:r w:rsidRPr="002347E9">
        <w:rPr>
          <w:snapToGrid w:val="0"/>
          <w:lang w:val="en-CA"/>
        </w:rPr>
        <w:t>12</w:t>
      </w:r>
      <w:r w:rsidRPr="002347E9">
        <w:rPr>
          <w:rFonts w:hint="eastAsia"/>
          <w:snapToGrid w:val="0"/>
          <w:lang w:val="en-CA"/>
        </w:rPr>
        <w:t>个案件涉及同一项规定，即在诉诸双边投资条约的</w:t>
      </w:r>
      <w:r w:rsidRPr="002347E9">
        <w:rPr>
          <w:rFonts w:ascii="宋体" w:hAnsi="宋体" w:cs="宋体" w:hint="eastAsia"/>
          <w:snapToGrid w:val="0"/>
          <w:lang w:val="en-CA"/>
        </w:rPr>
        <w:t>争端解决机制前，有义务</w:t>
      </w:r>
      <w:r w:rsidRPr="002347E9">
        <w:rPr>
          <w:rFonts w:hint="eastAsia"/>
          <w:snapToGrid w:val="0"/>
          <w:lang w:val="en-CA"/>
        </w:rPr>
        <w:t>向国内法庭起诉且诉讼须满</w:t>
      </w:r>
      <w:r w:rsidRPr="002347E9">
        <w:rPr>
          <w:rFonts w:hint="eastAsia"/>
          <w:snapToGrid w:val="0"/>
          <w:lang w:val="en-CA"/>
        </w:rPr>
        <w:t>18</w:t>
      </w:r>
      <w:r w:rsidRPr="002347E9">
        <w:rPr>
          <w:rFonts w:hint="eastAsia"/>
          <w:snapToGrid w:val="0"/>
          <w:lang w:val="en-CA"/>
        </w:rPr>
        <w:t>个月。每个案件中，</w:t>
      </w:r>
      <w:r w:rsidRPr="002347E9">
        <w:rPr>
          <w:rFonts w:ascii="宋体" w:hAnsi="宋体" w:cs="宋体" w:hint="eastAsia"/>
          <w:snapToGrid w:val="0"/>
          <w:lang w:val="en-CA"/>
        </w:rPr>
        <w:t>最惠国条款的作用都是</w:t>
      </w:r>
      <w:r w:rsidRPr="002347E9">
        <w:rPr>
          <w:rFonts w:hint="eastAsia"/>
          <w:snapToGrid w:val="0"/>
          <w:lang w:val="en-CA"/>
        </w:rPr>
        <w:t>解除原告方在国内诉讼满</w:t>
      </w:r>
      <w:r w:rsidRPr="002347E9">
        <w:rPr>
          <w:rFonts w:hint="eastAsia"/>
          <w:snapToGrid w:val="0"/>
          <w:lang w:val="en-CA"/>
        </w:rPr>
        <w:t>18</w:t>
      </w:r>
      <w:r w:rsidRPr="002347E9">
        <w:rPr>
          <w:rFonts w:hint="eastAsia"/>
          <w:snapToGrid w:val="0"/>
          <w:lang w:val="en-CA"/>
        </w:rPr>
        <w:t>个月的义务。这些案件涉及阿根廷分别与德国、西班牙和联合王国签署的双边投资条约。尽管</w:t>
      </w:r>
      <w:r w:rsidRPr="002347E9">
        <w:rPr>
          <w:rFonts w:hint="eastAsia"/>
          <w:snapToGrid w:val="0"/>
          <w:lang w:val="en-CA"/>
        </w:rPr>
        <w:t>18</w:t>
      </w:r>
      <w:r w:rsidRPr="002347E9">
        <w:rPr>
          <w:rFonts w:hint="eastAsia"/>
          <w:snapToGrid w:val="0"/>
          <w:lang w:val="en-CA"/>
        </w:rPr>
        <w:t>个月诉讼期要求的实质效果相同，但是援引的</w:t>
      </w:r>
      <w:r w:rsidRPr="002347E9">
        <w:rPr>
          <w:rFonts w:ascii="宋体" w:hAnsi="宋体" w:cs="宋体" w:hint="eastAsia"/>
          <w:snapToGrid w:val="0"/>
          <w:lang w:val="en-CA"/>
        </w:rPr>
        <w:t>最惠国条款的措辞并不一致。</w:t>
      </w:r>
    </w:p>
    <w:p w:rsidR="00F53060" w:rsidRPr="002347E9" w:rsidRDefault="00F53060" w:rsidP="00F53060">
      <w:pPr>
        <w:pStyle w:val="SingleTxt"/>
        <w:rPr>
          <w:snapToGrid w:val="0"/>
          <w:lang w:val="en-CA"/>
        </w:rPr>
      </w:pPr>
      <w:r w:rsidRPr="002347E9">
        <w:rPr>
          <w:snapToGrid w:val="0"/>
          <w:lang w:val="en-CA"/>
        </w:rPr>
        <w:t>125.</w:t>
      </w:r>
      <w:r w:rsidRPr="002347E9">
        <w:rPr>
          <w:rFonts w:hint="eastAsia"/>
          <w:snapToGrid w:val="0"/>
          <w:lang w:val="en-CA"/>
        </w:rPr>
        <w:t xml:space="preserve">  </w:t>
      </w:r>
      <w:r w:rsidRPr="002347E9">
        <w:rPr>
          <w:rFonts w:eastAsia="楷体"/>
          <w:iCs/>
          <w:snapToGrid w:val="0"/>
          <w:lang w:val="en-CA"/>
        </w:rPr>
        <w:t>Plama</w:t>
      </w:r>
      <w:r w:rsidRPr="002347E9">
        <w:rPr>
          <w:rFonts w:eastAsia="楷体" w:hint="eastAsia"/>
          <w:iCs/>
          <w:snapToGrid w:val="0"/>
          <w:lang w:val="en-CA"/>
        </w:rPr>
        <w:t>案</w:t>
      </w:r>
      <w:r w:rsidRPr="002347E9">
        <w:rPr>
          <w:rFonts w:hint="eastAsia"/>
          <w:iCs/>
          <w:snapToGrid w:val="0"/>
          <w:lang w:val="en-CA"/>
        </w:rPr>
        <w:t>暗示了这样的观点：</w:t>
      </w:r>
      <w:r w:rsidRPr="002347E9">
        <w:rPr>
          <w:rFonts w:hint="eastAsia"/>
          <w:snapToGrid w:val="0"/>
          <w:lang w:val="en-CA"/>
        </w:rPr>
        <w:t>基础条约条款的性质有可能影响裁决结果；该法庭</w:t>
      </w:r>
      <w:r w:rsidRPr="002347E9">
        <w:rPr>
          <w:snapToGrid w:val="0"/>
          <w:lang w:val="en-CA"/>
        </w:rPr>
        <w:t>(</w:t>
      </w:r>
      <w:r w:rsidRPr="002347E9">
        <w:rPr>
          <w:rFonts w:hint="eastAsia"/>
          <w:snapToGrid w:val="0"/>
          <w:lang w:val="en-CA"/>
        </w:rPr>
        <w:t>审理的事项不是国内诉讼满</w:t>
      </w:r>
      <w:r w:rsidRPr="002347E9">
        <w:rPr>
          <w:rFonts w:hint="eastAsia"/>
          <w:snapToGrid w:val="0"/>
          <w:lang w:val="en-CA"/>
        </w:rPr>
        <w:t>18</w:t>
      </w:r>
      <w:r w:rsidRPr="002347E9">
        <w:rPr>
          <w:rFonts w:hint="eastAsia"/>
          <w:snapToGrid w:val="0"/>
          <w:lang w:val="en-CA"/>
        </w:rPr>
        <w:t>个月的要求</w:t>
      </w:r>
      <w:r w:rsidRPr="002347E9">
        <w:rPr>
          <w:snapToGrid w:val="0"/>
          <w:lang w:val="en-CA"/>
        </w:rPr>
        <w:t>)</w:t>
      </w:r>
      <w:r w:rsidRPr="002347E9">
        <w:rPr>
          <w:rFonts w:hint="eastAsia"/>
          <w:snapToGrid w:val="0"/>
          <w:lang w:val="en-CA"/>
        </w:rPr>
        <w:t>指出，</w:t>
      </w:r>
      <w:r w:rsidRPr="002347E9">
        <w:rPr>
          <w:rFonts w:eastAsia="楷体"/>
          <w:iCs/>
          <w:snapToGrid w:val="0"/>
          <w:lang w:val="en-CA"/>
        </w:rPr>
        <w:t>马菲基尼</w:t>
      </w:r>
      <w:r w:rsidRPr="002347E9">
        <w:rPr>
          <w:rFonts w:eastAsia="楷体" w:hint="eastAsia"/>
          <w:iCs/>
          <w:snapToGrid w:val="0"/>
          <w:lang w:val="en-CA"/>
        </w:rPr>
        <w:t>案</w:t>
      </w:r>
      <w:r w:rsidRPr="002347E9">
        <w:rPr>
          <w:rFonts w:hint="eastAsia"/>
          <w:snapToGrid w:val="0"/>
          <w:lang w:val="en-CA"/>
        </w:rPr>
        <w:t>的裁决“可以理解”，因为此裁决试图让一项“从实践角度来看毫无意义”的规定失效。</w:t>
      </w:r>
      <w:r w:rsidRPr="00953281">
        <w:rPr>
          <w:snapToGrid w:val="0"/>
          <w:w w:val="150"/>
          <w:vertAlign w:val="superscript"/>
          <w:lang w:val="en-CA"/>
        </w:rPr>
        <w:footnoteReference w:id="549"/>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rPr>
        <w:t>126.</w:t>
      </w:r>
      <w:r w:rsidRPr="002347E9">
        <w:rPr>
          <w:rFonts w:hint="eastAsia"/>
          <w:snapToGrid w:val="0"/>
          <w:lang w:val="en-CA"/>
        </w:rPr>
        <w:t xml:space="preserve">  </w:t>
      </w:r>
      <w:r w:rsidRPr="002347E9">
        <w:rPr>
          <w:rFonts w:hint="eastAsia"/>
          <w:snapToGrid w:val="0"/>
          <w:lang w:val="en-CA"/>
        </w:rPr>
        <w:t>在</w:t>
      </w:r>
      <w:r w:rsidRPr="002347E9">
        <w:rPr>
          <w:rFonts w:eastAsia="楷体"/>
          <w:iCs/>
          <w:snapToGrid w:val="0"/>
          <w:lang w:val="en-CA"/>
        </w:rPr>
        <w:t>阿巴克拉特</w:t>
      </w:r>
      <w:r w:rsidRPr="002347E9">
        <w:rPr>
          <w:rFonts w:eastAsia="楷体" w:hint="eastAsia"/>
          <w:iCs/>
          <w:snapToGrid w:val="0"/>
          <w:lang w:val="en-CA"/>
        </w:rPr>
        <w:t>(</w:t>
      </w:r>
      <w:r w:rsidRPr="002347E9">
        <w:rPr>
          <w:rFonts w:eastAsia="楷体"/>
          <w:iCs/>
          <w:snapToGrid w:val="0"/>
          <w:lang w:val="en-CA"/>
        </w:rPr>
        <w:t>Abaclat</w:t>
      </w:r>
      <w:r w:rsidRPr="002347E9">
        <w:rPr>
          <w:rFonts w:eastAsia="楷体" w:hint="eastAsia"/>
          <w:iCs/>
          <w:snapToGrid w:val="0"/>
          <w:lang w:val="en-CA"/>
        </w:rPr>
        <w:t>)</w:t>
      </w:r>
      <w:r w:rsidRPr="002347E9">
        <w:rPr>
          <w:rFonts w:ascii="宋体" w:eastAsia="楷体" w:hAnsi="宋体" w:cs="宋体" w:hint="eastAsia"/>
          <w:iCs/>
          <w:snapToGrid w:val="0"/>
          <w:lang w:val="en-CA"/>
        </w:rPr>
        <w:t>诉阿根廷案</w:t>
      </w:r>
      <w:r w:rsidRPr="002347E9">
        <w:rPr>
          <w:rFonts w:ascii="宋体" w:hAnsi="宋体" w:cs="宋体" w:hint="eastAsia"/>
          <w:iCs/>
          <w:snapToGrid w:val="0"/>
          <w:lang w:val="en-CA"/>
        </w:rPr>
        <w:t>中，</w:t>
      </w:r>
      <w:r w:rsidRPr="00953281">
        <w:rPr>
          <w:iCs/>
          <w:snapToGrid w:val="0"/>
          <w:w w:val="150"/>
          <w:vertAlign w:val="superscript"/>
          <w:lang w:val="en-CA"/>
        </w:rPr>
        <w:footnoteReference w:id="550"/>
      </w:r>
      <w:r w:rsidRPr="002347E9">
        <w:rPr>
          <w:snapToGrid w:val="0"/>
          <w:lang w:val="en-CA"/>
        </w:rPr>
        <w:t xml:space="preserve"> </w:t>
      </w:r>
      <w:r w:rsidRPr="002347E9">
        <w:rPr>
          <w:rFonts w:ascii="宋体" w:hAnsi="宋体" w:cs="宋体" w:hint="eastAsia"/>
          <w:snapToGrid w:val="0"/>
          <w:lang w:val="en-CA"/>
        </w:rPr>
        <w:t>法庭</w:t>
      </w:r>
      <w:r w:rsidRPr="002347E9">
        <w:rPr>
          <w:rFonts w:hint="eastAsia"/>
          <w:snapToGrid w:val="0"/>
          <w:lang w:val="en-CA"/>
        </w:rPr>
        <w:t>认为，投资者等候</w:t>
      </w:r>
      <w:r w:rsidRPr="002347E9">
        <w:rPr>
          <w:rFonts w:hint="eastAsia"/>
          <w:snapToGrid w:val="0"/>
          <w:lang w:val="en-CA"/>
        </w:rPr>
        <w:t>18</w:t>
      </w:r>
      <w:r w:rsidRPr="002347E9">
        <w:rPr>
          <w:rFonts w:hint="eastAsia"/>
          <w:snapToGrid w:val="0"/>
          <w:lang w:val="en-CA"/>
        </w:rPr>
        <w:t>个月才有权起诉的规定不符合双边投资条约中加快</w:t>
      </w:r>
      <w:r w:rsidRPr="002347E9">
        <w:rPr>
          <w:rFonts w:ascii="宋体" w:hAnsi="宋体" w:cs="宋体" w:hint="eastAsia"/>
          <w:snapToGrid w:val="0"/>
          <w:lang w:val="en-CA"/>
        </w:rPr>
        <w:t>解决争端</w:t>
      </w:r>
      <w:r w:rsidRPr="002347E9">
        <w:rPr>
          <w:rFonts w:hint="eastAsia"/>
          <w:snapToGrid w:val="0"/>
          <w:lang w:val="en-CA"/>
        </w:rPr>
        <w:t>的明示目标，因此原告不必理会。然而，</w:t>
      </w:r>
      <w:r w:rsidRPr="002347E9">
        <w:rPr>
          <w:rFonts w:eastAsia="楷体"/>
          <w:iCs/>
          <w:snapToGrid w:val="0"/>
          <w:lang w:val="en-CA"/>
        </w:rPr>
        <w:t>ICS</w:t>
      </w:r>
      <w:r w:rsidRPr="002347E9">
        <w:rPr>
          <w:rFonts w:ascii="宋体" w:eastAsia="楷体" w:hAnsi="宋体" w:cs="宋体" w:hint="eastAsia"/>
          <w:iCs/>
          <w:snapToGrid w:val="0"/>
          <w:lang w:val="en-CA"/>
        </w:rPr>
        <w:t>诉阿根廷案</w:t>
      </w:r>
      <w:r w:rsidRPr="002347E9">
        <w:rPr>
          <w:rFonts w:hint="eastAsia"/>
          <w:iCs/>
          <w:snapToGrid w:val="0"/>
          <w:lang w:val="en-CA"/>
        </w:rPr>
        <w:t>法庭拒绝接受这一观点</w:t>
      </w:r>
      <w:r w:rsidRPr="002347E9">
        <w:rPr>
          <w:rFonts w:hint="eastAsia"/>
          <w:snapToGrid w:val="0"/>
          <w:lang w:val="en-CA"/>
        </w:rPr>
        <w:t>。</w:t>
      </w:r>
      <w:r w:rsidRPr="002347E9">
        <w:rPr>
          <w:rFonts w:eastAsia="楷体"/>
          <w:iCs/>
          <w:snapToGrid w:val="0"/>
          <w:lang w:val="en-CA"/>
        </w:rPr>
        <w:t>ICS</w:t>
      </w:r>
      <w:r w:rsidRPr="002347E9">
        <w:rPr>
          <w:rFonts w:ascii="宋体" w:eastAsia="楷体" w:hAnsi="宋体" w:cs="宋体" w:hint="eastAsia"/>
          <w:iCs/>
          <w:snapToGrid w:val="0"/>
          <w:lang w:val="en-CA"/>
        </w:rPr>
        <w:t>案</w:t>
      </w:r>
      <w:r w:rsidRPr="002347E9">
        <w:rPr>
          <w:rFonts w:ascii="宋体" w:hAnsi="宋体" w:cs="宋体" w:hint="eastAsia"/>
          <w:snapToGrid w:val="0"/>
          <w:lang w:val="en-CA"/>
        </w:rPr>
        <w:t>法庭指出，法庭不能“仅仅依据对有关政策是否明智的评估，而对条约规则提出例外。”</w:t>
      </w:r>
      <w:r w:rsidRPr="00953281">
        <w:rPr>
          <w:snapToGrid w:val="0"/>
          <w:w w:val="150"/>
          <w:vertAlign w:val="superscript"/>
          <w:lang w:val="en-CA"/>
        </w:rPr>
        <w:footnoteReference w:id="551"/>
      </w:r>
      <w:r w:rsidRPr="002347E9">
        <w:rPr>
          <w:snapToGrid w:val="0"/>
          <w:lang w:val="en-CA"/>
        </w:rPr>
        <w:t xml:space="preserve"> </w:t>
      </w:r>
    </w:p>
    <w:p w:rsidR="00F53060" w:rsidRPr="002347E9" w:rsidRDefault="00F53060" w:rsidP="00F53060">
      <w:pPr>
        <w:pStyle w:val="SingleTxt"/>
        <w:rPr>
          <w:snapToGrid w:val="0"/>
          <w:lang w:val="en-CA"/>
        </w:rPr>
      </w:pPr>
      <w:r w:rsidRPr="002347E9">
        <w:rPr>
          <w:snapToGrid w:val="0"/>
          <w:lang w:val="en-CA"/>
        </w:rPr>
        <w:t>127.</w:t>
      </w:r>
      <w:r w:rsidRPr="002347E9">
        <w:rPr>
          <w:rFonts w:hint="eastAsia"/>
          <w:snapToGrid w:val="0"/>
          <w:lang w:val="en-CA"/>
        </w:rPr>
        <w:t xml:space="preserve">  </w:t>
      </w:r>
      <w:r w:rsidRPr="002347E9">
        <w:rPr>
          <w:rFonts w:hint="eastAsia"/>
          <w:snapToGrid w:val="0"/>
          <w:lang w:val="en-CA"/>
        </w:rPr>
        <w:t>利用最惠国条款绕过</w:t>
      </w:r>
      <w:r w:rsidRPr="002347E9">
        <w:rPr>
          <w:rFonts w:hint="eastAsia"/>
          <w:snapToGrid w:val="0"/>
          <w:lang w:val="en-CA"/>
        </w:rPr>
        <w:t>18</w:t>
      </w:r>
      <w:r w:rsidRPr="002347E9">
        <w:rPr>
          <w:rFonts w:hint="eastAsia"/>
          <w:snapToGrid w:val="0"/>
          <w:lang w:val="en-CA"/>
        </w:rPr>
        <w:t>个月的延时诉讼期，增加其他类型</w:t>
      </w:r>
      <w:r w:rsidRPr="002347E9">
        <w:rPr>
          <w:rFonts w:ascii="宋体" w:hAnsi="宋体" w:cs="宋体" w:hint="eastAsia"/>
          <w:snapToGrid w:val="0"/>
          <w:lang w:val="en-CA"/>
        </w:rPr>
        <w:t>争端解决规定的尝试大都以失败告终</w:t>
      </w:r>
      <w:r w:rsidRPr="002347E9">
        <w:rPr>
          <w:rFonts w:hint="eastAsia"/>
          <w:snapToGrid w:val="0"/>
          <w:lang w:val="en-CA"/>
        </w:rPr>
        <w:t>。在</w:t>
      </w:r>
      <w:r w:rsidRPr="002347E9">
        <w:rPr>
          <w:rFonts w:eastAsia="楷体"/>
          <w:iCs/>
          <w:snapToGrid w:val="0"/>
          <w:lang w:val="en-CA"/>
        </w:rPr>
        <w:t>萨利尼</w:t>
      </w:r>
      <w:r w:rsidRPr="002347E9">
        <w:rPr>
          <w:rFonts w:eastAsia="楷体" w:hint="eastAsia"/>
          <w:iCs/>
          <w:snapToGrid w:val="0"/>
          <w:lang w:val="en-CA"/>
        </w:rPr>
        <w:t>案</w:t>
      </w:r>
      <w:r w:rsidRPr="002347E9">
        <w:rPr>
          <w:rFonts w:hint="eastAsia"/>
          <w:snapToGrid w:val="0"/>
          <w:lang w:val="en-CA"/>
        </w:rPr>
        <w:t>中，援引</w:t>
      </w:r>
      <w:r w:rsidRPr="002347E9">
        <w:rPr>
          <w:rFonts w:ascii="宋体" w:hAnsi="宋体" w:cs="宋体" w:hint="eastAsia"/>
          <w:snapToGrid w:val="0"/>
          <w:lang w:val="en-CA"/>
        </w:rPr>
        <w:t>最惠国条款</w:t>
      </w:r>
      <w:r w:rsidRPr="002347E9">
        <w:rPr>
          <w:rFonts w:hint="eastAsia"/>
          <w:snapToGrid w:val="0"/>
          <w:lang w:val="en-CA"/>
        </w:rPr>
        <w:t>的目的是改变合同</w:t>
      </w:r>
      <w:r w:rsidRPr="002347E9">
        <w:rPr>
          <w:rFonts w:ascii="宋体" w:hAnsi="宋体" w:cs="宋体" w:hint="eastAsia"/>
          <w:snapToGrid w:val="0"/>
          <w:lang w:val="en-CA"/>
        </w:rPr>
        <w:t>争端的解决程序</w:t>
      </w:r>
      <w:r w:rsidRPr="002347E9">
        <w:rPr>
          <w:rFonts w:hint="eastAsia"/>
          <w:snapToGrid w:val="0"/>
          <w:lang w:val="en-CA"/>
        </w:rPr>
        <w:t>。在</w:t>
      </w:r>
      <w:r w:rsidRPr="002347E9">
        <w:rPr>
          <w:rFonts w:eastAsia="楷体"/>
          <w:iCs/>
          <w:snapToGrid w:val="0"/>
          <w:lang w:val="en-CA"/>
        </w:rPr>
        <w:t>Plama</w:t>
      </w:r>
      <w:r w:rsidRPr="002347E9">
        <w:rPr>
          <w:rFonts w:eastAsia="楷体" w:hint="eastAsia"/>
          <w:iCs/>
          <w:snapToGrid w:val="0"/>
          <w:lang w:val="en-CA"/>
        </w:rPr>
        <w:t>案</w:t>
      </w:r>
      <w:r w:rsidRPr="002347E9">
        <w:rPr>
          <w:rFonts w:hint="eastAsia"/>
          <w:snapToGrid w:val="0"/>
          <w:lang w:val="en-CA"/>
        </w:rPr>
        <w:t>中，</w:t>
      </w:r>
      <w:r w:rsidRPr="002347E9">
        <w:rPr>
          <w:rFonts w:ascii="宋体" w:hAnsi="宋体" w:cs="宋体" w:hint="eastAsia"/>
          <w:snapToGrid w:val="0"/>
          <w:lang w:val="en-CA"/>
        </w:rPr>
        <w:t>援引最惠国条款的目的是改变争端解决程序，从临时仲裁改为由国际投资争端解决中心仲裁。</w:t>
      </w:r>
      <w:r w:rsidRPr="002347E9">
        <w:rPr>
          <w:rFonts w:hint="eastAsia"/>
          <w:snapToGrid w:val="0"/>
          <w:lang w:val="en-CA"/>
        </w:rPr>
        <w:t>上述两案的原告都试图将一种仲裁形式改变为另一种仲裁形式，而两个</w:t>
      </w:r>
      <w:r w:rsidRPr="002347E9">
        <w:rPr>
          <w:rFonts w:ascii="宋体" w:hAnsi="宋体" w:cs="宋体" w:hint="eastAsia"/>
          <w:snapToGrid w:val="0"/>
          <w:lang w:val="en-CA"/>
        </w:rPr>
        <w:t>法庭均予以驳回。</w:t>
      </w:r>
    </w:p>
    <w:p w:rsidR="00F53060" w:rsidRPr="002347E9" w:rsidRDefault="00F53060" w:rsidP="00F53060">
      <w:pPr>
        <w:pStyle w:val="SingleTxt"/>
        <w:rPr>
          <w:snapToGrid w:val="0"/>
          <w:lang w:val="en-CA"/>
        </w:rPr>
      </w:pPr>
      <w:r w:rsidRPr="002347E9">
        <w:rPr>
          <w:snapToGrid w:val="0"/>
          <w:lang w:val="en-CA"/>
        </w:rPr>
        <w:t>128.</w:t>
      </w:r>
      <w:r w:rsidRPr="002347E9">
        <w:rPr>
          <w:rFonts w:hint="eastAsia"/>
          <w:snapToGrid w:val="0"/>
          <w:lang w:val="en-CA"/>
        </w:rPr>
        <w:t xml:space="preserve">  </w:t>
      </w:r>
      <w:r w:rsidRPr="002347E9">
        <w:rPr>
          <w:rFonts w:hint="eastAsia"/>
          <w:snapToGrid w:val="0"/>
          <w:lang w:val="en-CA"/>
        </w:rPr>
        <w:t>相反，有一个法庭允许原告</w:t>
      </w:r>
      <w:r w:rsidRPr="002347E9">
        <w:rPr>
          <w:rFonts w:ascii="宋体" w:hAnsi="宋体" w:cs="宋体" w:hint="eastAsia"/>
          <w:snapToGrid w:val="0"/>
          <w:lang w:val="en-CA"/>
        </w:rPr>
        <w:t>援引</w:t>
      </w:r>
      <w:r w:rsidRPr="002347E9">
        <w:rPr>
          <w:rFonts w:hint="eastAsia"/>
          <w:snapToGrid w:val="0"/>
          <w:lang w:val="en-CA"/>
        </w:rPr>
        <w:t>最惠国条款，以一种</w:t>
      </w:r>
      <w:r w:rsidRPr="002347E9">
        <w:rPr>
          <w:rFonts w:ascii="宋体" w:hAnsi="宋体" w:cs="宋体" w:hint="eastAsia"/>
          <w:snapToGrid w:val="0"/>
          <w:lang w:val="en-CA"/>
        </w:rPr>
        <w:t>争端解决方式取代另一种方式</w:t>
      </w:r>
      <w:r w:rsidRPr="002347E9">
        <w:rPr>
          <w:rFonts w:hint="eastAsia"/>
          <w:snapToGrid w:val="0"/>
          <w:lang w:val="en-CA"/>
        </w:rPr>
        <w:t>。在</w:t>
      </w:r>
      <w:r w:rsidRPr="002347E9">
        <w:rPr>
          <w:rFonts w:eastAsia="楷体"/>
          <w:iCs/>
          <w:snapToGrid w:val="0"/>
          <w:lang w:val="en-CA"/>
        </w:rPr>
        <w:t>Garanti Kos LLP</w:t>
      </w:r>
      <w:r w:rsidRPr="002347E9">
        <w:rPr>
          <w:rFonts w:eastAsia="楷体" w:hint="eastAsia"/>
          <w:iCs/>
          <w:snapToGrid w:val="0"/>
          <w:lang w:val="en-CA"/>
        </w:rPr>
        <w:t>诉土库曼斯坦案</w:t>
      </w:r>
      <w:r w:rsidRPr="002347E9">
        <w:rPr>
          <w:rFonts w:hint="eastAsia"/>
          <w:snapToGrid w:val="0"/>
          <w:lang w:val="en-CA"/>
        </w:rPr>
        <w:t>中，</w:t>
      </w:r>
      <w:r w:rsidRPr="00953281">
        <w:rPr>
          <w:snapToGrid w:val="0"/>
          <w:w w:val="150"/>
          <w:vertAlign w:val="superscript"/>
          <w:lang w:val="en-CA"/>
        </w:rPr>
        <w:footnoteReference w:id="552"/>
      </w:r>
      <w:r w:rsidRPr="002347E9">
        <w:rPr>
          <w:snapToGrid w:val="0"/>
          <w:lang w:val="en-CA"/>
        </w:rPr>
        <w:t xml:space="preserve"> </w:t>
      </w:r>
      <w:r w:rsidRPr="002347E9">
        <w:rPr>
          <w:rFonts w:ascii="宋体" w:hAnsi="宋体" w:cs="宋体" w:hint="eastAsia"/>
          <w:snapToGrid w:val="0"/>
          <w:lang w:val="en-CA"/>
        </w:rPr>
        <w:t>法庭</w:t>
      </w:r>
      <w:r w:rsidRPr="002347E9">
        <w:rPr>
          <w:rFonts w:hint="eastAsia"/>
          <w:snapToGrid w:val="0"/>
          <w:lang w:val="en-CA"/>
        </w:rPr>
        <w:t>裁决指出，虽然《联合王国与土库曼斯坦双边投资条约》规定，只有征得被告同意方可诉诸</w:t>
      </w:r>
      <w:r w:rsidRPr="002347E9">
        <w:rPr>
          <w:rFonts w:ascii="宋体" w:hAnsi="宋体" w:cs="宋体" w:hint="eastAsia"/>
          <w:snapToGrid w:val="0"/>
          <w:lang w:val="en-CA"/>
        </w:rPr>
        <w:t>国际投资争端解决中心</w:t>
      </w:r>
      <w:r w:rsidRPr="002347E9">
        <w:rPr>
          <w:rFonts w:hint="eastAsia"/>
          <w:snapToGrid w:val="0"/>
          <w:lang w:val="en-CA"/>
        </w:rPr>
        <w:t>，而被告没有同意；但是土库曼斯坦签署的其他双边投资条约中存在同意接受</w:t>
      </w:r>
      <w:r w:rsidRPr="002347E9">
        <w:rPr>
          <w:rFonts w:ascii="宋体" w:hAnsi="宋体" w:cs="宋体" w:hint="eastAsia"/>
          <w:snapToGrid w:val="0"/>
          <w:lang w:val="en-CA"/>
        </w:rPr>
        <w:t>国际投资争端解决中心仲裁的情况</w:t>
      </w:r>
      <w:r w:rsidRPr="002347E9">
        <w:rPr>
          <w:rFonts w:hint="eastAsia"/>
          <w:snapToGrid w:val="0"/>
          <w:lang w:val="en-CA"/>
        </w:rPr>
        <w:t>，可通过适用最惠国待遇纳入《联合王国与土库曼斯坦双边投资条约》。因此，原定的按照联合国国际贸易法委员会规则接受</w:t>
      </w:r>
      <w:r w:rsidRPr="002347E9">
        <w:rPr>
          <w:rFonts w:hint="eastAsia"/>
          <w:snapToGrid w:val="0"/>
          <w:lang w:val="en-CA"/>
        </w:rPr>
        <w:lastRenderedPageBreak/>
        <w:t>仲裁</w:t>
      </w:r>
      <w:r w:rsidRPr="002347E9">
        <w:rPr>
          <w:rFonts w:hint="eastAsia"/>
          <w:snapToGrid w:val="0"/>
          <w:lang w:val="en-CA"/>
        </w:rPr>
        <w:t>(</w:t>
      </w:r>
      <w:r w:rsidRPr="002347E9">
        <w:rPr>
          <w:rFonts w:hint="eastAsia"/>
          <w:snapToGrid w:val="0"/>
          <w:lang w:val="en-CA"/>
        </w:rPr>
        <w:t>《联合王国与土库曼斯坦双边投资条约》规定的在未就另一种争端解决方式达成一致时采取的备用办法</w:t>
      </w:r>
      <w:r w:rsidRPr="002347E9">
        <w:rPr>
          <w:rFonts w:hint="eastAsia"/>
          <w:snapToGrid w:val="0"/>
          <w:lang w:val="en-CA"/>
        </w:rPr>
        <w:t>)</w:t>
      </w:r>
      <w:r w:rsidRPr="002347E9">
        <w:rPr>
          <w:rFonts w:hint="eastAsia"/>
          <w:snapToGrid w:val="0"/>
          <w:lang w:val="en-CA"/>
        </w:rPr>
        <w:t>，经由最惠国条款改为接受</w:t>
      </w:r>
      <w:r w:rsidRPr="002347E9">
        <w:rPr>
          <w:rFonts w:ascii="宋体" w:hAnsi="宋体" w:cs="宋体" w:hint="eastAsia"/>
          <w:snapToGrid w:val="0"/>
          <w:lang w:val="en-CA"/>
        </w:rPr>
        <w:t>国际投资争端解决中心</w:t>
      </w:r>
      <w:r w:rsidRPr="002347E9">
        <w:rPr>
          <w:rFonts w:hint="eastAsia"/>
          <w:snapToGrid w:val="0"/>
          <w:lang w:val="en-CA"/>
        </w:rPr>
        <w:t>仲裁。</w:t>
      </w:r>
    </w:p>
    <w:p w:rsidR="00F53060" w:rsidRPr="002347E9" w:rsidRDefault="00F53060" w:rsidP="00F53060">
      <w:pPr>
        <w:pStyle w:val="SingleTxt"/>
        <w:rPr>
          <w:snapToGrid w:val="0"/>
          <w:lang w:val="en-CA"/>
        </w:rPr>
      </w:pPr>
      <w:r w:rsidRPr="002347E9">
        <w:rPr>
          <w:snapToGrid w:val="0"/>
          <w:lang w:val="en-CA"/>
        </w:rPr>
        <w:t>129.</w:t>
      </w:r>
      <w:r w:rsidRPr="002347E9">
        <w:rPr>
          <w:rFonts w:hint="eastAsia"/>
          <w:snapToGrid w:val="0"/>
          <w:lang w:val="en-CA"/>
        </w:rPr>
        <w:t xml:space="preserve">  </w:t>
      </w:r>
      <w:r w:rsidRPr="002347E9">
        <w:rPr>
          <w:rFonts w:hint="eastAsia"/>
          <w:snapToGrid w:val="0"/>
          <w:lang w:val="en-CA"/>
        </w:rPr>
        <w:t>然而，即使能够以</w:t>
      </w:r>
      <w:r w:rsidRPr="002347E9">
        <w:rPr>
          <w:rFonts w:hint="eastAsia"/>
          <w:snapToGrid w:val="0"/>
          <w:lang w:val="en-CA"/>
        </w:rPr>
        <w:t>18</w:t>
      </w:r>
      <w:r w:rsidRPr="002347E9">
        <w:rPr>
          <w:rFonts w:hint="eastAsia"/>
          <w:snapToGrid w:val="0"/>
          <w:lang w:val="en-CA"/>
        </w:rPr>
        <w:t>个月国内诉讼期的要求不重要为由，对涉及此规定的案件做出一些解释，但实际上，法庭推理依据的不是</w:t>
      </w:r>
      <w:r w:rsidRPr="002347E9">
        <w:rPr>
          <w:rFonts w:hint="eastAsia"/>
          <w:snapToGrid w:val="0"/>
          <w:lang w:val="en-CA"/>
        </w:rPr>
        <w:t>18</w:t>
      </w:r>
      <w:r w:rsidRPr="002347E9">
        <w:rPr>
          <w:rFonts w:hint="eastAsia"/>
          <w:snapToGrid w:val="0"/>
          <w:lang w:val="en-CA"/>
        </w:rPr>
        <w:t>个月国内诉讼期这项规定的相对重要程度。如上文所述，许多情况下，法庭推理依据的是这样一种假设：双边投资条约中的</w:t>
      </w:r>
      <w:r w:rsidRPr="002347E9">
        <w:rPr>
          <w:rFonts w:ascii="宋体" w:hAnsi="宋体" w:cs="宋体" w:hint="eastAsia"/>
          <w:snapToGrid w:val="0"/>
          <w:lang w:val="en-CA"/>
        </w:rPr>
        <w:t>最惠国条款</w:t>
      </w:r>
      <w:r w:rsidRPr="002347E9">
        <w:rPr>
          <w:rFonts w:hint="eastAsia"/>
          <w:snapToGrid w:val="0"/>
          <w:lang w:val="en-CA"/>
        </w:rPr>
        <w:t>天生就涵盖</w:t>
      </w:r>
      <w:r w:rsidRPr="002347E9">
        <w:rPr>
          <w:rFonts w:ascii="宋体" w:hAnsi="宋体" w:cs="宋体" w:hint="eastAsia"/>
          <w:snapToGrid w:val="0"/>
          <w:lang w:val="en-CA"/>
        </w:rPr>
        <w:t>争端解决事项。</w:t>
      </w:r>
    </w:p>
    <w:p w:rsidR="00F53060" w:rsidRPr="002347E9" w:rsidRDefault="00F53060" w:rsidP="00F53060">
      <w:pPr>
        <w:pStyle w:val="SingleTxt"/>
        <w:rPr>
          <w:snapToGrid w:val="0"/>
          <w:lang w:val="en-CA"/>
        </w:rPr>
      </w:pPr>
      <w:r w:rsidRPr="002347E9">
        <w:rPr>
          <w:snapToGrid w:val="0"/>
          <w:lang w:val="en-CA"/>
        </w:rPr>
        <w:t>130.</w:t>
      </w:r>
      <w:r w:rsidRPr="002347E9">
        <w:rPr>
          <w:rFonts w:hint="eastAsia"/>
          <w:snapToGrid w:val="0"/>
          <w:lang w:val="en-CA"/>
        </w:rPr>
        <w:t xml:space="preserve">  </w:t>
      </w:r>
      <w:r w:rsidRPr="002347E9">
        <w:rPr>
          <w:rFonts w:hint="eastAsia"/>
          <w:snapToGrid w:val="0"/>
          <w:lang w:val="en-CA"/>
        </w:rPr>
        <w:t>允许援引最惠国条款获得第三方条约规定的</w:t>
      </w:r>
      <w:r w:rsidRPr="002347E9">
        <w:rPr>
          <w:rFonts w:ascii="宋体" w:hAnsi="宋体" w:cs="宋体" w:hint="eastAsia"/>
          <w:snapToGrid w:val="0"/>
          <w:lang w:val="en-CA"/>
        </w:rPr>
        <w:t>好处的其他案件涉及实质性问题，而非程序性问题</w:t>
      </w:r>
      <w:r w:rsidRPr="002347E9">
        <w:rPr>
          <w:rFonts w:hint="eastAsia"/>
          <w:snapToGrid w:val="0"/>
          <w:lang w:val="en-CA"/>
        </w:rPr>
        <w:t>。在</w:t>
      </w:r>
      <w:r w:rsidRPr="002347E9">
        <w:rPr>
          <w:rFonts w:eastAsia="楷体"/>
          <w:iCs/>
          <w:snapToGrid w:val="0"/>
          <w:lang w:val="en-CA"/>
        </w:rPr>
        <w:t>罗斯投资公司</w:t>
      </w:r>
      <w:r w:rsidRPr="002347E9">
        <w:rPr>
          <w:rFonts w:eastAsia="楷体" w:hint="eastAsia"/>
          <w:iCs/>
          <w:snapToGrid w:val="0"/>
          <w:lang w:val="en-CA"/>
        </w:rPr>
        <w:t>案</w:t>
      </w:r>
      <w:r w:rsidRPr="002347E9">
        <w:rPr>
          <w:rFonts w:hint="eastAsia"/>
          <w:snapToGrid w:val="0"/>
          <w:lang w:val="en-CA"/>
        </w:rPr>
        <w:t>中，</w:t>
      </w:r>
      <w:r w:rsidRPr="002347E9">
        <w:rPr>
          <w:rFonts w:ascii="宋体" w:hAnsi="宋体" w:cs="宋体" w:hint="eastAsia"/>
          <w:snapToGrid w:val="0"/>
          <w:lang w:val="en-CA"/>
        </w:rPr>
        <w:t>法庭</w:t>
      </w:r>
      <w:r w:rsidRPr="002347E9">
        <w:rPr>
          <w:rFonts w:hint="eastAsia"/>
          <w:snapToGrid w:val="0"/>
          <w:lang w:val="en-CA"/>
        </w:rPr>
        <w:t>认为，依据《联合王国与苏联双边投资条约》中的</w:t>
      </w:r>
      <w:r w:rsidRPr="002347E9">
        <w:rPr>
          <w:rFonts w:ascii="宋体" w:hAnsi="宋体" w:cs="宋体" w:hint="eastAsia"/>
          <w:snapToGrid w:val="0"/>
          <w:lang w:val="en-CA"/>
        </w:rPr>
        <w:t>最惠国条款</w:t>
      </w:r>
      <w:r w:rsidRPr="002347E9">
        <w:rPr>
          <w:rFonts w:hint="eastAsia"/>
          <w:snapToGrid w:val="0"/>
          <w:lang w:val="en-CA"/>
        </w:rPr>
        <w:t>，法庭拥有对据控征用合法性的管辖权，而不是像《联合王国与苏联双边投资条约》规定的那样，仅拥有对赔偿事项这个更具体问题的管辖权。</w:t>
      </w:r>
    </w:p>
    <w:p w:rsidR="00F53060" w:rsidRPr="002347E9" w:rsidRDefault="00F53060" w:rsidP="00F53060">
      <w:pPr>
        <w:pStyle w:val="SingleTxt"/>
        <w:rPr>
          <w:snapToGrid w:val="0"/>
          <w:lang w:val="en-CA"/>
        </w:rPr>
      </w:pPr>
      <w:r w:rsidRPr="002347E9">
        <w:rPr>
          <w:snapToGrid w:val="0"/>
          <w:lang w:val="en-CA"/>
        </w:rPr>
        <w:t>131.</w:t>
      </w:r>
      <w:r w:rsidRPr="002347E9">
        <w:rPr>
          <w:rFonts w:hint="eastAsia"/>
          <w:snapToGrid w:val="0"/>
          <w:lang w:val="en-CA"/>
        </w:rPr>
        <w:t xml:space="preserve">  </w:t>
      </w:r>
      <w:r w:rsidRPr="002347E9">
        <w:rPr>
          <w:rFonts w:hint="eastAsia"/>
          <w:snapToGrid w:val="0"/>
          <w:lang w:val="en-CA"/>
        </w:rPr>
        <w:t>然而，两个法庭拒绝这样使用最惠国条款。在</w:t>
      </w:r>
      <w:r w:rsidRPr="002347E9">
        <w:rPr>
          <w:rFonts w:eastAsia="楷体"/>
          <w:iCs/>
          <w:snapToGrid w:val="0"/>
          <w:lang w:val="en-CA"/>
        </w:rPr>
        <w:t>Renta</w:t>
      </w:r>
      <w:r w:rsidRPr="002347E9">
        <w:rPr>
          <w:rFonts w:eastAsia="楷体" w:hint="eastAsia"/>
          <w:iCs/>
          <w:snapToGrid w:val="0"/>
          <w:lang w:val="en-CA"/>
        </w:rPr>
        <w:t>案</w:t>
      </w:r>
      <w:r w:rsidRPr="002347E9">
        <w:rPr>
          <w:rFonts w:hint="eastAsia"/>
          <w:snapToGrid w:val="0"/>
          <w:lang w:val="en-CA"/>
        </w:rPr>
        <w:t>中，法庭大多数成员不同意对《西班牙与俄罗斯双边投资条约》的最惠国条款做出允许就征用赔偿之外的事项适用最惠国条款的解释，因为他们认为，条约中的最惠国条款仅适用于给予公正和公平的待遇。</w:t>
      </w:r>
      <w:r w:rsidRPr="00953281">
        <w:rPr>
          <w:snapToGrid w:val="0"/>
          <w:w w:val="150"/>
          <w:vertAlign w:val="superscript"/>
          <w:lang w:val="en-CA"/>
        </w:rPr>
        <w:footnoteReference w:id="553"/>
      </w:r>
      <w:r w:rsidRPr="002347E9">
        <w:rPr>
          <w:rFonts w:hint="eastAsia"/>
          <w:snapToGrid w:val="0"/>
          <w:lang w:val="en-CA"/>
        </w:rPr>
        <w:t xml:space="preserve"> </w:t>
      </w:r>
      <w:r w:rsidRPr="002347E9">
        <w:rPr>
          <w:rFonts w:eastAsia="楷体"/>
          <w:iCs/>
          <w:snapToGrid w:val="0"/>
          <w:lang w:val="en-CA"/>
        </w:rPr>
        <w:t>奥地利航空</w:t>
      </w:r>
      <w:r w:rsidRPr="002347E9">
        <w:rPr>
          <w:iCs/>
          <w:snapToGrid w:val="0"/>
          <w:lang w:val="en-CA"/>
        </w:rPr>
        <w:t>案</w:t>
      </w:r>
      <w:r w:rsidRPr="002347E9">
        <w:rPr>
          <w:rFonts w:hint="eastAsia"/>
          <w:iCs/>
          <w:snapToGrid w:val="0"/>
          <w:lang w:val="en-CA"/>
        </w:rPr>
        <w:t>法庭同样认为，依据对</w:t>
      </w:r>
      <w:r w:rsidRPr="002347E9">
        <w:rPr>
          <w:rFonts w:hint="eastAsia"/>
          <w:snapToGrid w:val="0"/>
          <w:lang w:val="en-CA"/>
        </w:rPr>
        <w:t>最惠国条款</w:t>
      </w:r>
      <w:r w:rsidRPr="002347E9">
        <w:rPr>
          <w:rFonts w:hint="eastAsia"/>
          <w:snapToGrid w:val="0"/>
        </w:rPr>
        <w:t>的解释，</w:t>
      </w:r>
      <w:r w:rsidRPr="002347E9">
        <w:rPr>
          <w:rFonts w:hint="eastAsia"/>
          <w:snapToGrid w:val="0"/>
          <w:lang w:val="en-CA"/>
        </w:rPr>
        <w:t>最惠国条款只能明确给予发生征用时处理赔偿相关事项的管辖权，不能超出这一范围。</w:t>
      </w:r>
      <w:r w:rsidRPr="00953281">
        <w:rPr>
          <w:snapToGrid w:val="0"/>
          <w:w w:val="150"/>
          <w:vertAlign w:val="superscript"/>
          <w:lang w:val="en-CA"/>
        </w:rPr>
        <w:footnoteReference w:id="554"/>
      </w:r>
    </w:p>
    <w:p w:rsidR="00F53060" w:rsidRPr="002347E9" w:rsidRDefault="00F53060" w:rsidP="00F53060">
      <w:pPr>
        <w:pStyle w:val="SingleTxt"/>
        <w:rPr>
          <w:snapToGrid w:val="0"/>
          <w:lang w:val="en-CA"/>
        </w:rPr>
      </w:pPr>
      <w:r w:rsidRPr="002347E9">
        <w:rPr>
          <w:snapToGrid w:val="0"/>
          <w:lang w:val="en-CA"/>
        </w:rPr>
        <w:t>132.</w:t>
      </w:r>
      <w:r w:rsidRPr="002347E9">
        <w:rPr>
          <w:rFonts w:hint="eastAsia"/>
          <w:snapToGrid w:val="0"/>
          <w:lang w:val="en-CA"/>
        </w:rPr>
        <w:t xml:space="preserve">  </w:t>
      </w:r>
      <w:r w:rsidRPr="002347E9">
        <w:rPr>
          <w:rFonts w:hint="eastAsia"/>
          <w:snapToGrid w:val="0"/>
          <w:lang w:val="en-CA"/>
        </w:rPr>
        <w:t>在</w:t>
      </w:r>
      <w:r w:rsidRPr="002347E9">
        <w:rPr>
          <w:iCs/>
          <w:snapToGrid w:val="0"/>
          <w:lang w:val="en-CA"/>
        </w:rPr>
        <w:t>MTD</w:t>
      </w:r>
      <w:r w:rsidRPr="002347E9">
        <w:rPr>
          <w:rFonts w:hint="eastAsia"/>
          <w:iCs/>
          <w:snapToGrid w:val="0"/>
          <w:lang w:val="en-CA"/>
        </w:rPr>
        <w:t>案</w:t>
      </w:r>
      <w:r w:rsidRPr="002347E9">
        <w:rPr>
          <w:rFonts w:hint="eastAsia"/>
          <w:snapToGrid w:val="0"/>
          <w:lang w:val="en-CA"/>
        </w:rPr>
        <w:t>中，</w:t>
      </w:r>
      <w:r w:rsidRPr="002347E9">
        <w:rPr>
          <w:rFonts w:ascii="宋体" w:hAnsi="宋体" w:cs="宋体" w:hint="eastAsia"/>
          <w:snapToGrid w:val="0"/>
          <w:lang w:val="en-CA"/>
        </w:rPr>
        <w:t>法庭</w:t>
      </w:r>
      <w:r w:rsidRPr="002347E9">
        <w:rPr>
          <w:rFonts w:hint="eastAsia"/>
          <w:snapToGrid w:val="0"/>
          <w:lang w:val="en-CA"/>
        </w:rPr>
        <w:t>同意援引《智利与丹麦双边投资条约》和《智利与克罗地亚双边投资条约》中的公正和公平待遇，扩大《智利与马来西亚双边投资条约》规定的公正和公平待遇的范围。然而，虽然双方对于法庭这样做的影响没有完全达成一致意见，但似乎均未质疑法庭是否有这样做的权利。</w:t>
      </w:r>
      <w:r w:rsidRPr="00953281">
        <w:rPr>
          <w:snapToGrid w:val="0"/>
          <w:w w:val="150"/>
          <w:vertAlign w:val="superscript"/>
          <w:lang w:val="en-CA"/>
        </w:rPr>
        <w:footnoteReference w:id="555"/>
      </w:r>
    </w:p>
    <w:p w:rsidR="00F53060" w:rsidRPr="002347E9" w:rsidRDefault="00F53060" w:rsidP="00F53060">
      <w:pPr>
        <w:pStyle w:val="SingleTxt"/>
        <w:rPr>
          <w:snapToGrid w:val="0"/>
          <w:lang w:val="en-CA"/>
        </w:rPr>
      </w:pPr>
      <w:r w:rsidRPr="002347E9">
        <w:rPr>
          <w:snapToGrid w:val="0"/>
          <w:lang w:val="en-CA"/>
        </w:rPr>
        <w:t>133.</w:t>
      </w:r>
      <w:r w:rsidRPr="002347E9">
        <w:rPr>
          <w:rFonts w:hint="eastAsia"/>
          <w:snapToGrid w:val="0"/>
          <w:lang w:val="en-CA"/>
        </w:rPr>
        <w:t xml:space="preserve">  </w:t>
      </w:r>
      <w:r w:rsidRPr="002347E9">
        <w:rPr>
          <w:rFonts w:hint="eastAsia"/>
          <w:snapToGrid w:val="0"/>
          <w:lang w:val="en-CA"/>
        </w:rPr>
        <w:t>同样，在</w:t>
      </w:r>
      <w:r w:rsidRPr="002347E9">
        <w:rPr>
          <w:rFonts w:eastAsia="楷体"/>
          <w:iCs/>
          <w:snapToGrid w:val="0"/>
          <w:lang w:val="en-CA"/>
        </w:rPr>
        <w:t>Telsim</w:t>
      </w:r>
      <w:r w:rsidRPr="002347E9">
        <w:rPr>
          <w:rFonts w:eastAsia="楷体" w:hint="eastAsia"/>
          <w:iCs/>
          <w:snapToGrid w:val="0"/>
          <w:lang w:val="en-CA"/>
        </w:rPr>
        <w:t>案</w:t>
      </w:r>
      <w:r w:rsidRPr="002347E9">
        <w:rPr>
          <w:rFonts w:hint="eastAsia"/>
          <w:snapToGrid w:val="0"/>
          <w:lang w:val="en-CA"/>
        </w:rPr>
        <w:t>中，</w:t>
      </w:r>
      <w:r w:rsidRPr="00953281">
        <w:rPr>
          <w:snapToGrid w:val="0"/>
          <w:w w:val="150"/>
          <w:vertAlign w:val="superscript"/>
          <w:lang w:val="en-CA"/>
        </w:rPr>
        <w:footnoteReference w:id="556"/>
      </w:r>
      <w:r w:rsidRPr="002347E9">
        <w:rPr>
          <w:snapToGrid w:val="0"/>
          <w:lang w:val="en-CA"/>
        </w:rPr>
        <w:t xml:space="preserve"> </w:t>
      </w:r>
      <w:r w:rsidRPr="002347E9">
        <w:rPr>
          <w:rFonts w:hint="eastAsia"/>
          <w:snapToGrid w:val="0"/>
          <w:lang w:val="en-CA"/>
        </w:rPr>
        <w:t>缔约双方似乎商定，由于存在</w:t>
      </w:r>
      <w:r w:rsidRPr="002347E9">
        <w:rPr>
          <w:rFonts w:ascii="宋体" w:hAnsi="宋体" w:cs="宋体" w:hint="eastAsia"/>
          <w:snapToGrid w:val="0"/>
          <w:lang w:val="en-CA"/>
        </w:rPr>
        <w:t>最惠国条款，应参照公正和公平待遇在哈萨克斯坦缔结的其他双边投资条约中的含义，解释《土耳其与哈萨克斯坦双边投资条约》规定的公正和公平待遇。此外，在</w:t>
      </w:r>
      <w:r w:rsidRPr="002347E9">
        <w:rPr>
          <w:iCs/>
          <w:snapToGrid w:val="0"/>
          <w:lang w:val="en-CA"/>
        </w:rPr>
        <w:t>Bayindir</w:t>
      </w:r>
      <w:r w:rsidRPr="002347E9">
        <w:rPr>
          <w:rFonts w:hint="eastAsia"/>
          <w:snapToGrid w:val="0"/>
          <w:lang w:val="en-CA"/>
        </w:rPr>
        <w:t>案中，</w:t>
      </w:r>
      <w:r w:rsidRPr="00953281">
        <w:rPr>
          <w:snapToGrid w:val="0"/>
          <w:w w:val="150"/>
          <w:vertAlign w:val="superscript"/>
          <w:lang w:val="en-CA"/>
        </w:rPr>
        <w:footnoteReference w:id="557"/>
      </w:r>
      <w:r w:rsidRPr="002347E9">
        <w:rPr>
          <w:snapToGrid w:val="0"/>
          <w:lang w:val="en-CA"/>
        </w:rPr>
        <w:t xml:space="preserve"> </w:t>
      </w:r>
      <w:r w:rsidRPr="002347E9">
        <w:rPr>
          <w:rFonts w:hint="eastAsia"/>
          <w:snapToGrid w:val="0"/>
          <w:lang w:val="en-CA"/>
        </w:rPr>
        <w:t>没有人反对以下一般原则：由于存在</w:t>
      </w:r>
      <w:r w:rsidRPr="002347E9">
        <w:rPr>
          <w:rFonts w:ascii="宋体" w:hAnsi="宋体" w:cs="宋体" w:hint="eastAsia"/>
          <w:snapToGrid w:val="0"/>
          <w:lang w:val="en-CA"/>
        </w:rPr>
        <w:t>最惠国条款</w:t>
      </w:r>
      <w:r w:rsidRPr="002347E9">
        <w:rPr>
          <w:rFonts w:hint="eastAsia"/>
          <w:snapToGrid w:val="0"/>
          <w:lang w:val="en-CA"/>
        </w:rPr>
        <w:t>，必须参照巴基斯坦缔结的其他双</w:t>
      </w:r>
      <w:r w:rsidRPr="002347E9">
        <w:rPr>
          <w:rFonts w:hint="eastAsia"/>
          <w:snapToGrid w:val="0"/>
          <w:lang w:val="en-CA"/>
        </w:rPr>
        <w:lastRenderedPageBreak/>
        <w:t>边投资条约中关于公正和公平待遇的规定，确定《土耳其与巴基斯坦双边投资条约》中“公正和公平待遇”的内容。</w:t>
      </w:r>
    </w:p>
    <w:p w:rsidR="00F53060" w:rsidRPr="002347E9" w:rsidRDefault="00F53060" w:rsidP="00F53060">
      <w:pPr>
        <w:pStyle w:val="SingleTxt"/>
        <w:rPr>
          <w:snapToGrid w:val="0"/>
          <w:lang w:val="en-CA"/>
        </w:rPr>
      </w:pPr>
      <w:r w:rsidRPr="002347E9">
        <w:rPr>
          <w:snapToGrid w:val="0"/>
          <w:lang w:val="en-CA"/>
        </w:rPr>
        <w:t>134.</w:t>
      </w:r>
      <w:r w:rsidRPr="002347E9">
        <w:rPr>
          <w:rFonts w:hint="eastAsia"/>
          <w:snapToGrid w:val="0"/>
          <w:lang w:val="en-CA"/>
        </w:rPr>
        <w:t xml:space="preserve">  </w:t>
      </w:r>
      <w:r w:rsidRPr="002347E9">
        <w:rPr>
          <w:rFonts w:hint="eastAsia"/>
          <w:snapToGrid w:val="0"/>
          <w:lang w:val="en-CA"/>
        </w:rPr>
        <w:t>仅在一起案件中，法庭在一方反对的情况下，依据最惠国条款为双方的义务增加了实质内容。在</w:t>
      </w:r>
      <w:r w:rsidRPr="002347E9">
        <w:rPr>
          <w:rFonts w:eastAsia="楷体"/>
          <w:iCs/>
          <w:snapToGrid w:val="0"/>
          <w:lang w:val="en-CA"/>
        </w:rPr>
        <w:t>中欧传媒企业</w:t>
      </w:r>
      <w:r w:rsidRPr="002347E9">
        <w:rPr>
          <w:rFonts w:eastAsia="楷体" w:hint="eastAsia"/>
          <w:snapToGrid w:val="0"/>
          <w:lang w:val="en-CA"/>
        </w:rPr>
        <w:t>案</w:t>
      </w:r>
      <w:r w:rsidRPr="002347E9">
        <w:rPr>
          <w:rFonts w:hint="eastAsia"/>
          <w:snapToGrid w:val="0"/>
          <w:lang w:val="en-CA"/>
        </w:rPr>
        <w:t>中，法庭多数成员认定，《荷兰与捷克共和国双边投资条约》中的“公正赔偿”一词应解释为按“公平市场价值”赔偿，部分原因是法庭同意依据最惠国条款，引入《美国与捷克共和国双边投资条约》中的“公平市场价值”概念。</w:t>
      </w:r>
      <w:r w:rsidRPr="00953281">
        <w:rPr>
          <w:snapToGrid w:val="0"/>
          <w:w w:val="150"/>
          <w:vertAlign w:val="superscript"/>
          <w:lang w:val="en-CA"/>
        </w:rPr>
        <w:footnoteReference w:id="558"/>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七</w:t>
      </w:r>
      <w:r w:rsidRPr="002347E9">
        <w:rPr>
          <w:lang w:val="en-CA"/>
        </w:rPr>
        <w:t>)</w:t>
      </w:r>
      <w:r w:rsidRPr="002347E9">
        <w:rPr>
          <w:lang w:val="en-CA"/>
        </w:rPr>
        <w:tab/>
      </w:r>
      <w:r w:rsidRPr="002347E9">
        <w:rPr>
          <w:rFonts w:hint="eastAsia"/>
          <w:lang w:val="en-CA"/>
        </w:rPr>
        <w:t>裁决的一致性</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17C69" w:rsidRPr="00717C69" w:rsidRDefault="00717C69" w:rsidP="00717C69">
      <w:pPr>
        <w:pStyle w:val="SingleTxt"/>
        <w:spacing w:after="0" w:line="120" w:lineRule="exact"/>
        <w:rPr>
          <w:snapToGrid w:val="0"/>
          <w:sz w:val="10"/>
          <w:lang w:val="en-CA"/>
        </w:rPr>
      </w:pPr>
    </w:p>
    <w:p w:rsidR="00F53060" w:rsidRPr="002347E9" w:rsidRDefault="00F53060" w:rsidP="00F53060">
      <w:pPr>
        <w:pStyle w:val="SingleTxt"/>
        <w:rPr>
          <w:snapToGrid w:val="0"/>
          <w:lang w:val="en-CA"/>
        </w:rPr>
      </w:pPr>
      <w:r w:rsidRPr="002347E9">
        <w:rPr>
          <w:snapToGrid w:val="0"/>
          <w:lang w:val="en-CA"/>
        </w:rPr>
        <w:t>135.</w:t>
      </w:r>
      <w:r w:rsidRPr="002347E9">
        <w:rPr>
          <w:rFonts w:hint="eastAsia"/>
          <w:snapToGrid w:val="0"/>
          <w:lang w:val="en-CA"/>
        </w:rPr>
        <w:t xml:space="preserve">  </w:t>
      </w:r>
      <w:r w:rsidRPr="002347E9">
        <w:rPr>
          <w:rFonts w:hint="eastAsia"/>
          <w:snapToGrid w:val="0"/>
          <w:lang w:val="en-CA"/>
        </w:rPr>
        <w:t>虽然各</w:t>
      </w:r>
      <w:r w:rsidRPr="002347E9">
        <w:rPr>
          <w:rFonts w:ascii="宋体" w:hAnsi="宋体" w:cs="宋体" w:hint="eastAsia"/>
          <w:snapToGrid w:val="0"/>
          <w:lang w:val="en-CA"/>
        </w:rPr>
        <w:t>法庭指出其他法庭的裁决并不具备正式的先例价值</w:t>
      </w:r>
      <w:r w:rsidRPr="002347E9">
        <w:rPr>
          <w:rFonts w:hint="eastAsia"/>
          <w:snapToGrid w:val="0"/>
          <w:lang w:val="en-CA"/>
        </w:rPr>
        <w:t>，但是保持一致的愿望显然对裁决产生了影响。</w:t>
      </w:r>
      <w:r w:rsidRPr="002347E9">
        <w:rPr>
          <w:rFonts w:eastAsia="楷体" w:hint="eastAsia"/>
          <w:iCs/>
          <w:snapToGrid w:val="0"/>
          <w:lang w:val="en-CA"/>
        </w:rPr>
        <w:t>英波基洛案</w:t>
      </w:r>
      <w:r w:rsidRPr="002347E9">
        <w:rPr>
          <w:rFonts w:ascii="宋体" w:hAnsi="宋体" w:cs="宋体" w:hint="eastAsia"/>
          <w:snapToGrid w:val="0"/>
          <w:lang w:val="en-CA"/>
        </w:rPr>
        <w:t>法庭</w:t>
      </w:r>
      <w:r w:rsidRPr="002347E9">
        <w:rPr>
          <w:rFonts w:hint="eastAsia"/>
          <w:iCs/>
          <w:snapToGrid w:val="0"/>
          <w:lang w:val="en-CA"/>
        </w:rPr>
        <w:t>的多数成员对此做出了最为明确的表述：</w:t>
      </w:r>
    </w:p>
    <w:p w:rsidR="00F53060" w:rsidRPr="002347E9" w:rsidRDefault="00F53060" w:rsidP="00F53060">
      <w:pPr>
        <w:pStyle w:val="SingleTxt"/>
        <w:ind w:left="1695"/>
        <w:rPr>
          <w:snapToGrid w:val="0"/>
          <w:lang w:val="en-CA"/>
        </w:rPr>
      </w:pPr>
      <w:r w:rsidRPr="002347E9">
        <w:rPr>
          <w:rFonts w:hint="eastAsia"/>
          <w:snapToGrid w:val="0"/>
          <w:lang w:val="en-CA" w:bidi="en-US"/>
        </w:rPr>
        <w:tab/>
      </w:r>
      <w:r w:rsidRPr="002347E9">
        <w:rPr>
          <w:rFonts w:hint="eastAsia"/>
          <w:snapToGrid w:val="0"/>
          <w:lang w:val="en-CA" w:bidi="en-US"/>
        </w:rPr>
        <w:t>“然而，在</w:t>
      </w:r>
      <w:r w:rsidRPr="002347E9">
        <w:rPr>
          <w:rFonts w:ascii="宋体" w:hAnsi="宋体" w:cs="宋体" w:hint="eastAsia"/>
          <w:snapToGrid w:val="0"/>
          <w:lang w:val="en-CA" w:bidi="en-US"/>
        </w:rPr>
        <w:t>最惠国条款</w:t>
      </w:r>
      <w:r w:rsidRPr="002347E9">
        <w:rPr>
          <w:rFonts w:hint="eastAsia"/>
          <w:snapToGrid w:val="0"/>
          <w:lang w:val="en-CA" w:bidi="en-US"/>
        </w:rPr>
        <w:t>提及双边投资条约所规范的“所有事项”或“任何事项”的案件中，各法庭几乎一致认为该条款涵盖</w:t>
      </w:r>
      <w:r w:rsidRPr="002347E9">
        <w:rPr>
          <w:rFonts w:ascii="宋体" w:hAnsi="宋体" w:cs="宋体" w:hint="eastAsia"/>
          <w:snapToGrid w:val="0"/>
          <w:lang w:val="en-CA" w:bidi="en-US"/>
        </w:rPr>
        <w:t>争端解决</w:t>
      </w:r>
      <w:r w:rsidRPr="002347E9">
        <w:rPr>
          <w:rFonts w:hint="eastAsia"/>
          <w:snapToGrid w:val="0"/>
          <w:lang w:val="en-CA" w:bidi="en-US"/>
        </w:rPr>
        <w:t>规则。据此，本</w:t>
      </w:r>
      <w:r w:rsidRPr="002347E9">
        <w:rPr>
          <w:rFonts w:ascii="宋体" w:hAnsi="宋体" w:cs="宋体" w:hint="eastAsia"/>
          <w:snapToGrid w:val="0"/>
          <w:lang w:val="en-CA" w:bidi="en-US"/>
        </w:rPr>
        <w:t>法庭多数成员得出以下结论：</w:t>
      </w:r>
      <w:r w:rsidRPr="002347E9">
        <w:rPr>
          <w:rFonts w:eastAsia="楷体"/>
          <w:iCs/>
          <w:snapToGrid w:val="0"/>
          <w:lang w:val="en-CA" w:bidi="en-US"/>
        </w:rPr>
        <w:t>英波基洛</w:t>
      </w:r>
      <w:r w:rsidRPr="002347E9">
        <w:rPr>
          <w:rFonts w:hint="eastAsia"/>
          <w:snapToGrid w:val="0"/>
          <w:lang w:val="en-CA" w:bidi="en-US"/>
        </w:rPr>
        <w:t>有权就此援引《阿根廷与美国双边投资条约》中的</w:t>
      </w:r>
      <w:r w:rsidRPr="002347E9">
        <w:rPr>
          <w:rFonts w:ascii="宋体" w:hAnsi="宋体" w:cs="宋体" w:hint="eastAsia"/>
          <w:snapToGrid w:val="0"/>
          <w:lang w:val="en-CA" w:bidi="en-US"/>
        </w:rPr>
        <w:t>争端解决</w:t>
      </w:r>
      <w:r w:rsidRPr="002347E9">
        <w:rPr>
          <w:rFonts w:hint="eastAsia"/>
          <w:snapToGrid w:val="0"/>
          <w:lang w:val="en-CA" w:bidi="en-US"/>
        </w:rPr>
        <w:t>规则。”</w:t>
      </w:r>
      <w:r w:rsidRPr="00953281">
        <w:rPr>
          <w:snapToGrid w:val="0"/>
          <w:w w:val="150"/>
          <w:vertAlign w:val="superscript"/>
          <w:lang w:val="en-CA" w:bidi="en-US"/>
        </w:rPr>
        <w:footnoteReference w:id="559"/>
      </w:r>
    </w:p>
    <w:p w:rsidR="00F53060" w:rsidRPr="002347E9" w:rsidRDefault="00F53060" w:rsidP="00F53060">
      <w:pPr>
        <w:pStyle w:val="SingleTxt"/>
        <w:rPr>
          <w:b/>
          <w:snapToGrid w:val="0"/>
          <w:lang w:val="en-CA"/>
        </w:rPr>
      </w:pPr>
      <w:r w:rsidRPr="002347E9">
        <w:rPr>
          <w:snapToGrid w:val="0"/>
          <w:lang w:val="en-CA"/>
        </w:rPr>
        <w:t>136.</w:t>
      </w:r>
      <w:r w:rsidRPr="002347E9">
        <w:rPr>
          <w:rFonts w:hint="eastAsia"/>
          <w:snapToGrid w:val="0"/>
          <w:lang w:val="en-CA"/>
        </w:rPr>
        <w:t xml:space="preserve">  </w:t>
      </w:r>
      <w:r w:rsidRPr="002347E9">
        <w:rPr>
          <w:rFonts w:hint="eastAsia"/>
          <w:snapToGrid w:val="0"/>
          <w:lang w:val="en-CA"/>
        </w:rPr>
        <w:t>事实上，多数人认为，至少在措辞宽泛的</w:t>
      </w:r>
      <w:r w:rsidRPr="002347E9">
        <w:rPr>
          <w:rFonts w:ascii="宋体" w:hAnsi="宋体" w:cs="宋体" w:hint="eastAsia"/>
          <w:snapToGrid w:val="0"/>
          <w:lang w:val="en-CA"/>
        </w:rPr>
        <w:t>最惠国条款</w:t>
      </w:r>
      <w:r w:rsidRPr="002347E9">
        <w:rPr>
          <w:rFonts w:hint="eastAsia"/>
          <w:snapToGrid w:val="0"/>
          <w:lang w:val="en-CA"/>
        </w:rPr>
        <w:t>及关于启动诉讼和诉讼满</w:t>
      </w:r>
      <w:r w:rsidRPr="002347E9">
        <w:rPr>
          <w:rFonts w:hint="eastAsia"/>
          <w:snapToGrid w:val="0"/>
          <w:lang w:val="en-CA"/>
        </w:rPr>
        <w:t>18</w:t>
      </w:r>
      <w:r w:rsidRPr="002347E9">
        <w:rPr>
          <w:rFonts w:hint="eastAsia"/>
          <w:snapToGrid w:val="0"/>
          <w:lang w:val="en-CA"/>
        </w:rPr>
        <w:t>个月的要求方面，能否适用</w:t>
      </w:r>
      <w:r w:rsidRPr="002347E9">
        <w:rPr>
          <w:rFonts w:ascii="宋体" w:hAnsi="宋体" w:cs="宋体" w:hint="eastAsia"/>
          <w:snapToGrid w:val="0"/>
          <w:lang w:val="en-CA"/>
        </w:rPr>
        <w:t>最惠国条款的问题已经解决。</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八</w:t>
      </w:r>
      <w:r w:rsidRPr="002347E9">
        <w:rPr>
          <w:lang w:val="en-CA"/>
        </w:rPr>
        <w:t>)</w:t>
      </w:r>
      <w:r w:rsidRPr="002347E9">
        <w:rPr>
          <w:lang w:val="en-CA"/>
        </w:rPr>
        <w:tab/>
      </w:r>
      <w:r w:rsidRPr="002347E9">
        <w:rPr>
          <w:rFonts w:hint="eastAsia"/>
          <w:lang w:val="en-CA"/>
        </w:rPr>
        <w:t>界定“不低于”待遇</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17C69" w:rsidRPr="00717C69" w:rsidRDefault="00717C69" w:rsidP="00717C69">
      <w:pPr>
        <w:pStyle w:val="SingleTxt"/>
        <w:spacing w:after="0" w:line="120" w:lineRule="exact"/>
        <w:rPr>
          <w:snapToGrid w:val="0"/>
          <w:sz w:val="10"/>
          <w:lang w:val="en-CA"/>
        </w:rPr>
      </w:pPr>
    </w:p>
    <w:p w:rsidR="00F53060" w:rsidRPr="002347E9" w:rsidRDefault="00F53060" w:rsidP="00F53060">
      <w:pPr>
        <w:pStyle w:val="SingleTxt"/>
        <w:rPr>
          <w:snapToGrid w:val="0"/>
          <w:lang w:val="en-CA"/>
        </w:rPr>
      </w:pPr>
      <w:r w:rsidRPr="002347E9">
        <w:rPr>
          <w:snapToGrid w:val="0"/>
          <w:lang w:val="en-CA"/>
        </w:rPr>
        <w:t>137.</w:t>
      </w:r>
      <w:r w:rsidRPr="002347E9">
        <w:rPr>
          <w:rFonts w:hint="eastAsia"/>
          <w:snapToGrid w:val="0"/>
          <w:lang w:val="en-CA"/>
        </w:rPr>
        <w:t xml:space="preserve">  </w:t>
      </w:r>
      <w:r w:rsidRPr="002347E9">
        <w:rPr>
          <w:rFonts w:hint="eastAsia"/>
          <w:snapToGrid w:val="0"/>
          <w:lang w:val="en-CA"/>
        </w:rPr>
        <w:t>援引最惠国条款以一种争端解决方式取代另一种争端解决方式时，确定哪种待遇较为不利，并非易事。一些</w:t>
      </w:r>
      <w:r w:rsidRPr="002347E9">
        <w:rPr>
          <w:rFonts w:ascii="宋体" w:hAnsi="宋体" w:cs="宋体" w:hint="eastAsia"/>
          <w:snapToGrid w:val="0"/>
          <w:lang w:val="en-CA"/>
        </w:rPr>
        <w:t>法庭质疑，比较第三方条约的规定与基础条约的规定时，得出的结论是否正确。</w:t>
      </w:r>
      <w:r w:rsidRPr="00953281">
        <w:rPr>
          <w:snapToGrid w:val="0"/>
          <w:w w:val="150"/>
          <w:vertAlign w:val="superscript"/>
          <w:lang w:val="en-CA"/>
        </w:rPr>
        <w:footnoteReference w:id="560"/>
      </w:r>
      <w:r w:rsidRPr="002347E9">
        <w:rPr>
          <w:rFonts w:ascii="宋体" w:hAnsi="宋体" w:cs="宋体" w:hint="eastAsia"/>
          <w:snapToGrid w:val="0"/>
          <w:lang w:val="en-CA"/>
        </w:rPr>
        <w:t xml:space="preserve"> </w:t>
      </w:r>
      <w:r w:rsidRPr="002347E9">
        <w:rPr>
          <w:rFonts w:hint="eastAsia"/>
          <w:snapToGrid w:val="0"/>
          <w:lang w:val="en-CA"/>
        </w:rPr>
        <w:t>若基础条约载有诉讼期</w:t>
      </w:r>
      <w:r w:rsidRPr="002347E9">
        <w:rPr>
          <w:rFonts w:hint="eastAsia"/>
          <w:snapToGrid w:val="0"/>
          <w:lang w:val="en-CA"/>
        </w:rPr>
        <w:t>18</w:t>
      </w:r>
      <w:r w:rsidRPr="002347E9">
        <w:rPr>
          <w:rFonts w:hint="eastAsia"/>
          <w:snapToGrid w:val="0"/>
          <w:lang w:val="en-CA"/>
        </w:rPr>
        <w:t>个月的要求，而第三方条约中没有这项要求，但是包含“岔路口条款”，那么说第三方条约提供了更加优惠的待遇是否正确？一方面，按照基础条约的规定，要延迟</w:t>
      </w:r>
      <w:r w:rsidRPr="002347E9">
        <w:rPr>
          <w:rFonts w:hint="eastAsia"/>
          <w:snapToGrid w:val="0"/>
          <w:lang w:val="en-CA"/>
        </w:rPr>
        <w:t>18</w:t>
      </w:r>
      <w:r w:rsidRPr="002347E9">
        <w:rPr>
          <w:rFonts w:hint="eastAsia"/>
          <w:snapToGrid w:val="0"/>
          <w:lang w:val="en-CA"/>
        </w:rPr>
        <w:t>个月才能援引双边投资条约中的</w:t>
      </w:r>
      <w:r w:rsidRPr="002347E9">
        <w:rPr>
          <w:rFonts w:ascii="宋体" w:hAnsi="宋体" w:cs="宋体" w:hint="eastAsia"/>
          <w:snapToGrid w:val="0"/>
          <w:lang w:val="en-CA"/>
        </w:rPr>
        <w:t>争端解决规定，但是投资者既可以诉诸国内程序，又可以诉诸国际程序。</w:t>
      </w:r>
      <w:r w:rsidRPr="002347E9">
        <w:rPr>
          <w:rFonts w:hint="eastAsia"/>
          <w:snapToGrid w:val="0"/>
          <w:lang w:val="en-CA"/>
        </w:rPr>
        <w:t>另一方面，按照第三方条约的规定，投资者可以更早地诉诸国际</w:t>
      </w:r>
      <w:r w:rsidRPr="002347E9">
        <w:rPr>
          <w:rFonts w:ascii="宋体" w:hAnsi="宋体" w:cs="宋体" w:hint="eastAsia"/>
          <w:snapToGrid w:val="0"/>
          <w:lang w:val="en-CA"/>
        </w:rPr>
        <w:t>争端解决程序，但却丧失了既诉诸国际程序又诉诸国内程序</w:t>
      </w:r>
      <w:r w:rsidRPr="002347E9">
        <w:rPr>
          <w:rFonts w:hint="eastAsia"/>
          <w:snapToGrid w:val="0"/>
          <w:lang w:val="en-CA"/>
        </w:rPr>
        <w:t>的可能。哪一种待遇更为优惠呢？</w:t>
      </w:r>
    </w:p>
    <w:p w:rsidR="00F53060" w:rsidRPr="002347E9" w:rsidRDefault="00F53060" w:rsidP="00F53060">
      <w:pPr>
        <w:pStyle w:val="SingleTxt"/>
        <w:rPr>
          <w:snapToGrid w:val="0"/>
          <w:lang w:val="en-CA"/>
        </w:rPr>
      </w:pPr>
      <w:r w:rsidRPr="002347E9">
        <w:rPr>
          <w:snapToGrid w:val="0"/>
          <w:lang w:val="en-CA"/>
        </w:rPr>
        <w:t>138.</w:t>
      </w:r>
      <w:r w:rsidRPr="002347E9">
        <w:rPr>
          <w:rFonts w:hint="eastAsia"/>
          <w:snapToGrid w:val="0"/>
          <w:lang w:val="en-CA"/>
        </w:rPr>
        <w:t xml:space="preserve">  </w:t>
      </w:r>
      <w:r w:rsidRPr="002347E9">
        <w:rPr>
          <w:rFonts w:eastAsia="楷体"/>
          <w:snapToGrid w:val="0"/>
          <w:lang w:val="en-CA"/>
        </w:rPr>
        <w:t>ICS</w:t>
      </w:r>
      <w:r w:rsidRPr="002347E9">
        <w:rPr>
          <w:rFonts w:eastAsia="楷体" w:hint="eastAsia"/>
          <w:snapToGrid w:val="0"/>
          <w:lang w:val="en-CA"/>
        </w:rPr>
        <w:t>案</w:t>
      </w:r>
      <w:r w:rsidRPr="002347E9">
        <w:rPr>
          <w:rFonts w:hint="eastAsia"/>
          <w:snapToGrid w:val="0"/>
          <w:lang w:val="en-CA"/>
        </w:rPr>
        <w:t>法庭认为，援引最惠国条款以避开</w:t>
      </w:r>
      <w:r w:rsidRPr="002347E9">
        <w:rPr>
          <w:rFonts w:hint="eastAsia"/>
          <w:snapToGrid w:val="0"/>
          <w:lang w:val="en-CA"/>
        </w:rPr>
        <w:t>18</w:t>
      </w:r>
      <w:r w:rsidRPr="002347E9">
        <w:rPr>
          <w:rFonts w:hint="eastAsia"/>
          <w:snapToGrid w:val="0"/>
          <w:lang w:val="en-CA"/>
        </w:rPr>
        <w:t>个月诉讼期要求的投资者需要遵守第三方条约中的“岔路口条款”。</w:t>
      </w:r>
      <w:r w:rsidRPr="00953281">
        <w:rPr>
          <w:snapToGrid w:val="0"/>
          <w:w w:val="150"/>
          <w:vertAlign w:val="superscript"/>
          <w:lang w:val="en-CA"/>
        </w:rPr>
        <w:footnoteReference w:id="561"/>
      </w:r>
      <w:r w:rsidRPr="002347E9">
        <w:rPr>
          <w:snapToGrid w:val="0"/>
          <w:lang w:val="en-CA"/>
        </w:rPr>
        <w:t xml:space="preserve"> </w:t>
      </w:r>
      <w:r w:rsidRPr="002347E9">
        <w:rPr>
          <w:rFonts w:eastAsia="楷体"/>
          <w:iCs/>
          <w:snapToGrid w:val="0"/>
          <w:lang w:val="en-CA"/>
        </w:rPr>
        <w:t>Garanti Kos</w:t>
      </w:r>
      <w:r w:rsidRPr="002347E9">
        <w:rPr>
          <w:rFonts w:eastAsia="楷体" w:hint="eastAsia"/>
          <w:iCs/>
          <w:snapToGrid w:val="0"/>
          <w:lang w:val="en-CA"/>
        </w:rPr>
        <w:t>案</w:t>
      </w:r>
      <w:r w:rsidRPr="002347E9">
        <w:rPr>
          <w:rFonts w:hint="eastAsia"/>
          <w:snapToGrid w:val="0"/>
          <w:lang w:val="en-CA"/>
        </w:rPr>
        <w:t>法庭认为，很难说国际投资争端解决中心仲裁客观上比</w:t>
      </w:r>
      <w:r w:rsidRPr="002347E9">
        <w:rPr>
          <w:snapToGrid w:val="0"/>
          <w:lang w:val="en-CA"/>
        </w:rPr>
        <w:t>联合国国际贸易法委员会仲裁</w:t>
      </w:r>
      <w:r w:rsidRPr="002347E9">
        <w:rPr>
          <w:rFonts w:hint="eastAsia"/>
          <w:snapToGrid w:val="0"/>
          <w:lang w:val="en-CA"/>
        </w:rPr>
        <w:t>更有利，但是二者“毋庸</w:t>
      </w:r>
      <w:r w:rsidRPr="002347E9">
        <w:rPr>
          <w:rFonts w:hint="eastAsia"/>
          <w:snapToGrid w:val="0"/>
          <w:lang w:val="en-CA"/>
        </w:rPr>
        <w:lastRenderedPageBreak/>
        <w:t>置疑存在差异”。</w:t>
      </w:r>
      <w:r w:rsidRPr="00953281">
        <w:rPr>
          <w:snapToGrid w:val="0"/>
          <w:w w:val="150"/>
          <w:vertAlign w:val="superscript"/>
          <w:lang w:val="en-CA"/>
        </w:rPr>
        <w:footnoteReference w:id="562"/>
      </w:r>
      <w:r w:rsidRPr="002347E9">
        <w:rPr>
          <w:rFonts w:hint="eastAsia"/>
          <w:snapToGrid w:val="0"/>
          <w:lang w:val="en-CA"/>
        </w:rPr>
        <w:t xml:space="preserve"> </w:t>
      </w:r>
      <w:r w:rsidRPr="002347E9">
        <w:rPr>
          <w:rFonts w:hint="eastAsia"/>
          <w:snapToGrid w:val="0"/>
          <w:lang w:val="en-CA"/>
        </w:rPr>
        <w:t>法庭最终</w:t>
      </w:r>
      <w:r w:rsidRPr="002347E9">
        <w:rPr>
          <w:rFonts w:hint="eastAsia"/>
          <w:snapToGrid w:val="0"/>
        </w:rPr>
        <w:t>认</w:t>
      </w:r>
      <w:r w:rsidRPr="002347E9">
        <w:rPr>
          <w:rFonts w:hint="eastAsia"/>
          <w:snapToGrid w:val="0"/>
          <w:lang w:val="en-CA"/>
        </w:rPr>
        <w:t>定，有选择总比没有选择好，允许原告依据基础条约中的最惠国条款，引入国际投资争端解决中心仲裁。</w:t>
      </w:r>
      <w:r w:rsidRPr="00953281">
        <w:rPr>
          <w:snapToGrid w:val="0"/>
          <w:w w:val="150"/>
          <w:vertAlign w:val="superscript"/>
          <w:lang w:val="en-CA"/>
        </w:rPr>
        <w:footnoteReference w:id="563"/>
      </w:r>
    </w:p>
    <w:p w:rsidR="00F53060" w:rsidRPr="002347E9" w:rsidRDefault="00F53060" w:rsidP="00F53060">
      <w:pPr>
        <w:pStyle w:val="SingleTxt"/>
        <w:rPr>
          <w:snapToGrid w:val="0"/>
          <w:lang w:val="en-CA"/>
        </w:rPr>
      </w:pPr>
      <w:r w:rsidRPr="002347E9">
        <w:rPr>
          <w:snapToGrid w:val="0"/>
          <w:lang w:val="en-CA"/>
        </w:rPr>
        <w:t>139.</w:t>
      </w:r>
      <w:r w:rsidRPr="002347E9">
        <w:rPr>
          <w:rFonts w:hint="eastAsia"/>
          <w:snapToGrid w:val="0"/>
          <w:lang w:val="en-CA"/>
        </w:rPr>
        <w:t xml:space="preserve">  </w:t>
      </w:r>
      <w:r w:rsidRPr="002347E9">
        <w:rPr>
          <w:rFonts w:hint="eastAsia"/>
          <w:snapToGrid w:val="0"/>
          <w:lang w:val="en-CA"/>
        </w:rPr>
        <w:t>当事方试图援引的第三方条约的规定事实上是否优于其试图避免的基础条约的规定，各投资法庭早期的裁决中没有详细审议这一问题。法庭通常假设，无需经过</w:t>
      </w:r>
      <w:r w:rsidRPr="002347E9">
        <w:rPr>
          <w:rFonts w:hint="eastAsia"/>
          <w:snapToGrid w:val="0"/>
          <w:lang w:val="en-CA"/>
        </w:rPr>
        <w:t>18</w:t>
      </w:r>
      <w:r w:rsidRPr="002347E9">
        <w:rPr>
          <w:rFonts w:hint="eastAsia"/>
          <w:snapToGrid w:val="0"/>
          <w:lang w:val="en-CA"/>
        </w:rPr>
        <w:t>个月的国内法院诉讼期优于必须等候再行诉讼。然而，除非就所涉国内法院做出负面假设，否则这种看法也未必正确。</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53060" w:rsidRPr="002347E9" w:rsidRDefault="00F53060" w:rsidP="00F53060">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2347E9">
        <w:rPr>
          <w:rFonts w:hint="eastAsia"/>
          <w:lang w:val="en-CA"/>
        </w:rPr>
        <w:tab/>
      </w:r>
      <w:r w:rsidRPr="002347E9">
        <w:rPr>
          <w:lang w:val="en-CA"/>
        </w:rPr>
        <w:t>(</w:t>
      </w:r>
      <w:r w:rsidRPr="002347E9">
        <w:rPr>
          <w:rFonts w:hint="eastAsia"/>
          <w:lang w:val="en-CA"/>
        </w:rPr>
        <w:t>九</w:t>
      </w:r>
      <w:r w:rsidRPr="002347E9">
        <w:rPr>
          <w:lang w:val="en-CA"/>
        </w:rPr>
        <w:t>)</w:t>
      </w:r>
      <w:r w:rsidRPr="002347E9">
        <w:rPr>
          <w:lang w:val="en-CA"/>
        </w:rPr>
        <w:tab/>
      </w:r>
      <w:r w:rsidRPr="002347E9">
        <w:rPr>
          <w:rFonts w:hint="eastAsia"/>
          <w:lang w:val="en-CA"/>
        </w:rPr>
        <w:t>政策例外的存在</w:t>
      </w:r>
    </w:p>
    <w:p w:rsidR="00F53060" w:rsidRPr="00E1712C" w:rsidRDefault="00F53060" w:rsidP="00F5306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717C69" w:rsidRPr="00717C69" w:rsidRDefault="00717C69" w:rsidP="00717C69">
      <w:pPr>
        <w:pStyle w:val="SingleTxt"/>
        <w:spacing w:after="0" w:line="120" w:lineRule="exact"/>
        <w:rPr>
          <w:snapToGrid w:val="0"/>
          <w:sz w:val="10"/>
          <w:lang w:val="en-CA"/>
        </w:rPr>
      </w:pPr>
    </w:p>
    <w:p w:rsidR="00F91618" w:rsidRPr="004937FB" w:rsidRDefault="00F53060" w:rsidP="004937FB">
      <w:pPr>
        <w:pStyle w:val="SingleTxt"/>
        <w:rPr>
          <w:snapToGrid w:val="0"/>
          <w:lang w:val="en-CA"/>
        </w:rPr>
      </w:pPr>
      <w:r w:rsidRPr="002347E9">
        <w:rPr>
          <w:snapToGrid w:val="0"/>
          <w:lang w:val="en-CA"/>
        </w:rPr>
        <w:t>140.</w:t>
      </w:r>
      <w:r w:rsidRPr="002347E9">
        <w:rPr>
          <w:rFonts w:hint="eastAsia"/>
          <w:snapToGrid w:val="0"/>
          <w:lang w:val="en-CA"/>
        </w:rPr>
        <w:t xml:space="preserve">  </w:t>
      </w:r>
      <w:r w:rsidRPr="002347E9">
        <w:rPr>
          <w:rFonts w:eastAsia="楷体"/>
          <w:iCs/>
          <w:snapToGrid w:val="0"/>
          <w:lang w:val="en-CA"/>
        </w:rPr>
        <w:t>马菲基尼</w:t>
      </w:r>
      <w:r w:rsidRPr="002347E9">
        <w:rPr>
          <w:rFonts w:eastAsia="楷体" w:hint="eastAsia"/>
          <w:iCs/>
          <w:snapToGrid w:val="0"/>
          <w:lang w:val="en-CA"/>
        </w:rPr>
        <w:t>案</w:t>
      </w:r>
      <w:r w:rsidRPr="002347E9">
        <w:rPr>
          <w:rFonts w:hint="eastAsia"/>
          <w:snapToGrid w:val="0"/>
          <w:lang w:val="en-CA"/>
        </w:rPr>
        <w:t>法庭似乎出于对其裁决的深远影响的关切，列出了不可将</w:t>
      </w:r>
      <w:r w:rsidRPr="002347E9">
        <w:rPr>
          <w:rFonts w:ascii="宋体" w:hAnsi="宋体" w:cs="宋体" w:hint="eastAsia"/>
          <w:snapToGrid w:val="0"/>
          <w:lang w:val="en-CA"/>
        </w:rPr>
        <w:t>最惠国条款</w:t>
      </w:r>
      <w:r w:rsidRPr="002347E9">
        <w:rPr>
          <w:rFonts w:hint="eastAsia"/>
          <w:snapToGrid w:val="0"/>
          <w:lang w:val="en-CA"/>
        </w:rPr>
        <w:t>适用</w:t>
      </w:r>
      <w:r w:rsidRPr="002347E9">
        <w:rPr>
          <w:rFonts w:ascii="宋体" w:hAnsi="宋体" w:cs="宋体" w:hint="eastAsia"/>
          <w:snapToGrid w:val="0"/>
          <w:lang w:val="en-CA"/>
        </w:rPr>
        <w:t>于程序性事项的</w:t>
      </w:r>
      <w:r w:rsidRPr="002347E9">
        <w:rPr>
          <w:rFonts w:hint="eastAsia"/>
          <w:snapToGrid w:val="0"/>
          <w:lang w:val="en-CA"/>
        </w:rPr>
        <w:t>某些“公共政策”例外。</w:t>
      </w:r>
      <w:r w:rsidRPr="00953281">
        <w:rPr>
          <w:snapToGrid w:val="0"/>
          <w:w w:val="150"/>
          <w:vertAlign w:val="superscript"/>
          <w:lang w:val="en-CA"/>
        </w:rPr>
        <w:footnoteReference w:id="564"/>
      </w:r>
      <w:r w:rsidRPr="002347E9">
        <w:rPr>
          <w:snapToGrid w:val="0"/>
          <w:lang w:val="en-CA"/>
        </w:rPr>
        <w:t xml:space="preserve"> </w:t>
      </w:r>
      <w:r w:rsidRPr="002347E9">
        <w:rPr>
          <w:rFonts w:hint="eastAsia"/>
          <w:snapToGrid w:val="0"/>
          <w:lang w:val="en-CA"/>
        </w:rPr>
        <w:t>尽管后来的</w:t>
      </w:r>
      <w:r w:rsidRPr="002347E9">
        <w:rPr>
          <w:rFonts w:ascii="宋体" w:hAnsi="宋体" w:cs="宋体" w:hint="eastAsia"/>
          <w:snapToGrid w:val="0"/>
          <w:lang w:val="en-CA"/>
        </w:rPr>
        <w:t>法庭赞同有必要保留一些公共政策例外</w:t>
      </w:r>
      <w:r w:rsidRPr="002347E9">
        <w:rPr>
          <w:rFonts w:hint="eastAsia"/>
          <w:snapToGrid w:val="0"/>
          <w:lang w:val="en-CA"/>
        </w:rPr>
        <w:t>，但是并没有</w:t>
      </w:r>
      <w:r w:rsidRPr="002347E9">
        <w:rPr>
          <w:rFonts w:ascii="宋体" w:hAnsi="宋体" w:cs="宋体" w:hint="eastAsia"/>
          <w:snapToGrid w:val="0"/>
          <w:lang w:val="en-CA"/>
        </w:rPr>
        <w:t>援引这些例外作为裁决的理由，即便这些例外有些情况下可以适用。</w:t>
      </w:r>
      <w:r w:rsidRPr="002347E9">
        <w:rPr>
          <w:rFonts w:hint="eastAsia"/>
          <w:snapToGrid w:val="0"/>
          <w:lang w:val="en-CA"/>
        </w:rPr>
        <w:t>例如，在</w:t>
      </w:r>
      <w:r w:rsidRPr="002347E9">
        <w:rPr>
          <w:rFonts w:eastAsia="楷体"/>
          <w:iCs/>
          <w:snapToGrid w:val="0"/>
          <w:lang w:val="en-CA"/>
        </w:rPr>
        <w:t>Garanti Kos</w:t>
      </w:r>
      <w:r w:rsidRPr="002347E9">
        <w:rPr>
          <w:rFonts w:hint="eastAsia"/>
          <w:snapToGrid w:val="0"/>
          <w:lang w:val="en-CA"/>
        </w:rPr>
        <w:t>案中，</w:t>
      </w:r>
      <w:r w:rsidRPr="002347E9">
        <w:rPr>
          <w:rFonts w:ascii="宋体" w:hAnsi="宋体" w:cs="宋体" w:hint="eastAsia"/>
          <w:snapToGrid w:val="0"/>
          <w:lang w:val="en-CA"/>
        </w:rPr>
        <w:t>法庭</w:t>
      </w:r>
      <w:r w:rsidRPr="002347E9">
        <w:rPr>
          <w:rFonts w:hint="eastAsia"/>
          <w:snapToGrid w:val="0"/>
          <w:lang w:val="en-CA"/>
        </w:rPr>
        <w:t>以</w:t>
      </w:r>
      <w:r w:rsidRPr="002347E9">
        <w:rPr>
          <w:rFonts w:ascii="宋体" w:hAnsi="宋体" w:cs="宋体" w:hint="eastAsia"/>
          <w:snapToGrid w:val="0"/>
          <w:lang w:val="en-CA"/>
        </w:rPr>
        <w:t>国际投资争端解决中心仲裁取代了</w:t>
      </w:r>
      <w:r w:rsidRPr="002347E9">
        <w:rPr>
          <w:snapToGrid w:val="0"/>
          <w:lang w:val="en-CA"/>
        </w:rPr>
        <w:t>联合国国际贸易法委员会规则仲裁</w:t>
      </w:r>
      <w:r w:rsidRPr="002347E9">
        <w:rPr>
          <w:rFonts w:hint="eastAsia"/>
          <w:snapToGrid w:val="0"/>
          <w:lang w:val="en-CA"/>
        </w:rPr>
        <w:t>，而</w:t>
      </w:r>
      <w:r w:rsidRPr="002347E9">
        <w:rPr>
          <w:rFonts w:eastAsia="楷体"/>
          <w:iCs/>
          <w:snapToGrid w:val="0"/>
          <w:lang w:val="en-CA"/>
        </w:rPr>
        <w:t>马菲基尼</w:t>
      </w:r>
      <w:r w:rsidRPr="002347E9">
        <w:rPr>
          <w:rFonts w:eastAsia="楷体" w:hint="eastAsia"/>
          <w:snapToGrid w:val="0"/>
          <w:lang w:val="en-CA"/>
        </w:rPr>
        <w:t>案</w:t>
      </w:r>
      <w:r w:rsidRPr="002347E9">
        <w:rPr>
          <w:rFonts w:hint="eastAsia"/>
          <w:snapToGrid w:val="0"/>
          <w:lang w:val="en-CA"/>
        </w:rPr>
        <w:t>法庭列出的政策例外禁止这种做法。</w:t>
      </w:r>
      <w:r w:rsidRPr="002347E9">
        <w:rPr>
          <w:rFonts w:ascii="宋体" w:hAnsi="宋体" w:cs="宋体" w:hint="eastAsia"/>
          <w:snapToGrid w:val="0"/>
          <w:lang w:val="en-CA"/>
        </w:rPr>
        <w:t>研究组</w:t>
      </w:r>
      <w:r w:rsidRPr="002347E9">
        <w:rPr>
          <w:rFonts w:hint="eastAsia"/>
          <w:snapToGrid w:val="0"/>
          <w:lang w:val="en-CA"/>
        </w:rPr>
        <w:t>指出，关于允许或不允许依据</w:t>
      </w:r>
      <w:r w:rsidRPr="002347E9">
        <w:rPr>
          <w:rFonts w:ascii="宋体" w:hAnsi="宋体" w:cs="宋体" w:hint="eastAsia"/>
          <w:snapToGrid w:val="0"/>
          <w:lang w:val="en-CA"/>
        </w:rPr>
        <w:t>最惠国条款</w:t>
      </w:r>
      <w:r w:rsidRPr="002347E9">
        <w:rPr>
          <w:rFonts w:hint="eastAsia"/>
          <w:snapToGrid w:val="0"/>
          <w:lang w:val="en-CA"/>
        </w:rPr>
        <w:t>改变双边投资协定中的</w:t>
      </w:r>
      <w:r w:rsidRPr="002347E9">
        <w:rPr>
          <w:rFonts w:ascii="宋体" w:hAnsi="宋体" w:cs="宋体" w:hint="eastAsia"/>
          <w:snapToGrid w:val="0"/>
          <w:lang w:val="en-CA"/>
        </w:rPr>
        <w:t>争端解决</w:t>
      </w:r>
      <w:r w:rsidRPr="002347E9">
        <w:rPr>
          <w:rFonts w:hint="eastAsia"/>
          <w:snapToGrid w:val="0"/>
          <w:lang w:val="en-CA"/>
        </w:rPr>
        <w:t>规定，各法庭给出的理由并不一致；研究组还注意到，各法庭对案件采取不同的处理方式，有时是因为所依据的假设不同，而不是因为推理方式完全背道而驰。</w:t>
      </w:r>
      <w:bookmarkEnd w:id="68"/>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r>
      <w:r w:rsidRPr="00AC4F0E">
        <w:rPr>
          <w:rFonts w:hint="eastAsia"/>
          <w:lang w:val="en-CA"/>
        </w:rPr>
        <w:tab/>
      </w:r>
      <w:r>
        <w:rPr>
          <w:rFonts w:hint="eastAsia"/>
          <w:lang w:val="en-CA"/>
        </w:rPr>
        <w:t>第三部分</w:t>
      </w:r>
      <w:r>
        <w:rPr>
          <w:lang w:val="en-CA"/>
        </w:rPr>
        <w:br/>
      </w:r>
      <w:r w:rsidRPr="00AC4F0E">
        <w:rPr>
          <w:rFonts w:hint="eastAsia"/>
          <w:lang w:val="en-CA"/>
        </w:rPr>
        <w:t>解释最惠国条款的考虑因素</w:t>
      </w:r>
    </w:p>
    <w:p w:rsidR="00F91618" w:rsidRPr="00B53F40" w:rsidRDefault="00F91618" w:rsidP="00F91618">
      <w:pPr>
        <w:pStyle w:val="SingleTxt"/>
        <w:spacing w:after="0" w:line="120" w:lineRule="exact"/>
        <w:rPr>
          <w:sz w:val="10"/>
          <w:lang w:val="en-CA"/>
        </w:rPr>
      </w:pPr>
    </w:p>
    <w:p w:rsidR="00F91618" w:rsidRPr="009E457B" w:rsidRDefault="00F91618" w:rsidP="009E457B">
      <w:pPr>
        <w:pStyle w:val="SingleTxt"/>
        <w:spacing w:after="0" w:line="120" w:lineRule="exact"/>
        <w:rPr>
          <w:sz w:val="10"/>
          <w:lang w:val="en-CA"/>
        </w:rPr>
      </w:pPr>
    </w:p>
    <w:p w:rsidR="009E457B" w:rsidRPr="00B53F40" w:rsidRDefault="009E457B"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A.</w:t>
      </w:r>
      <w:r w:rsidRPr="00AC4F0E">
        <w:rPr>
          <w:rFonts w:hint="eastAsia"/>
          <w:lang w:val="en-CA"/>
        </w:rPr>
        <w:tab/>
        <w:t>与解释投资协定有关的政策考虑因素</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9E457B" w:rsidRPr="009E457B" w:rsidRDefault="009E457B" w:rsidP="009E457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en-CA"/>
        </w:rPr>
      </w:pPr>
    </w:p>
    <w:p w:rsidR="00F91618" w:rsidRPr="00B53F40"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1.</w:t>
      </w:r>
      <w:r w:rsidRPr="00AC4F0E">
        <w:rPr>
          <w:rFonts w:hint="eastAsia"/>
          <w:lang w:val="en-CA"/>
        </w:rPr>
        <w:tab/>
        <w:t>双边投资条约谈判的非对称性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rPr>
          <w:lang w:val="en-CA"/>
        </w:rPr>
      </w:pPr>
      <w:r w:rsidRPr="00AC4F0E">
        <w:rPr>
          <w:rFonts w:hint="eastAsia"/>
          <w:lang w:val="en-CA"/>
        </w:rPr>
        <w:t xml:space="preserve">141.  </w:t>
      </w:r>
      <w:r w:rsidRPr="00AC4F0E">
        <w:rPr>
          <w:rFonts w:hint="eastAsia"/>
          <w:lang w:val="en-CA"/>
        </w:rPr>
        <w:t>过去，投资协定主要在发达国家与发展中国家之间订立；人们认为双方的谈判能力不对称、不均等。</w:t>
      </w:r>
      <w:r w:rsidRPr="00B53F40">
        <w:rPr>
          <w:rFonts w:hint="eastAsia"/>
          <w:w w:val="150"/>
          <w:vertAlign w:val="superscript"/>
          <w:lang w:val="en-CA"/>
        </w:rPr>
        <w:footnoteReference w:id="565"/>
      </w:r>
      <w:r w:rsidRPr="00AC4F0E">
        <w:rPr>
          <w:rFonts w:hint="eastAsia"/>
          <w:lang w:val="en-CA"/>
        </w:rPr>
        <w:t xml:space="preserve"> </w:t>
      </w:r>
      <w:r w:rsidRPr="00AC4F0E">
        <w:rPr>
          <w:rFonts w:hint="eastAsia"/>
          <w:lang w:val="en-CA"/>
        </w:rPr>
        <w:t>如今，许多双边投资协定是发达国家之间或发展中国家之间订立的，情况有所不同。</w:t>
      </w:r>
    </w:p>
    <w:p w:rsidR="00F91618" w:rsidRPr="00AC4F0E" w:rsidRDefault="00F91618" w:rsidP="00F91618">
      <w:pPr>
        <w:pStyle w:val="SingleTxt"/>
        <w:rPr>
          <w:lang w:val="en-CA"/>
        </w:rPr>
      </w:pPr>
      <w:r w:rsidRPr="00AC4F0E">
        <w:rPr>
          <w:rFonts w:hint="eastAsia"/>
          <w:lang w:val="en-CA"/>
        </w:rPr>
        <w:t xml:space="preserve">142.  </w:t>
      </w:r>
      <w:r w:rsidRPr="00AC4F0E">
        <w:rPr>
          <w:rFonts w:hint="eastAsia"/>
          <w:lang w:val="en-CA"/>
        </w:rPr>
        <w:t>可以对投资协定的谈判过程作出更为实质性的评论。一些国家拥有自己的双边投资协定范本，与其他国家的谈判一般以该协定范本为基础</w:t>
      </w:r>
      <w:r w:rsidRPr="00AC4F0E">
        <w:rPr>
          <w:rFonts w:hint="eastAsia"/>
        </w:rPr>
        <w:t>。因此，谈判不是从零开始，而是意味着接受或修订已经由一方起草的协定范本格式。因此，这些谈判最可能产生的结果是对具体规定的措词进行修订，而不是起草一份全新的协定。</w:t>
      </w:r>
    </w:p>
    <w:p w:rsidR="00F91618" w:rsidRPr="00AC4F0E" w:rsidRDefault="00F91618" w:rsidP="00F91618">
      <w:pPr>
        <w:pStyle w:val="SingleTxt"/>
      </w:pPr>
      <w:r w:rsidRPr="00AC4F0E">
        <w:rPr>
          <w:rFonts w:hint="eastAsia"/>
          <w:lang w:val="en-CA"/>
        </w:rPr>
        <w:lastRenderedPageBreak/>
        <w:t xml:space="preserve">143.  </w:t>
      </w:r>
      <w:r w:rsidRPr="00AC4F0E">
        <w:rPr>
          <w:rFonts w:hint="eastAsia"/>
        </w:rPr>
        <w:t>尽管如此，事实上，不论缔约方是谁，也不论依照怎样的协定范本，投资协定在许多关键方面具有相似性。这并不奇怪。现代投资协定是建立在一些核心规定之上的：最惠国待遇、国民待遇、公正和公平待遇，除非满足某些条件否则禁止征用，以及争端解决规定</w:t>
      </w:r>
      <w:r w:rsidRPr="00AC4F0E">
        <w:rPr>
          <w:rFonts w:hint="eastAsia"/>
        </w:rPr>
        <w:t>(</w:t>
      </w:r>
      <w:r w:rsidRPr="00AC4F0E">
        <w:rPr>
          <w:rFonts w:hint="eastAsia"/>
        </w:rPr>
        <w:t>一般包括投资者与国家之间的争端解决</w:t>
      </w:r>
      <w:r w:rsidRPr="00AC4F0E">
        <w:rPr>
          <w:rFonts w:hint="eastAsia"/>
        </w:rPr>
        <w:t>)</w:t>
      </w:r>
      <w:r w:rsidRPr="00AC4F0E">
        <w:rPr>
          <w:rFonts w:hint="eastAsia"/>
        </w:rPr>
        <w:t>。不论谈判中是否存在不对称，得到的结果似乎是相似的。</w:t>
      </w:r>
    </w:p>
    <w:p w:rsidR="00F91618" w:rsidRPr="00AC4F0E" w:rsidRDefault="00F91618" w:rsidP="00F91618">
      <w:pPr>
        <w:pStyle w:val="SingleTxt"/>
      </w:pPr>
      <w:r w:rsidRPr="00AC4F0E">
        <w:rPr>
          <w:rFonts w:hint="eastAsia"/>
          <w:lang w:val="en-CA"/>
        </w:rPr>
        <w:t xml:space="preserve">144.  </w:t>
      </w:r>
      <w:r w:rsidRPr="00AC4F0E">
        <w:rPr>
          <w:rFonts w:hint="eastAsia"/>
          <w:lang w:val="en-CA"/>
        </w:rPr>
        <w:t>研究组在审议非对称性问题后认为，虽然这个因素有助于拓宽对国际投资法领域的理解，但不是一个与解释单个投资协定有关的因素。</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2.</w:t>
      </w:r>
      <w:r w:rsidRPr="00AC4F0E">
        <w:rPr>
          <w:rFonts w:hint="eastAsia"/>
          <w:lang w:val="en-CA"/>
        </w:rPr>
        <w:tab/>
        <w:t>每项条约的特殊性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rPr>
          <w:lang w:val="en-CA"/>
        </w:rPr>
      </w:pPr>
      <w:r w:rsidRPr="00AC4F0E">
        <w:rPr>
          <w:rFonts w:hint="eastAsia"/>
          <w:lang w:val="en-CA"/>
        </w:rPr>
        <w:t xml:space="preserve">145.  </w:t>
      </w:r>
      <w:r w:rsidRPr="00AC4F0E">
        <w:rPr>
          <w:rFonts w:hint="eastAsia"/>
          <w:lang w:val="en-CA"/>
        </w:rPr>
        <w:t>一些国家表示，最惠国规定因条约而异，</w:t>
      </w:r>
      <w:r w:rsidRPr="00B53F40">
        <w:rPr>
          <w:rFonts w:hint="eastAsia"/>
          <w:w w:val="150"/>
          <w:vertAlign w:val="superscript"/>
          <w:lang w:val="en-CA"/>
        </w:rPr>
        <w:footnoteReference w:id="566"/>
      </w:r>
      <w:r w:rsidRPr="00AC4F0E">
        <w:rPr>
          <w:rFonts w:hint="eastAsia"/>
          <w:lang w:val="en-CA"/>
        </w:rPr>
        <w:t xml:space="preserve"> </w:t>
      </w:r>
      <w:r w:rsidRPr="00AC4F0E">
        <w:rPr>
          <w:rFonts w:hint="eastAsia"/>
          <w:lang w:val="en-CA"/>
        </w:rPr>
        <w:t>因此对这些规定不宜采用统一的办法。</w:t>
      </w:r>
      <w:r w:rsidRPr="00B53F40">
        <w:rPr>
          <w:rFonts w:hint="eastAsia"/>
          <w:w w:val="150"/>
          <w:vertAlign w:val="superscript"/>
          <w:lang w:val="en-CA"/>
        </w:rPr>
        <w:footnoteReference w:id="567"/>
      </w:r>
      <w:r w:rsidRPr="00AC4F0E">
        <w:rPr>
          <w:rFonts w:hint="eastAsia"/>
          <w:lang w:val="en-CA"/>
        </w:rPr>
        <w:t xml:space="preserve"> </w:t>
      </w:r>
      <w:r w:rsidRPr="00AC4F0E">
        <w:rPr>
          <w:rFonts w:hint="eastAsia"/>
          <w:lang w:val="en-CA"/>
        </w:rPr>
        <w:t>毫无疑问，与投资有关的最惠国规定主要包含在单个的双边投资协定中，每项条约对其最惠国规定都有特定的表述。</w:t>
      </w:r>
    </w:p>
    <w:p w:rsidR="00F91618" w:rsidRPr="00AC4F0E" w:rsidRDefault="00F91618" w:rsidP="00F91618">
      <w:pPr>
        <w:pStyle w:val="SingleTxt"/>
      </w:pPr>
      <w:r w:rsidRPr="00AC4F0E">
        <w:rPr>
          <w:rFonts w:hint="eastAsia"/>
          <w:lang w:val="en-CA"/>
        </w:rPr>
        <w:t xml:space="preserve">146.  </w:t>
      </w:r>
      <w:r w:rsidRPr="00AC4F0E">
        <w:rPr>
          <w:rFonts w:hint="eastAsia"/>
        </w:rPr>
        <w:t>同时，不论最惠国规定经历了怎样的谈判过程，也不论它们包含在怎样的条约之中，这些规定都有一个共同目标。</w:t>
      </w:r>
      <w:r w:rsidRPr="00AC4F0E">
        <w:rPr>
          <w:rFonts w:hint="eastAsia"/>
        </w:rPr>
        <w:t>1978</w:t>
      </w:r>
      <w:r w:rsidRPr="00AC4F0E">
        <w:rPr>
          <w:rFonts w:hint="eastAsia"/>
        </w:rPr>
        <w:t>年，委员会在第四条草案中把最惠国条款定义为“一项条约规定，据此规定一国向另一国承担一种义务，在约定的关系范围内给予最惠国待遇”。在第五条草案中，委员会把最惠国待遇定义为“授与国给予受惠国的待遇……不低于授与国给予第三国的待遇”。也就是说，不论具体如何表述，只要条约中的某项条款给予了不低于给予第三国待遇的待遇，这就是一项最惠国条款。它具有与其他任何最惠国条款相同的特征，具有相同的总体目标。</w:t>
      </w:r>
    </w:p>
    <w:p w:rsidR="00F91618" w:rsidRPr="00AC4F0E" w:rsidRDefault="00F91618" w:rsidP="00F91618">
      <w:pPr>
        <w:pStyle w:val="SingleTxt"/>
      </w:pPr>
      <w:r w:rsidRPr="00AC4F0E">
        <w:rPr>
          <w:rFonts w:hint="eastAsia"/>
          <w:lang w:val="en-CA"/>
        </w:rPr>
        <w:t xml:space="preserve">147.  </w:t>
      </w:r>
      <w:r w:rsidRPr="00AC4F0E">
        <w:rPr>
          <w:rFonts w:hint="eastAsia"/>
          <w:lang w:val="en-CA"/>
        </w:rPr>
        <w:t>然而，这一总体目标的实现方式取决于用来表述最惠国义务、范围、覆盖面和受惠方的实际措词。因而，必须逐案确定“同类”</w:t>
      </w:r>
      <w:r w:rsidRPr="00AC4F0E">
        <w:rPr>
          <w:rFonts w:hint="eastAsia"/>
          <w:lang w:val="en-CA"/>
        </w:rPr>
        <w:t>(</w:t>
      </w:r>
      <w:r w:rsidRPr="00AC4F0E">
        <w:rPr>
          <w:rFonts w:hint="eastAsia"/>
          <w:lang w:val="en-CA"/>
        </w:rPr>
        <w:t>可要求给予待遇的范围</w:t>
      </w:r>
      <w:r w:rsidRPr="00AC4F0E">
        <w:rPr>
          <w:rFonts w:hint="eastAsia"/>
          <w:lang w:val="en-CA"/>
        </w:rPr>
        <w:t>)</w:t>
      </w:r>
      <w:r w:rsidRPr="00AC4F0E">
        <w:rPr>
          <w:rFonts w:hint="eastAsia"/>
          <w:lang w:val="en-CA"/>
        </w:rPr>
        <w:t>这一关键问题。</w:t>
      </w:r>
    </w:p>
    <w:p w:rsidR="00F91618" w:rsidRPr="00AC4F0E" w:rsidRDefault="00F91618" w:rsidP="00F91618">
      <w:pPr>
        <w:pStyle w:val="SingleTxt"/>
        <w:rPr>
          <w:lang w:val="en-CA"/>
        </w:rPr>
      </w:pPr>
      <w:r w:rsidRPr="00AC4F0E">
        <w:rPr>
          <w:rFonts w:hint="eastAsia"/>
          <w:lang w:val="en-CA"/>
        </w:rPr>
        <w:t xml:space="preserve">148.  </w:t>
      </w:r>
      <w:r w:rsidRPr="00AC4F0E">
        <w:rPr>
          <w:rFonts w:hint="eastAsia"/>
          <w:lang w:val="en-CA"/>
        </w:rPr>
        <w:t>不过研究组认为，所有最惠国规定的共同目标以及许多投资协定用语的相似性意味着，对一项投资协定中的某项最惠国规定的解释</w:t>
      </w:r>
      <w:r w:rsidRPr="00AC4F0E">
        <w:rPr>
          <w:rFonts w:hint="eastAsia"/>
        </w:rPr>
        <w:t>可以为解释另一项投资协定中的最惠国规定提供指导。投资法庭在解释最惠国规定时，确实考虑过正在处理的协定以外的其他协定中的规定。</w:t>
      </w:r>
    </w:p>
    <w:p w:rsidR="00F91618" w:rsidRPr="00AC4F0E" w:rsidRDefault="00F91618" w:rsidP="00F91618">
      <w:pPr>
        <w:pStyle w:val="SingleTxt"/>
      </w:pPr>
      <w:r w:rsidRPr="00AC4F0E">
        <w:rPr>
          <w:rFonts w:hint="eastAsia"/>
          <w:lang w:val="en-CA"/>
        </w:rPr>
        <w:t xml:space="preserve">149.  </w:t>
      </w:r>
      <w:r w:rsidRPr="00AC4F0E">
        <w:rPr>
          <w:rFonts w:hint="eastAsia"/>
          <w:lang w:val="en-CA"/>
        </w:rPr>
        <w:t>然而，对任何一项最惠国规定的解释都必须根据《维也纳条约法公约》第三十一至三十二条作出。</w:t>
      </w:r>
      <w:r w:rsidRPr="00AC4F0E">
        <w:rPr>
          <w:rFonts w:hint="eastAsia"/>
        </w:rPr>
        <w:t>因此，虽然可以从其他协定里最惠国待遇的含义中寻求指导，但是对每项最惠国规定的解释必须依据其自身措词以及条约的上下文作出。因此，没有理由得出这样的结论，即存在一个适用于所有投资协定的对最惠国规定的唯一解释。</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B.</w:t>
      </w:r>
      <w:r w:rsidRPr="00AC4F0E">
        <w:rPr>
          <w:rFonts w:hint="eastAsia"/>
          <w:lang w:val="en-CA"/>
        </w:rPr>
        <w:tab/>
        <w:t>解决投资争端的仲裁是“混合仲裁”</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lastRenderedPageBreak/>
        <w:t>150.  1978</w:t>
      </w:r>
      <w:r w:rsidRPr="00AC4F0E">
        <w:rPr>
          <w:rFonts w:hint="eastAsia"/>
          <w:lang w:val="en-CA"/>
        </w:rPr>
        <w:t>年，委员会设想的是，最惠国规定的受惠方不仅可以是该规定所属协定的缔约国，也可以是“与该国有确定关系的人和事。”</w:t>
      </w:r>
      <w:r w:rsidRPr="00B53F40">
        <w:rPr>
          <w:rFonts w:hint="eastAsia"/>
          <w:w w:val="150"/>
          <w:vertAlign w:val="superscript"/>
          <w:lang w:val="en-CA"/>
        </w:rPr>
        <w:footnoteReference w:id="568"/>
      </w:r>
      <w:r w:rsidRPr="00AC4F0E">
        <w:rPr>
          <w:rFonts w:hint="eastAsia"/>
          <w:lang w:val="en-CA"/>
        </w:rPr>
        <w:t xml:space="preserve"> </w:t>
      </w:r>
      <w:r w:rsidRPr="00AC4F0E">
        <w:rPr>
          <w:rFonts w:hint="eastAsia"/>
          <w:lang w:val="en-CA"/>
        </w:rPr>
        <w:t>根据投资协定，国家通常不仅彼此给予最惠国待遇，还向彼此的投资者和投资给予最惠国待遇。委员会当时对受惠方是个人有何影响不予进一步考虑，</w:t>
      </w:r>
      <w:r w:rsidRPr="00AC4F0E">
        <w:rPr>
          <w:rFonts w:hint="eastAsia"/>
        </w:rPr>
        <w:t>认为既然《维也纳条约法公约》的条款草案不涉及条约对个人适用的问题，委员会也就不深究这一问题。</w:t>
      </w:r>
    </w:p>
    <w:p w:rsidR="00F91618" w:rsidRPr="00AC4F0E" w:rsidRDefault="00F91618" w:rsidP="00F91618">
      <w:pPr>
        <w:pStyle w:val="SingleTxt"/>
      </w:pPr>
      <w:r w:rsidRPr="00AC4F0E">
        <w:rPr>
          <w:rFonts w:hint="eastAsia"/>
          <w:lang w:val="en-CA"/>
        </w:rPr>
        <w:t xml:space="preserve">151.  </w:t>
      </w:r>
      <w:r w:rsidRPr="00AC4F0E">
        <w:rPr>
          <w:rFonts w:hint="eastAsia"/>
          <w:lang w:val="en-CA"/>
        </w:rPr>
        <w:t>然而从实践上说，</w:t>
      </w:r>
      <w:r w:rsidRPr="00AC4F0E">
        <w:rPr>
          <w:rFonts w:hint="eastAsia"/>
          <w:lang w:val="en-CA"/>
        </w:rPr>
        <w:t>1978</w:t>
      </w:r>
      <w:r w:rsidRPr="00AC4F0E">
        <w:rPr>
          <w:rFonts w:hint="eastAsia"/>
          <w:lang w:val="en-CA"/>
        </w:rPr>
        <w:t>年拟定条款草案时，可供参考的、以个人为受惠方的实践少之又少。是否要求授与国履行给予最惠国待遇的义务取决于受惠国。不给予最惠国待遇是违约行为，只要有相应的法庭，一国就可以对另一国提起诉讼。不存在供投资者起诉外国的国际法庭；不过，如果相关条约义务已经成为国内法的一部分，或者根据国内法存在独立的起诉权，则投资者可以向授与国的国内法院提起诉讼。在这类情况下，向国内法院起诉授与国的依据不是条约赋予的权利，而是授与国的国内法赋予的权利。</w:t>
      </w:r>
    </w:p>
    <w:p w:rsidR="00F91618" w:rsidRPr="00AC4F0E" w:rsidRDefault="00F91618" w:rsidP="00F91618">
      <w:pPr>
        <w:pStyle w:val="SingleTxt"/>
        <w:rPr>
          <w:lang w:val="en-CA"/>
        </w:rPr>
      </w:pPr>
      <w:r w:rsidRPr="00AC4F0E">
        <w:rPr>
          <w:rFonts w:hint="eastAsia"/>
          <w:lang w:val="en-CA"/>
        </w:rPr>
        <w:t xml:space="preserve">152.  </w:t>
      </w:r>
      <w:r w:rsidRPr="00AC4F0E">
        <w:rPr>
          <w:rFonts w:hint="eastAsia"/>
          <w:lang w:val="en-CA"/>
        </w:rPr>
        <w:t>投资者与国家间争端解决的出现引起了这个方面的一个重大变化，使投资者得以独立于国家，利用投资协定缔约方设定的争端解决机制，直接对授与国提起诉讼。结果是，解决投资者与国家间争端的法庭就投资协定的解释，尤其是最惠国条款的解释作出了大量判例。</w:t>
      </w:r>
    </w:p>
    <w:p w:rsidR="00F91618" w:rsidRPr="00AC4F0E" w:rsidRDefault="00F91618" w:rsidP="00F91618">
      <w:pPr>
        <w:pStyle w:val="SingleTxt"/>
      </w:pPr>
      <w:r w:rsidRPr="00AC4F0E">
        <w:rPr>
          <w:rFonts w:hint="eastAsia"/>
          <w:lang w:val="en-CA"/>
        </w:rPr>
        <w:t xml:space="preserve">153.  </w:t>
      </w:r>
      <w:r w:rsidRPr="00AC4F0E">
        <w:rPr>
          <w:rFonts w:hint="eastAsia"/>
          <w:lang w:val="en-CA"/>
        </w:rPr>
        <w:t>然而，投资者与国家间的仲裁具有混合性质，对投资协定的解释构成特殊挑战。协定是国家之间订立的，因而是条约。但解释条约的法庭与商事仲裁具有某种相似性，商事仲裁历来是一个私法制度而非公法制度。因此，解释方将协定视为一项国际法文书还是一项合同安排</w:t>
      </w:r>
      <w:r w:rsidRPr="00AC4F0E">
        <w:rPr>
          <w:rFonts w:hint="eastAsia"/>
        </w:rPr>
        <w:t>，可能对解释最惠国规定的方式产生影响。</w:t>
      </w:r>
    </w:p>
    <w:p w:rsidR="00F91618" w:rsidRPr="00AC4F0E" w:rsidRDefault="00F91618" w:rsidP="005B5962">
      <w:pPr>
        <w:pStyle w:val="SingleTxt"/>
      </w:pPr>
      <w:r w:rsidRPr="00AC4F0E">
        <w:rPr>
          <w:rFonts w:hint="eastAsia"/>
          <w:lang w:val="en-CA"/>
        </w:rPr>
        <w:t xml:space="preserve">154.  </w:t>
      </w:r>
      <w:r w:rsidRPr="00AC4F0E">
        <w:rPr>
          <w:rFonts w:hint="eastAsia"/>
          <w:lang w:val="en-CA"/>
        </w:rPr>
        <w:t>人们可能对处理“混合”仲裁的法庭的地位及其工作结果提出疑问。这些法庭的“混合”性质体现在争端当事方在国际法下的地位不平等。在特许协定的时代，协定本身是由国际公法实体</w:t>
      </w:r>
      <w:r w:rsidRPr="00AC4F0E">
        <w:rPr>
          <w:rFonts w:hint="eastAsia"/>
        </w:rPr>
        <w:t>(</w:t>
      </w:r>
      <w:r w:rsidRPr="00AC4F0E">
        <w:rPr>
          <w:rFonts w:hint="eastAsia"/>
        </w:rPr>
        <w:t>即国家</w:t>
      </w:r>
      <w:r w:rsidRPr="00AC4F0E">
        <w:rPr>
          <w:rFonts w:hint="eastAsia"/>
        </w:rPr>
        <w:t>)</w:t>
      </w:r>
      <w:r w:rsidRPr="00AC4F0E">
        <w:rPr>
          <w:rFonts w:hint="eastAsia"/>
        </w:rPr>
        <w:t>与私法实体</w:t>
      </w:r>
      <w:r w:rsidRPr="00AC4F0E">
        <w:rPr>
          <w:rFonts w:hint="eastAsia"/>
        </w:rPr>
        <w:t>(</w:t>
      </w:r>
      <w:r w:rsidRPr="00AC4F0E">
        <w:rPr>
          <w:rFonts w:hint="eastAsia"/>
        </w:rPr>
        <w:t>即与之订立协定的个人或公司</w:t>
      </w:r>
      <w:r w:rsidRPr="00AC4F0E">
        <w:rPr>
          <w:rFonts w:hint="eastAsia"/>
        </w:rPr>
        <w:t>)</w:t>
      </w:r>
      <w:r w:rsidRPr="00AC4F0E">
        <w:rPr>
          <w:rFonts w:hint="eastAsia"/>
        </w:rPr>
        <w:t>签订的。这方面最先引起的关切是，此类协定仅有一方是国际法的主体，协定应受国际法还是国内法的管辖？跨国法和准国际法的概念也引起了辩论。</w:t>
      </w:r>
    </w:p>
    <w:p w:rsidR="00F91618" w:rsidRPr="00AC4F0E" w:rsidRDefault="00F91618" w:rsidP="00F91618">
      <w:pPr>
        <w:pStyle w:val="SingleTxt"/>
        <w:rPr>
          <w:lang w:val="en-CA"/>
        </w:rPr>
      </w:pPr>
      <w:r w:rsidRPr="00AC4F0E">
        <w:rPr>
          <w:rFonts w:hint="eastAsia"/>
          <w:lang w:val="en-CA"/>
        </w:rPr>
        <w:t xml:space="preserve">155.  </w:t>
      </w:r>
      <w:r w:rsidRPr="00AC4F0E">
        <w:rPr>
          <w:rFonts w:hint="eastAsia"/>
          <w:lang w:val="en-CA"/>
        </w:rPr>
        <w:t>投资协定不存在这个问题，因为它们显然是条约。然而，投资者与国家争端解决规定下的争端依然是国际法下地位不同的当事方之间的争端。因而有人说，由私人诉讼方提起的诉讼</w:t>
      </w:r>
      <w:r w:rsidRPr="00AC4F0E">
        <w:rPr>
          <w:rFonts w:hint="eastAsia"/>
        </w:rPr>
        <w:t>也可以被视为国内诉讼，处理此类混合仲裁的仲裁员的任务和职能无异于国内法官。</w:t>
      </w:r>
      <w:r w:rsidRPr="00B53F40">
        <w:rPr>
          <w:rFonts w:hint="eastAsia"/>
          <w:w w:val="150"/>
          <w:vertAlign w:val="superscript"/>
          <w:lang w:val="en-CA"/>
        </w:rPr>
        <w:footnoteReference w:id="569"/>
      </w:r>
      <w:r w:rsidRPr="00B53F40">
        <w:rPr>
          <w:rFonts w:hint="eastAsia"/>
          <w:w w:val="150"/>
          <w:vertAlign w:val="superscript"/>
          <w:lang w:val="en-CA"/>
        </w:rPr>
        <w:t xml:space="preserve"> </w:t>
      </w:r>
      <w:r w:rsidRPr="00AC4F0E">
        <w:rPr>
          <w:rFonts w:hint="eastAsia"/>
          <w:lang w:val="en-CA"/>
        </w:rPr>
        <w:t>从这个意义上讲，可以把投资者与国家间的争端解决视为国内诉讼的替代办法，投资协定中普遍存在的</w:t>
      </w:r>
      <w:r w:rsidRPr="00AC4F0E">
        <w:rPr>
          <w:rFonts w:hint="eastAsia"/>
          <w:lang w:val="en-CA"/>
        </w:rPr>
        <w:t xml:space="preserve"> </w:t>
      </w:r>
      <w:r w:rsidRPr="00AC4F0E">
        <w:rPr>
          <w:rFonts w:hint="eastAsia"/>
          <w:lang w:val="en-CA"/>
        </w:rPr>
        <w:t>“岔路口条款”强化了这一点，该条款要求原告投资者在某个时间点在国内诉讼和投资者与国家间争端解决之间作出选择。</w:t>
      </w:r>
    </w:p>
    <w:p w:rsidR="00F91618" w:rsidRPr="00AC4F0E" w:rsidRDefault="00F91618" w:rsidP="00F91618">
      <w:pPr>
        <w:pStyle w:val="SingleTxt"/>
        <w:rPr>
          <w:lang w:val="en-CA"/>
        </w:rPr>
      </w:pPr>
      <w:r w:rsidRPr="00AC4F0E">
        <w:rPr>
          <w:rFonts w:hint="eastAsia"/>
          <w:lang w:val="en-CA"/>
        </w:rPr>
        <w:t xml:space="preserve">156.  </w:t>
      </w:r>
      <w:r w:rsidRPr="00AC4F0E">
        <w:rPr>
          <w:rFonts w:hint="eastAsia"/>
          <w:lang w:val="en-CA"/>
        </w:rPr>
        <w:t>然而，审理此类争端的法庭是根据国家间商定的机制设立起来的，必须解释并适用条约的规定。它通常不会适用国内法的规定，但在某些案件中，条约可能要</w:t>
      </w:r>
      <w:r w:rsidRPr="00AC4F0E">
        <w:rPr>
          <w:rFonts w:hint="eastAsia"/>
          <w:lang w:val="en-CA"/>
        </w:rPr>
        <w:lastRenderedPageBreak/>
        <w:t>求适用国内法。</w:t>
      </w:r>
      <w:r w:rsidRPr="00AC4F0E">
        <w:rPr>
          <w:rFonts w:hint="eastAsia"/>
        </w:rPr>
        <w:t>此外，如果法庭设在国际投资争端解决中心下，它就具有适用“可适用的国际法规则”的具体任务。</w:t>
      </w:r>
      <w:r w:rsidRPr="00B53F40">
        <w:rPr>
          <w:rFonts w:hint="eastAsia"/>
          <w:w w:val="150"/>
          <w:vertAlign w:val="superscript"/>
          <w:lang w:val="en-CA"/>
        </w:rPr>
        <w:footnoteReference w:id="570"/>
      </w:r>
    </w:p>
    <w:p w:rsidR="00F91618" w:rsidRPr="00AC4F0E" w:rsidRDefault="00F91618" w:rsidP="00F91618">
      <w:pPr>
        <w:pStyle w:val="SingleTxt"/>
      </w:pPr>
      <w:r w:rsidRPr="00AC4F0E">
        <w:rPr>
          <w:rFonts w:hint="eastAsia"/>
          <w:lang w:val="en-CA"/>
        </w:rPr>
        <w:t xml:space="preserve">157.  </w:t>
      </w:r>
      <w:r w:rsidRPr="00AC4F0E">
        <w:rPr>
          <w:rFonts w:hint="eastAsia"/>
          <w:lang w:val="en-CA"/>
        </w:rPr>
        <w:t>研究组的结论是，在考虑最惠国规定时，投资者与国家间争端解决仲裁的“混合”性质不是采用不同办法适用</w:t>
      </w:r>
      <w:r w:rsidRPr="00AC4F0E">
        <w:rPr>
          <w:rFonts w:hint="eastAsia"/>
        </w:rPr>
        <w:t>条约解释规则的理由。投资协定是一种条款已由国家商定的条约。单个投资者不参与拟定条约义务，仅有根据条约提起诉讼的权利。投资协定作为条约，必须根据约束条约解释的公认国际法规则加以解释。</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C.</w:t>
      </w:r>
      <w:r w:rsidRPr="00AC4F0E">
        <w:rPr>
          <w:rFonts w:hint="eastAsia"/>
          <w:lang w:val="en-CA"/>
        </w:rPr>
        <w:tab/>
        <w:t>1978年条款草案对解释最惠国规定的当代意义</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158.  </w:t>
      </w:r>
      <w:r w:rsidRPr="00AC4F0E">
        <w:rPr>
          <w:rFonts w:hint="eastAsia"/>
          <w:lang w:val="en-CA"/>
        </w:rPr>
        <w:t>研究组前文指出，</w:t>
      </w:r>
      <w:r w:rsidRPr="00AC4F0E">
        <w:rPr>
          <w:rFonts w:hint="eastAsia"/>
          <w:lang w:val="en-CA"/>
        </w:rPr>
        <w:t>1978</w:t>
      </w:r>
      <w:r w:rsidRPr="00AC4F0E">
        <w:rPr>
          <w:rFonts w:hint="eastAsia"/>
          <w:lang w:val="en-CA"/>
        </w:rPr>
        <w:t>年条款草案设想最惠国规定的受益方可能是与受惠国有“确定关系的”个人或实体</w:t>
      </w:r>
      <w:r w:rsidRPr="00AC4F0E">
        <w:rPr>
          <w:rFonts w:hint="eastAsia"/>
        </w:rPr>
        <w:t>。但委员会并未考虑这种情况的影响，它认为个人的权利不属于其任务范围。然而，处理投资者与国家间争端的法庭常说条约草案制定了关于最惠国规定的基本法，尤其在与“同类”原则相关的方面。</w:t>
      </w:r>
    </w:p>
    <w:p w:rsidR="00F91618" w:rsidRPr="00AC4F0E" w:rsidRDefault="00F91618" w:rsidP="00F91618">
      <w:pPr>
        <w:pStyle w:val="SingleTxt"/>
      </w:pPr>
      <w:r w:rsidRPr="00AC4F0E">
        <w:rPr>
          <w:rFonts w:hint="eastAsia"/>
          <w:lang w:val="en-CA"/>
        </w:rPr>
        <w:t xml:space="preserve">159.  </w:t>
      </w:r>
      <w:r w:rsidRPr="00AC4F0E">
        <w:rPr>
          <w:rFonts w:hint="eastAsia"/>
          <w:lang w:val="en-CA"/>
        </w:rPr>
        <w:t>不过，研究组注意到，</w:t>
      </w:r>
      <w:r w:rsidRPr="00AC4F0E">
        <w:rPr>
          <w:rFonts w:hint="eastAsia"/>
          <w:lang w:val="en-CA"/>
        </w:rPr>
        <w:t>1978</w:t>
      </w:r>
      <w:r w:rsidRPr="00AC4F0E">
        <w:rPr>
          <w:rFonts w:hint="eastAsia"/>
          <w:lang w:val="en-CA"/>
        </w:rPr>
        <w:t>年条款草案虽然提供了关于最惠国条款和最惠国待遇定义和含义的核心法律，也确立了基本原则</w:t>
      </w:r>
      <w:r w:rsidRPr="00AC4F0E">
        <w:rPr>
          <w:rFonts w:hint="eastAsia"/>
        </w:rPr>
        <w:t>，但没有就具体条约中实际使用的措辞可能产生的具体解释问题提供指导。</w:t>
      </w:r>
      <w:r w:rsidRPr="00AC4F0E">
        <w:rPr>
          <w:rFonts w:hint="eastAsia"/>
        </w:rPr>
        <w:t>1978</w:t>
      </w:r>
      <w:r w:rsidRPr="00AC4F0E">
        <w:rPr>
          <w:rFonts w:hint="eastAsia"/>
        </w:rPr>
        <w:t>年条款草案没有回答，至少没有直接回答是否可以根据最惠国规定对争端解决的程序性规则进行修改的问题。</w:t>
      </w:r>
    </w:p>
    <w:p w:rsidR="00F91618" w:rsidRPr="00AC4F0E" w:rsidRDefault="00F91618" w:rsidP="00F91618">
      <w:pPr>
        <w:pStyle w:val="SingleTxt"/>
        <w:rPr>
          <w:lang w:val="en-CA"/>
        </w:rPr>
      </w:pPr>
      <w:r w:rsidRPr="00AC4F0E">
        <w:rPr>
          <w:rFonts w:hint="eastAsia"/>
          <w:lang w:val="en-CA"/>
        </w:rPr>
        <w:t xml:space="preserve">160.  </w:t>
      </w:r>
      <w:r w:rsidRPr="00AC4F0E">
        <w:rPr>
          <w:rFonts w:hint="eastAsia"/>
          <w:lang w:val="en-CA"/>
        </w:rPr>
        <w:t>研究组认为，</w:t>
      </w:r>
      <w:r w:rsidRPr="00AC4F0E">
        <w:rPr>
          <w:rFonts w:hint="eastAsia"/>
          <w:lang w:val="en-CA"/>
        </w:rPr>
        <w:t>1978</w:t>
      </w:r>
      <w:r w:rsidRPr="00AC4F0E">
        <w:rPr>
          <w:rFonts w:hint="eastAsia"/>
          <w:lang w:val="en-CA"/>
        </w:rPr>
        <w:t>年条款草案的核心规定</w:t>
      </w:r>
      <w:r w:rsidRPr="00B53F40">
        <w:rPr>
          <w:rFonts w:hint="eastAsia"/>
          <w:w w:val="150"/>
          <w:vertAlign w:val="superscript"/>
          <w:lang w:val="en-CA"/>
        </w:rPr>
        <w:footnoteReference w:id="571"/>
      </w:r>
      <w:r w:rsidRPr="00B53F40">
        <w:rPr>
          <w:rFonts w:hint="eastAsia"/>
          <w:w w:val="150"/>
          <w:vertAlign w:val="superscript"/>
          <w:lang w:val="en-CA"/>
        </w:rPr>
        <w:t xml:space="preserve"> </w:t>
      </w:r>
      <w:r w:rsidRPr="00AC4F0E">
        <w:rPr>
          <w:rFonts w:hint="eastAsia"/>
          <w:lang w:val="en-CA"/>
        </w:rPr>
        <w:t>从未被质疑，而是经常被适用，所以在考虑最惠国条款的定义、范围和适用时仍然是国际法的一个重要来源。</w:t>
      </w:r>
    </w:p>
    <w:p w:rsidR="00F91618" w:rsidRPr="00B53F40" w:rsidRDefault="00F91618" w:rsidP="00F91618">
      <w:pPr>
        <w:pStyle w:val="SingleTxt"/>
        <w:spacing w:after="0" w:line="120" w:lineRule="exact"/>
        <w:rPr>
          <w:sz w:val="10"/>
          <w:lang w:val="en-CA"/>
        </w:rPr>
      </w:pPr>
    </w:p>
    <w:p w:rsidR="00F91618"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r>
      <w:r w:rsidRPr="00AC4F0E">
        <w:rPr>
          <w:rFonts w:hint="eastAsia"/>
          <w:lang w:val="en-CA"/>
        </w:rPr>
        <w:tab/>
      </w:r>
      <w:r>
        <w:rPr>
          <w:rFonts w:hint="eastAsia"/>
          <w:lang w:val="en-CA"/>
        </w:rPr>
        <w:t>第四部分</w:t>
      </w:r>
      <w:r>
        <w:rPr>
          <w:lang w:val="en-CA"/>
        </w:rPr>
        <w:br/>
      </w:r>
      <w:r w:rsidRPr="00AC4F0E">
        <w:rPr>
          <w:rFonts w:hint="eastAsia"/>
          <w:lang w:val="en-CA"/>
        </w:rPr>
        <w:t>关于解释最惠国条款的指导</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161.  </w:t>
      </w:r>
      <w:r w:rsidRPr="00AC4F0E">
        <w:rPr>
          <w:rFonts w:hint="eastAsia"/>
          <w:lang w:val="en-CA"/>
        </w:rPr>
        <w:t>本部分列出了对最惠国条款恰当适用条约解释的各项规则和原则的框架。研究组通过先前的分析得出结论，法庭就争端解决规定对最惠国条款作出解释的方式存在三个核心问题。第一，最惠国规定原则上能否适用于双边投资条约的争端解决规定？第二，双边投资条约中关于投资者可以援引哪些争端解决规定的条件是否影响法庭的管辖权？第三，在确定双边投资条约中的最惠国条款是否适用于援引争端解决的条件时，哪些因素是解释过程中的相关因素？以下各小节对这些问题分别予以阐述。</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A.</w:t>
      </w:r>
      <w:r w:rsidRPr="00AC4F0E">
        <w:rPr>
          <w:rFonts w:hint="eastAsia"/>
          <w:lang w:val="en-CA"/>
        </w:rPr>
        <w:tab/>
        <w:t>最惠国规定原则上能够适用于双边投资条约的争端解决规定</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rPr>
          <w:lang w:val="en-CA"/>
        </w:rPr>
      </w:pPr>
      <w:r w:rsidRPr="00AC4F0E">
        <w:rPr>
          <w:rFonts w:hint="eastAsia"/>
          <w:lang w:val="en-CA"/>
        </w:rPr>
        <w:t xml:space="preserve">162.  </w:t>
      </w:r>
      <w:r w:rsidRPr="00AC4F0E">
        <w:rPr>
          <w:rFonts w:hint="eastAsia"/>
          <w:lang w:val="en-CA"/>
        </w:rPr>
        <w:t>虽然法庭一些较早的裁决中有争议，但原则上最惠国规定能够适用于双边投资条约的争端解决规定，这一点几乎没有疑问。虽然这种提法可能最初源于对仲裁</w:t>
      </w:r>
      <w:r w:rsidRPr="00AC4F0E">
        <w:rPr>
          <w:rFonts w:hint="eastAsia"/>
          <w:lang w:val="en-CA"/>
        </w:rPr>
        <w:lastRenderedPageBreak/>
        <w:t>委员会在</w:t>
      </w:r>
      <w:r w:rsidRPr="00AC4F0E">
        <w:rPr>
          <w:lang w:val="en-CA"/>
        </w:rPr>
        <w:t>安巴提洛斯</w:t>
      </w:r>
      <w:r w:rsidRPr="00AC4F0E">
        <w:rPr>
          <w:rFonts w:hint="eastAsia"/>
          <w:lang w:val="en-CA"/>
        </w:rPr>
        <w:t>案中真实用意的误读</w:t>
      </w:r>
      <w:r w:rsidRPr="00AC4F0E">
        <w:rPr>
          <w:rFonts w:hint="eastAsia"/>
          <w:lang w:val="en-CA"/>
        </w:rPr>
        <w:t>(</w:t>
      </w:r>
      <w:r w:rsidRPr="00AC4F0E">
        <w:rPr>
          <w:rFonts w:hint="eastAsia"/>
          <w:lang w:val="en-CA"/>
        </w:rPr>
        <w:t>委员会提到“司法”属于提及“与通商和航海有关的一切事项”的最惠国规定的范围</w:t>
      </w:r>
      <w:r w:rsidRPr="00AC4F0E">
        <w:rPr>
          <w:rFonts w:hint="eastAsia"/>
          <w:lang w:val="en-CA"/>
        </w:rPr>
        <w:t>)</w:t>
      </w:r>
      <w:r w:rsidRPr="00AC4F0E">
        <w:rPr>
          <w:rFonts w:hint="eastAsia"/>
          <w:lang w:val="en-CA"/>
        </w:rPr>
        <w:t>，但事实的确如此。委员会当时指的是诉诸联合王国的法院来强制执行实体性权利，而不是强制执行变更援引争端解决的条件的权利。但现在这一点似乎意义不大。在根本上是缔约方自主性的问题；双边投资条约的缔约方如果愿意，可以将诉诸争端解决的条件纳入最惠国规定的覆盖范围。每个案件中的问题在于缔约方是否这样做了。</w:t>
      </w:r>
    </w:p>
    <w:p w:rsidR="00F91618" w:rsidRPr="00653B40" w:rsidRDefault="00F91618" w:rsidP="00F91618">
      <w:pPr>
        <w:pStyle w:val="SingleTxt"/>
        <w:rPr>
          <w:lang w:val="en-CA"/>
        </w:rPr>
      </w:pPr>
      <w:r w:rsidRPr="00AC4F0E">
        <w:rPr>
          <w:rFonts w:hint="eastAsia"/>
          <w:lang w:val="en-CA"/>
        </w:rPr>
        <w:t xml:space="preserve">163.  </w:t>
      </w:r>
      <w:r w:rsidRPr="00AC4F0E">
        <w:rPr>
          <w:rFonts w:hint="eastAsia"/>
          <w:lang w:val="en-CA"/>
        </w:rPr>
        <w:t>从这个意义上说，这一问题确实是一个条约解释问题，只能在每个特定的案件中得到回答。如果缔约方明确地将诉诸争端解决的条件纳入其最惠国规定的框架内，</w:t>
      </w:r>
      <w:r w:rsidRPr="00B53F40">
        <w:rPr>
          <w:rFonts w:hint="eastAsia"/>
          <w:w w:val="150"/>
          <w:vertAlign w:val="superscript"/>
          <w:lang w:val="en-CA"/>
        </w:rPr>
        <w:footnoteReference w:id="572"/>
      </w:r>
      <w:r w:rsidRPr="00AC4F0E">
        <w:rPr>
          <w:rFonts w:hint="eastAsia"/>
          <w:lang w:val="en-CA"/>
        </w:rPr>
        <w:t xml:space="preserve"> </w:t>
      </w:r>
      <w:r w:rsidRPr="00AC4F0E">
        <w:rPr>
          <w:rFonts w:hint="eastAsia"/>
          <w:lang w:val="en-CA"/>
        </w:rPr>
        <w:t>就不会造成任何困难。同样，如果缔约方明确地排除了最惠国条款适用于诉诸司法的条件，也不会造成困难。但是现有双边投资条约中的绝大多数最惠国规定在这一点上并不明确，因此每个案件都会出现这些规定该如何解释的问题。然而，至少可以说，对双边投资条约中的最惠国规定进行解释的法庭不需要研究这些规定在原则上是否可以适用于争端解决规定。</w:t>
      </w:r>
    </w:p>
    <w:p w:rsidR="00F91618"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B.</w:t>
      </w:r>
      <w:r w:rsidRPr="00AC4F0E">
        <w:rPr>
          <w:rFonts w:hint="eastAsia"/>
          <w:lang w:val="en-CA"/>
        </w:rPr>
        <w:tab/>
        <w:t>争端解决相关条件以及法庭的管辖权</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164.  </w:t>
      </w:r>
      <w:r w:rsidRPr="00AC4F0E">
        <w:rPr>
          <w:rFonts w:hint="eastAsia"/>
          <w:lang w:val="en-CA"/>
        </w:rPr>
        <w:t>不过，确定这是一个解释上的问题后，就会出现这样一个问题：是否存在与最惠国规定，或与关于投资者诉诸争端解决条件的规定类似的任何因素，可能对解释过程有用？在这方面，仍然存在这些事项是否属于法庭的司法管辖范围的问题。最惠国规定的运用必须满足一定参数</w:t>
      </w:r>
      <w:r w:rsidRPr="00AC4F0E">
        <w:rPr>
          <w:rFonts w:hint="eastAsia"/>
          <w:lang w:bidi="en-US"/>
        </w:rPr>
        <w:t>(</w:t>
      </w:r>
      <w:r w:rsidRPr="00AC4F0E">
        <w:rPr>
          <w:rFonts w:hint="eastAsia"/>
          <w:lang w:bidi="en-US"/>
        </w:rPr>
        <w:t>属事理由、属人理由、属时理由等</w:t>
      </w:r>
      <w:r w:rsidRPr="00AC4F0E">
        <w:rPr>
          <w:rFonts w:hint="eastAsia"/>
          <w:lang w:bidi="en-US"/>
        </w:rPr>
        <w:t>)</w:t>
      </w:r>
      <w:r w:rsidRPr="00AC4F0E">
        <w:rPr>
          <w:rFonts w:hint="eastAsia"/>
          <w:lang w:bidi="en-US"/>
        </w:rPr>
        <w:t>，</w:t>
      </w:r>
      <w:r w:rsidRPr="00B53F40">
        <w:rPr>
          <w:rFonts w:hint="eastAsia"/>
          <w:w w:val="150"/>
          <w:vertAlign w:val="superscript"/>
          <w:lang w:val="en-CA"/>
        </w:rPr>
        <w:footnoteReference w:id="573"/>
      </w:r>
      <w:r w:rsidRPr="00AC4F0E">
        <w:rPr>
          <w:rFonts w:hint="eastAsia"/>
          <w:lang w:bidi="en-US"/>
        </w:rPr>
        <w:t xml:space="preserve"> </w:t>
      </w:r>
      <w:r w:rsidRPr="00AC4F0E">
        <w:rPr>
          <w:rFonts w:hint="eastAsia"/>
          <w:lang w:bidi="en-US"/>
        </w:rPr>
        <w:t>因而问题就变成了：与诉诸争端解决有关的条件本身是否构成一个相关参数？</w:t>
      </w:r>
    </w:p>
    <w:p w:rsidR="00F91618" w:rsidRPr="00AC4F0E" w:rsidRDefault="00F91618" w:rsidP="00F91618">
      <w:pPr>
        <w:pStyle w:val="SingleTxt"/>
        <w:rPr>
          <w:lang w:val="en-CA"/>
        </w:rPr>
      </w:pPr>
      <w:r w:rsidRPr="00AC4F0E">
        <w:rPr>
          <w:rFonts w:hint="eastAsia"/>
          <w:lang w:val="en-CA"/>
        </w:rPr>
        <w:t xml:space="preserve">165.  </w:t>
      </w:r>
      <w:r w:rsidRPr="00AC4F0E">
        <w:rPr>
          <w:rFonts w:hint="eastAsia"/>
          <w:lang w:val="en-CA"/>
        </w:rPr>
        <w:t>对最惠国规定的解释和适用不能毫无限制。</w:t>
      </w:r>
      <w:r w:rsidRPr="00AC4F0E">
        <w:rPr>
          <w:rFonts w:hint="eastAsia"/>
          <w:lang w:val="en-CA"/>
        </w:rPr>
        <w:t>1978</w:t>
      </w:r>
      <w:r w:rsidRPr="00AC4F0E">
        <w:rPr>
          <w:rFonts w:hint="eastAsia"/>
          <w:lang w:val="en-CA"/>
        </w:rPr>
        <w:t>年条款草案第十四条规定：</w:t>
      </w:r>
    </w:p>
    <w:p w:rsidR="00F91618" w:rsidRPr="00AC4F0E" w:rsidRDefault="00F91618" w:rsidP="00F91618">
      <w:pPr>
        <w:pStyle w:val="SingleTxt"/>
        <w:ind w:left="1695"/>
        <w:rPr>
          <w:lang w:val="en-CA"/>
        </w:rPr>
      </w:pPr>
      <w:r w:rsidRPr="00AC4F0E">
        <w:rPr>
          <w:rFonts w:hint="eastAsia"/>
          <w:lang w:val="en-CA"/>
        </w:rPr>
        <w:tab/>
      </w:r>
      <w:r w:rsidRPr="00AC4F0E">
        <w:rPr>
          <w:rFonts w:hint="eastAsia"/>
          <w:lang w:val="en-CA"/>
        </w:rPr>
        <w:t>“如受惠国或为与之有确定关系的人或事行使来自最惠国条款的权利，须遵循包括有最惠国条款的条约规定的，或授与国同受惠国之间另行议定的条件。”</w:t>
      </w:r>
    </w:p>
    <w:p w:rsidR="00F91618" w:rsidRPr="00AC4F0E" w:rsidRDefault="00F91618" w:rsidP="00F91618">
      <w:pPr>
        <w:pStyle w:val="SingleTxt"/>
        <w:rPr>
          <w:lang w:val="en-CA"/>
        </w:rPr>
      </w:pPr>
      <w:r w:rsidRPr="00AC4F0E">
        <w:rPr>
          <w:rFonts w:hint="eastAsia"/>
          <w:lang w:val="en-CA"/>
        </w:rPr>
        <w:t xml:space="preserve">166.  </w:t>
      </w:r>
      <w:r w:rsidRPr="00AC4F0E">
        <w:rPr>
          <w:rFonts w:hint="eastAsia"/>
          <w:lang w:val="en-CA"/>
        </w:rPr>
        <w:t>毫无疑问，如果一国在双边投资条约中同意承认某些类别的人为投资者，则不得援引最惠国规定来改变这些类别。</w:t>
      </w:r>
      <w:r w:rsidRPr="00B53F40">
        <w:rPr>
          <w:rFonts w:hint="eastAsia"/>
          <w:w w:val="150"/>
          <w:vertAlign w:val="superscript"/>
          <w:lang w:val="en-CA"/>
        </w:rPr>
        <w:footnoteReference w:id="574"/>
      </w:r>
      <w:r w:rsidRPr="00AC4F0E">
        <w:rPr>
          <w:rFonts w:hint="eastAsia"/>
          <w:lang w:val="en-CA"/>
        </w:rPr>
        <w:t xml:space="preserve"> </w:t>
      </w:r>
      <w:r w:rsidRPr="00AC4F0E">
        <w:rPr>
          <w:rFonts w:hint="eastAsia"/>
          <w:lang w:val="en-CA"/>
        </w:rPr>
        <w:t>根据双边投资条约设立的法庭肯定无权就不属于投资者的实体的权利作出裁决。问题是，对诉诸争端解决的限制，例如国内诉讼须满</w:t>
      </w:r>
      <w:r w:rsidRPr="00AC4F0E">
        <w:rPr>
          <w:rFonts w:hint="eastAsia"/>
          <w:lang w:val="en-CA"/>
        </w:rPr>
        <w:t>18</w:t>
      </w:r>
      <w:r w:rsidRPr="00AC4F0E">
        <w:rPr>
          <w:rFonts w:hint="eastAsia"/>
          <w:lang w:val="en-CA"/>
        </w:rPr>
        <w:t>个月的要求，是否也是一项适用于合格投资者的对管辖权的限制？</w:t>
      </w:r>
    </w:p>
    <w:p w:rsidR="00F91618" w:rsidRPr="00AC4F0E" w:rsidRDefault="00F91618" w:rsidP="00F91618">
      <w:pPr>
        <w:pStyle w:val="SingleTxt"/>
        <w:rPr>
          <w:lang w:val="en-CA"/>
        </w:rPr>
      </w:pPr>
      <w:r w:rsidRPr="00AC4F0E">
        <w:rPr>
          <w:rFonts w:hint="eastAsia"/>
          <w:lang w:val="en-CA"/>
        </w:rPr>
        <w:t xml:space="preserve">167.  </w:t>
      </w:r>
      <w:r w:rsidRPr="00AC4F0E">
        <w:rPr>
          <w:rFonts w:hint="eastAsia"/>
          <w:lang w:val="en-CA"/>
        </w:rPr>
        <w:t>这个问题的答案一部分取决于这是一个管辖权问题，还是可否受理问题。管辖权与可否受理问题的区分不总是非常明确的，两个术语有时可以互换。</w:t>
      </w:r>
      <w:r w:rsidRPr="00B53F40">
        <w:rPr>
          <w:rFonts w:hint="eastAsia"/>
          <w:w w:val="150"/>
          <w:vertAlign w:val="superscript"/>
          <w:lang w:val="en-CA"/>
        </w:rPr>
        <w:footnoteReference w:id="575"/>
      </w:r>
      <w:r w:rsidRPr="00AC4F0E">
        <w:rPr>
          <w:rFonts w:hint="eastAsia"/>
          <w:lang w:val="en-CA"/>
        </w:rPr>
        <w:t xml:space="preserve"> </w:t>
      </w:r>
      <w:r w:rsidRPr="00AC4F0E">
        <w:rPr>
          <w:rFonts w:hint="eastAsia"/>
          <w:lang w:val="en-CA"/>
        </w:rPr>
        <w:t>然而，</w:t>
      </w:r>
      <w:r w:rsidRPr="00AC4F0E">
        <w:rPr>
          <w:rFonts w:hint="eastAsia"/>
          <w:lang w:val="en-CA"/>
        </w:rPr>
        <w:lastRenderedPageBreak/>
        <w:t>有一种说法是，区分反对是对法庭提出的，还是对诉讼提出的，是区分这两个概念的依据。</w:t>
      </w:r>
      <w:r w:rsidRPr="00B53F40">
        <w:rPr>
          <w:rFonts w:hint="eastAsia"/>
          <w:w w:val="150"/>
          <w:vertAlign w:val="superscript"/>
          <w:lang w:val="en-CA"/>
        </w:rPr>
        <w:footnoteReference w:id="576"/>
      </w:r>
    </w:p>
    <w:p w:rsidR="00F91618" w:rsidRPr="00AC4F0E" w:rsidRDefault="00F91618" w:rsidP="00F91618">
      <w:pPr>
        <w:pStyle w:val="SingleTxt"/>
        <w:rPr>
          <w:lang w:val="en-CA"/>
        </w:rPr>
      </w:pPr>
      <w:r w:rsidRPr="00AC4F0E">
        <w:rPr>
          <w:rFonts w:hint="eastAsia"/>
          <w:lang w:val="en-CA"/>
        </w:rPr>
        <w:t xml:space="preserve">168.  </w:t>
      </w:r>
      <w:r w:rsidRPr="00AC4F0E">
        <w:rPr>
          <w:rFonts w:hint="eastAsia"/>
          <w:lang w:val="en-CA"/>
        </w:rPr>
        <w:t>在此基础上，可以主张，</w:t>
      </w:r>
      <w:r w:rsidRPr="00AC4F0E">
        <w:rPr>
          <w:rFonts w:hint="eastAsia"/>
          <w:lang w:val="en-CA"/>
        </w:rPr>
        <w:t>18</w:t>
      </w:r>
      <w:r w:rsidRPr="00AC4F0E">
        <w:rPr>
          <w:rFonts w:hint="eastAsia"/>
          <w:lang w:val="en-CA"/>
        </w:rPr>
        <w:t>个月诉讼期的要求是一个先决条件，决定着投资者提出的诉求是否在法庭的管辖范围之内，这与投资者提出的具体诉求无关；除非满足</w:t>
      </w:r>
      <w:r w:rsidRPr="00AC4F0E">
        <w:rPr>
          <w:rFonts w:hint="eastAsia"/>
          <w:lang w:val="en-CA"/>
        </w:rPr>
        <w:t>18</w:t>
      </w:r>
      <w:r w:rsidRPr="00AC4F0E">
        <w:rPr>
          <w:rFonts w:hint="eastAsia"/>
          <w:lang w:val="en-CA"/>
        </w:rPr>
        <w:t>个月诉讼期的要求，否则投资者不可以提出任何诉求。</w:t>
      </w:r>
    </w:p>
    <w:p w:rsidR="00F91618" w:rsidRPr="00AC4F0E" w:rsidRDefault="00F91618" w:rsidP="00F91618">
      <w:pPr>
        <w:pStyle w:val="SingleTxt"/>
        <w:rPr>
          <w:lang w:val="en-CA"/>
        </w:rPr>
      </w:pPr>
      <w:r w:rsidRPr="00AC4F0E">
        <w:rPr>
          <w:rFonts w:hint="eastAsia"/>
          <w:lang w:val="en-CA"/>
        </w:rPr>
        <w:t xml:space="preserve">169.  </w:t>
      </w:r>
      <w:r w:rsidRPr="00AC4F0E">
        <w:rPr>
          <w:rFonts w:hint="eastAsia"/>
          <w:lang w:val="en-CA"/>
        </w:rPr>
        <w:t>研究组认为，这些相互矛盾的方法反映了前文提到的一点，即有些人把投资协定当作国际公法文书，而有些人认为投资者与国家间争端解决具有更多的私法属性，与合同安排类似。按照前一种观点，管辖权以及同意仲裁是关乎国家切身利益的事情；而根据后者，问题仅仅在于“待遇”一词的含义，或其他规定受惠方应得权利的此类语言的含义。</w:t>
      </w:r>
    </w:p>
    <w:p w:rsidR="00F91618" w:rsidRPr="00AC4F0E" w:rsidRDefault="00F91618" w:rsidP="00F91618">
      <w:pPr>
        <w:pStyle w:val="SingleTxt"/>
      </w:pPr>
      <w:r w:rsidRPr="00AC4F0E">
        <w:rPr>
          <w:rFonts w:hint="eastAsia"/>
          <w:lang w:val="en-CA"/>
        </w:rPr>
        <w:t xml:space="preserve">170.  </w:t>
      </w:r>
      <w:r w:rsidRPr="00AC4F0E">
        <w:rPr>
          <w:rFonts w:hint="eastAsia"/>
          <w:lang w:val="en-CA"/>
        </w:rPr>
        <w:t>不同方法对实践的影响是，重点关注投资协定的国际公法方面的人倾向于将诉讼须满</w:t>
      </w:r>
      <w:r w:rsidRPr="00AC4F0E">
        <w:rPr>
          <w:rFonts w:hint="eastAsia"/>
          <w:lang w:val="en-CA"/>
        </w:rPr>
        <w:t>18</w:t>
      </w:r>
      <w:r w:rsidRPr="00AC4F0E">
        <w:rPr>
          <w:rFonts w:hint="eastAsia"/>
          <w:lang w:val="en-CA"/>
        </w:rPr>
        <w:t>个月的规定视为一项类似于用尽当地救济的规则。更多地从私人仲裁和商事仲裁角度看待这些协定的人，倾向于将诉讼须满</w:t>
      </w:r>
      <w:r w:rsidRPr="00AC4F0E">
        <w:rPr>
          <w:rFonts w:hint="eastAsia"/>
          <w:lang w:val="en-CA"/>
        </w:rPr>
        <w:t>18</w:t>
      </w:r>
      <w:r w:rsidRPr="00AC4F0E">
        <w:rPr>
          <w:rFonts w:hint="eastAsia"/>
          <w:lang w:val="en-CA"/>
        </w:rPr>
        <w:t>个月的规定视为一项延时规定，其效果是把投资者提出诉求的权利推迟，因而违背了双边投资条约为投资创造有利条件的总体目标。</w:t>
      </w:r>
    </w:p>
    <w:p w:rsidR="00F91618" w:rsidRPr="00AC4F0E" w:rsidRDefault="00F91618" w:rsidP="00F91618">
      <w:pPr>
        <w:pStyle w:val="SingleTxt"/>
      </w:pPr>
      <w:r w:rsidRPr="00AC4F0E">
        <w:rPr>
          <w:rFonts w:hint="eastAsia"/>
          <w:lang w:val="en-CA"/>
        </w:rPr>
        <w:t xml:space="preserve">171.  </w:t>
      </w:r>
      <w:r w:rsidRPr="00AC4F0E">
        <w:rPr>
          <w:rFonts w:hint="eastAsia"/>
          <w:lang w:val="en-CA"/>
        </w:rPr>
        <w:t>“管辖权”</w:t>
      </w:r>
      <w:r w:rsidRPr="00AC4F0E">
        <w:rPr>
          <w:rFonts w:hint="eastAsia"/>
        </w:rPr>
        <w:t>方法的共同特征是，除非有明确的措词，或者有具体的上下文，否则最惠国规定不得变更诉诸争端解决的条件。这始终是一个条约解释问题，但条约解释始于这样一个最初的假定，即最惠国规定不自动适用于双边投资条约的争端解决规定。这与一些法庭一开始的假定背道而驰，它们假定由于争端解决是双边投资条约提供的保护的一部分，因此最惠国规定表面上看适用于争端解决。按照这种思路，最惠国条款适用于争端解决，除非可以证明双边投资条约的缔约方无意于最惠国条款这样适用。</w:t>
      </w:r>
    </w:p>
    <w:p w:rsidR="00F91618" w:rsidRPr="00AC4F0E" w:rsidRDefault="00F91618" w:rsidP="00F91618">
      <w:pPr>
        <w:pStyle w:val="SingleTxt"/>
      </w:pPr>
      <w:r w:rsidRPr="00AC4F0E">
        <w:rPr>
          <w:rFonts w:hint="eastAsia"/>
          <w:lang w:val="en-CA"/>
        </w:rPr>
        <w:t xml:space="preserve">172.  </w:t>
      </w:r>
      <w:r w:rsidRPr="00AC4F0E">
        <w:rPr>
          <w:rFonts w:hint="eastAsia"/>
          <w:lang w:val="en-CA"/>
        </w:rPr>
        <w:t>研究组认为</w:t>
      </w:r>
      <w:r w:rsidRPr="00AC4F0E">
        <w:rPr>
          <w:rFonts w:hint="eastAsia"/>
        </w:rPr>
        <w:t>，关于投资协定性质及其引起的关于解释这些协定的假定的概念性辩论无法得到一个确切的答案。投资协定既有公法性质的要素，也有私法性质的要素。没有正式、确定的答案是因为，该事项是通过“混合”仲裁由“临时”仲裁员处理的。像世贸组织这样的“封闭”系统内，上诉法庭可以解决此事；无论对错，这就是对系统内所有案件的答案。解决投资者与国家间争端的案件中没有这样的机会。而且研究组认为，委员会也不宜扮演这一角色。</w:t>
      </w:r>
    </w:p>
    <w:p w:rsidR="00F91618" w:rsidRPr="00AC4F0E" w:rsidRDefault="00F91618" w:rsidP="00F91618">
      <w:pPr>
        <w:pStyle w:val="SingleTxt"/>
      </w:pPr>
      <w:r w:rsidRPr="00AC4F0E">
        <w:rPr>
          <w:rFonts w:hint="eastAsia"/>
          <w:lang w:val="en-CA"/>
        </w:rPr>
        <w:t xml:space="preserve">173.  </w:t>
      </w:r>
      <w:r w:rsidRPr="00AC4F0E">
        <w:rPr>
          <w:rFonts w:hint="eastAsia"/>
          <w:lang w:val="en-CA"/>
        </w:rPr>
        <w:t>不过，</w:t>
      </w:r>
      <w:r w:rsidRPr="00AC4F0E">
        <w:rPr>
          <w:rFonts w:hint="eastAsia"/>
        </w:rPr>
        <w:t>研究组认为，关于最惠国条款是否适用于争端解决规定的结论应该建立在对涉案条款的解释和分析上，而不是对投资协定或协定所赋予权利的性质的假定之上。</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C.</w:t>
      </w:r>
      <w:r w:rsidRPr="00AC4F0E">
        <w:rPr>
          <w:rFonts w:hint="eastAsia"/>
          <w:lang w:val="en-CA"/>
        </w:rPr>
        <w:tab/>
        <w:t>确定最惠国规定是否适用于诉诸争端解决的条件的相关因素</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rPr>
          <w:lang w:bidi="en-US"/>
        </w:rPr>
      </w:pPr>
      <w:r w:rsidRPr="00AC4F0E">
        <w:rPr>
          <w:rFonts w:hint="eastAsia"/>
          <w:lang w:val="en-CA"/>
        </w:rPr>
        <w:lastRenderedPageBreak/>
        <w:t xml:space="preserve">174.  </w:t>
      </w:r>
      <w:r w:rsidRPr="00AC4F0E">
        <w:rPr>
          <w:rFonts w:hint="eastAsia"/>
          <w:lang w:val="en-CA"/>
        </w:rPr>
        <w:t>双边投资条约是国际协定，因此《维也纳条约法公约》第三十一至三十二条规定的条约解释规则适用于对双边投资条约的解释。</w:t>
      </w:r>
      <w:r w:rsidRPr="00B53F40">
        <w:rPr>
          <w:rFonts w:hint="eastAsia"/>
          <w:w w:val="150"/>
          <w:vertAlign w:val="superscript"/>
          <w:lang w:val="en-CA"/>
        </w:rPr>
        <w:footnoteReference w:id="577"/>
      </w:r>
      <w:r w:rsidRPr="00AC4F0E">
        <w:rPr>
          <w:rFonts w:hint="eastAsia"/>
          <w:lang w:val="en-CA"/>
        </w:rPr>
        <w:t>《维也纳条约法公约》第三十一条规定了条约解释的通则</w:t>
      </w:r>
      <w:r w:rsidRPr="00AC4F0E">
        <w:rPr>
          <w:rFonts w:hint="eastAsia"/>
          <w:lang w:bidi="en-US"/>
        </w:rPr>
        <w:t>，该条第一款规定，条约</w:t>
      </w:r>
      <w:r w:rsidRPr="00AC4F0E">
        <w:rPr>
          <w:rFonts w:hint="eastAsia"/>
          <w:lang w:bidi="en-US"/>
        </w:rPr>
        <w:t xml:space="preserve"> </w:t>
      </w:r>
      <w:r w:rsidRPr="00AC4F0E">
        <w:rPr>
          <w:rFonts w:hint="eastAsia"/>
          <w:lang w:bidi="en-US"/>
        </w:rPr>
        <w:t>“应依其用语按其上下文并参照条约之目的及宗旨所具有之通常意义，善意解释之。”</w:t>
      </w:r>
      <w:r w:rsidRPr="00B53F40">
        <w:rPr>
          <w:rFonts w:hint="eastAsia"/>
          <w:w w:val="150"/>
          <w:vertAlign w:val="superscript"/>
          <w:lang w:val="en-CA"/>
        </w:rPr>
        <w:footnoteReference w:id="578"/>
      </w:r>
      <w:r w:rsidRPr="00AC4F0E">
        <w:rPr>
          <w:rFonts w:hint="eastAsia"/>
          <w:lang w:val="en-CA"/>
        </w:rPr>
        <w:t xml:space="preserve"> </w:t>
      </w:r>
      <w:r w:rsidRPr="00AC4F0E">
        <w:rPr>
          <w:rFonts w:hint="eastAsia"/>
        </w:rPr>
        <w:t>据说</w:t>
      </w:r>
      <w:r w:rsidRPr="00AC4F0E">
        <w:rPr>
          <w:rFonts w:hint="eastAsia"/>
          <w:lang w:val="en-CA"/>
        </w:rPr>
        <w:t>这种表述是“明显建立在必须假定条约的文本是缔约方意图的真实表述的观点之上。”</w:t>
      </w:r>
      <w:r w:rsidRPr="00B53F40">
        <w:rPr>
          <w:rFonts w:hint="eastAsia"/>
          <w:w w:val="150"/>
          <w:vertAlign w:val="superscript"/>
          <w:lang w:val="en-CA"/>
        </w:rPr>
        <w:footnoteReference w:id="579"/>
      </w:r>
    </w:p>
    <w:p w:rsidR="00F91618" w:rsidRPr="00AC4F0E" w:rsidRDefault="00F91618" w:rsidP="00F91618">
      <w:pPr>
        <w:pStyle w:val="SingleTxt"/>
        <w:rPr>
          <w:lang w:bidi="en-US"/>
        </w:rPr>
      </w:pPr>
      <w:r w:rsidRPr="00AC4F0E">
        <w:rPr>
          <w:rFonts w:hint="eastAsia"/>
          <w:lang w:val="en-CA"/>
        </w:rPr>
        <w:t xml:space="preserve">175.  </w:t>
      </w:r>
      <w:r w:rsidRPr="00AC4F0E">
        <w:rPr>
          <w:rFonts w:hint="eastAsia"/>
          <w:lang w:val="en-CA"/>
        </w:rPr>
        <w:t>各投资法庭裁决中采取的普遍立场是，《维也纳条约法公约》的规则为解释最惠国规定提供了正确的法律框架。但在这个普遍的框架内存在着方法上的分歧。研究组在上文指出了看来影响到法庭解释最惠国规定的多种因素。研究组在以下各段对某些因素加以评论。</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1.</w:t>
      </w:r>
      <w:r w:rsidRPr="00AC4F0E">
        <w:rPr>
          <w:rFonts w:hint="eastAsia"/>
          <w:lang w:val="en-CA"/>
        </w:rPr>
        <w:tab/>
        <w:t>同期原则</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176.  </w:t>
      </w:r>
      <w:r w:rsidRPr="00484169">
        <w:rPr>
          <w:rFonts w:asciiTheme="majorBidi" w:eastAsia="楷体_GB2312" w:hAnsiTheme="majorBidi" w:cstheme="majorBidi"/>
          <w:iCs/>
          <w:lang w:val="en-CA"/>
        </w:rPr>
        <w:t>ICS</w:t>
      </w:r>
      <w:r w:rsidRPr="00484169">
        <w:rPr>
          <w:rFonts w:ascii="楷体_GB2312" w:eastAsia="楷体_GB2312" w:hint="eastAsia"/>
          <w:iCs/>
          <w:lang w:val="en-CA"/>
        </w:rPr>
        <w:t>案</w:t>
      </w:r>
      <w:r w:rsidRPr="00AC4F0E">
        <w:rPr>
          <w:rFonts w:hint="eastAsia"/>
          <w:iCs/>
        </w:rPr>
        <w:t>和</w:t>
      </w:r>
      <w:r w:rsidRPr="00484169">
        <w:rPr>
          <w:rFonts w:ascii="楷体_GB2312" w:eastAsia="楷体_GB2312" w:hint="eastAsia"/>
          <w:iCs/>
          <w:lang w:val="en-CA"/>
        </w:rPr>
        <w:t>戴姆勒案</w:t>
      </w:r>
      <w:r w:rsidRPr="00AC4F0E">
        <w:rPr>
          <w:rFonts w:hint="eastAsia"/>
          <w:iCs/>
          <w:lang w:val="en-CA"/>
        </w:rPr>
        <w:t>的</w:t>
      </w:r>
      <w:r w:rsidRPr="00AC4F0E">
        <w:rPr>
          <w:rFonts w:hint="eastAsia"/>
          <w:lang w:val="en-CA"/>
        </w:rPr>
        <w:t>法庭明显依赖同期原则</w:t>
      </w:r>
      <w:r w:rsidRPr="00AC4F0E">
        <w:rPr>
          <w:rFonts w:hint="eastAsia"/>
          <w:iCs/>
          <w:lang w:val="en-CA"/>
        </w:rPr>
        <w:t>，其他法庭的裁决也体现了该原则，</w:t>
      </w:r>
      <w:r w:rsidRPr="00B53F40">
        <w:rPr>
          <w:rFonts w:hint="eastAsia"/>
          <w:w w:val="150"/>
          <w:vertAlign w:val="superscript"/>
          <w:lang w:val="en-CA"/>
        </w:rPr>
        <w:footnoteReference w:id="580"/>
      </w:r>
      <w:r w:rsidRPr="00AC4F0E">
        <w:rPr>
          <w:rFonts w:hint="eastAsia"/>
          <w:lang w:val="en-CA"/>
        </w:rPr>
        <w:t xml:space="preserve"> </w:t>
      </w:r>
      <w:r w:rsidRPr="00AC4F0E">
        <w:rPr>
          <w:rFonts w:hint="eastAsia"/>
          <w:lang w:val="en-CA"/>
        </w:rPr>
        <w:t>但是</w:t>
      </w:r>
      <w:r w:rsidRPr="00AC4F0E">
        <w:rPr>
          <w:rFonts w:hint="eastAsia"/>
        </w:rPr>
        <w:t>《维也纳条约法公约》的规则并没有特别提到同期原则。然而，国际法院和许多国际法庭都直接或间接地提到过这一原则。在《南非继续驻留纳米比亚对各国的法律后果》中，法院提到“首先必须根据缔约方在缔结文书时的意图对该文书进行解释。”</w:t>
      </w:r>
      <w:r w:rsidRPr="00B53F40">
        <w:rPr>
          <w:rFonts w:hint="eastAsia"/>
          <w:w w:val="150"/>
          <w:vertAlign w:val="superscript"/>
          <w:lang w:val="en-CA"/>
        </w:rPr>
        <w:footnoteReference w:id="581"/>
      </w:r>
      <w:r w:rsidRPr="00AC4F0E">
        <w:rPr>
          <w:rFonts w:hint="eastAsia"/>
        </w:rPr>
        <w:t xml:space="preserve"> </w:t>
      </w:r>
      <w:r w:rsidRPr="00AC4F0E">
        <w:rPr>
          <w:rFonts w:hint="eastAsia"/>
          <w:lang w:val="en-CA"/>
        </w:rPr>
        <w:t>厄立特里亚－埃塞俄比亚</w:t>
      </w:r>
      <w:r w:rsidRPr="00AC4F0E">
        <w:rPr>
          <w:rFonts w:hint="eastAsia"/>
        </w:rPr>
        <w:t>边界委员会也核可了其称为“‘同期’准则”的原则。</w:t>
      </w:r>
      <w:r w:rsidRPr="00B53F40">
        <w:rPr>
          <w:rFonts w:hint="eastAsia"/>
          <w:w w:val="150"/>
          <w:vertAlign w:val="superscript"/>
          <w:lang w:val="en-CA"/>
        </w:rPr>
        <w:footnoteReference w:id="582"/>
      </w:r>
    </w:p>
    <w:p w:rsidR="00F91618" w:rsidRPr="00AC4F0E" w:rsidRDefault="00F91618" w:rsidP="00F91618">
      <w:pPr>
        <w:pStyle w:val="SingleTxt"/>
      </w:pPr>
      <w:r w:rsidRPr="00AC4F0E">
        <w:rPr>
          <w:rFonts w:hint="eastAsia"/>
        </w:rPr>
        <w:t xml:space="preserve">177.  </w:t>
      </w:r>
      <w:r w:rsidRPr="00AC4F0E">
        <w:rPr>
          <w:rFonts w:hint="eastAsia"/>
        </w:rPr>
        <w:t>与此同时，国际法院在有关</w:t>
      </w:r>
      <w:r w:rsidRPr="00484169">
        <w:rPr>
          <w:rFonts w:ascii="楷体_GB2312" w:eastAsia="楷体_GB2312" w:hint="eastAsia"/>
        </w:rPr>
        <w:t>航行权和相关权利的争端案</w:t>
      </w:r>
      <w:r w:rsidRPr="00AC4F0E">
        <w:rPr>
          <w:rFonts w:hint="eastAsia"/>
        </w:rPr>
        <w:t>(</w:t>
      </w:r>
      <w:r w:rsidRPr="00484169">
        <w:rPr>
          <w:rFonts w:ascii="楷体_GB2312" w:eastAsia="楷体_GB2312" w:hint="eastAsia"/>
        </w:rPr>
        <w:t>哥斯达黎加诉尼加拉瓜</w:t>
      </w:r>
      <w:r w:rsidRPr="00AC4F0E">
        <w:rPr>
          <w:rFonts w:hint="eastAsia"/>
        </w:rPr>
        <w:t>)</w:t>
      </w:r>
      <w:r w:rsidRPr="00AC4F0E">
        <w:rPr>
          <w:rFonts w:hint="eastAsia"/>
        </w:rPr>
        <w:t>中指出，“但这并不意味着，若一个术语的含义不再与该术语在条约缔结时的含义相同，在为适用条约而对条约作出解释时就不应该考虑其含义。”</w:t>
      </w:r>
      <w:r w:rsidRPr="00B53F40">
        <w:rPr>
          <w:w w:val="150"/>
          <w:vertAlign w:val="superscript"/>
          <w:lang w:val="en-CA"/>
        </w:rPr>
        <w:footnoteReference w:id="583"/>
      </w:r>
      <w:r w:rsidRPr="00AC4F0E">
        <w:rPr>
          <w:rFonts w:hint="eastAsia"/>
        </w:rPr>
        <w:t xml:space="preserve"> </w:t>
      </w:r>
      <w:r w:rsidRPr="00AC4F0E">
        <w:rPr>
          <w:rFonts w:hint="eastAsia"/>
        </w:rPr>
        <w:t>法院认为，这一点对以下情况尤为适用，即“缔约方缔结条约时的意图是，或可以推定为，赋予所用术语</w:t>
      </w:r>
      <w:r w:rsidRPr="00653B40">
        <w:rPr>
          <w:rFonts w:hint="eastAsia"/>
          <w:spacing w:val="-50"/>
        </w:rPr>
        <w:t>―</w:t>
      </w:r>
      <w:r>
        <w:rPr>
          <w:rFonts w:hint="eastAsia"/>
        </w:rPr>
        <w:t>―</w:t>
      </w:r>
      <w:r w:rsidRPr="00AC4F0E">
        <w:rPr>
          <w:rFonts w:hint="eastAsia"/>
        </w:rPr>
        <w:t>或其中部分术语</w:t>
      </w:r>
      <w:r w:rsidRPr="00653B40">
        <w:rPr>
          <w:rFonts w:hint="eastAsia"/>
          <w:spacing w:val="-50"/>
        </w:rPr>
        <w:t>―</w:t>
      </w:r>
      <w:r>
        <w:rPr>
          <w:rFonts w:hint="eastAsia"/>
        </w:rPr>
        <w:t>―</w:t>
      </w:r>
      <w:r w:rsidRPr="00AC4F0E">
        <w:t>一种能够演变的含义或内容，而不是一种一旦确定即永不改变的含义或内容，以便除其他外</w:t>
      </w:r>
      <w:r w:rsidRPr="00AC4F0E">
        <w:rPr>
          <w:rFonts w:hint="eastAsia"/>
        </w:rPr>
        <w:t>，</w:t>
      </w:r>
      <w:r w:rsidRPr="00AC4F0E">
        <w:t>为国际法的发展留出余地</w:t>
      </w:r>
      <w:r w:rsidRPr="00AC4F0E">
        <w:rPr>
          <w:rFonts w:hint="eastAsia"/>
        </w:rPr>
        <w:t>”。</w:t>
      </w:r>
      <w:r w:rsidRPr="00B53F40">
        <w:rPr>
          <w:w w:val="150"/>
          <w:vertAlign w:val="superscript"/>
          <w:lang w:val="en-CA"/>
        </w:rPr>
        <w:footnoteReference w:id="584"/>
      </w:r>
    </w:p>
    <w:p w:rsidR="00F91618" w:rsidRPr="00AC4F0E" w:rsidRDefault="00F91618" w:rsidP="00F91618">
      <w:pPr>
        <w:pStyle w:val="SingleTxt"/>
      </w:pPr>
      <w:r w:rsidRPr="00AC4F0E">
        <w:rPr>
          <w:rFonts w:hint="eastAsia"/>
          <w:lang w:val="en-CA"/>
        </w:rPr>
        <w:lastRenderedPageBreak/>
        <w:t xml:space="preserve">178.  </w:t>
      </w:r>
      <w:r w:rsidRPr="00AC4F0E">
        <w:rPr>
          <w:rFonts w:hint="eastAsia"/>
          <w:lang w:val="en-CA"/>
        </w:rPr>
        <w:t>研究组认为</w:t>
      </w:r>
      <w:r w:rsidRPr="00AC4F0E">
        <w:rPr>
          <w:rFonts w:hint="eastAsia"/>
        </w:rPr>
        <w:t>，在具体案件中是否适合采用演化</w:t>
      </w:r>
      <w:r w:rsidRPr="00AC4F0E">
        <w:rPr>
          <w:rFonts w:hint="eastAsia"/>
        </w:rPr>
        <w:t>(</w:t>
      </w:r>
      <w:r w:rsidRPr="00AC4F0E">
        <w:rPr>
          <w:rFonts w:hint="eastAsia"/>
        </w:rPr>
        <w:t>演进</w:t>
      </w:r>
      <w:r w:rsidRPr="00AC4F0E">
        <w:rPr>
          <w:rFonts w:hint="eastAsia"/>
        </w:rPr>
        <w:t>)</w:t>
      </w:r>
      <w:r w:rsidRPr="00AC4F0E">
        <w:rPr>
          <w:rFonts w:hint="eastAsia"/>
        </w:rPr>
        <w:t>解释取决于多个因素，包括缔约方是否打算对所涉条款作出演化</w:t>
      </w:r>
      <w:r w:rsidRPr="00AC4F0E">
        <w:rPr>
          <w:rFonts w:hint="eastAsia"/>
        </w:rPr>
        <w:t>(</w:t>
      </w:r>
      <w:r w:rsidRPr="00AC4F0E">
        <w:rPr>
          <w:rFonts w:hint="eastAsia"/>
        </w:rPr>
        <w:t>演进</w:t>
      </w:r>
      <w:r w:rsidRPr="00AC4F0E">
        <w:rPr>
          <w:rFonts w:hint="eastAsia"/>
        </w:rPr>
        <w:t>)</w:t>
      </w:r>
      <w:r w:rsidRPr="00AC4F0E">
        <w:rPr>
          <w:rFonts w:hint="eastAsia"/>
        </w:rPr>
        <w:t>解释，</w:t>
      </w:r>
      <w:r w:rsidRPr="00B53F40">
        <w:rPr>
          <w:rFonts w:hint="eastAsia"/>
          <w:w w:val="150"/>
          <w:vertAlign w:val="superscript"/>
          <w:lang w:val="en-CA"/>
        </w:rPr>
        <w:footnoteReference w:id="585"/>
      </w:r>
      <w:r w:rsidRPr="00AC4F0E">
        <w:rPr>
          <w:rFonts w:hint="eastAsia"/>
        </w:rPr>
        <w:t xml:space="preserve"> </w:t>
      </w:r>
      <w:r w:rsidRPr="00AC4F0E">
        <w:rPr>
          <w:rFonts w:hint="eastAsia"/>
        </w:rPr>
        <w:t>缔约方的嗣后惯例，以及缔约方自身是怎样解释和适用协定的。</w:t>
      </w:r>
      <w:r w:rsidRPr="00AC4F0E">
        <w:t>ICS</w:t>
      </w:r>
      <w:r w:rsidRPr="00484169">
        <w:rPr>
          <w:rFonts w:ascii="楷体_GB2312" w:eastAsia="楷体_GB2312" w:hint="eastAsia"/>
        </w:rPr>
        <w:t>案</w:t>
      </w:r>
      <w:r w:rsidRPr="00AC4F0E">
        <w:rPr>
          <w:rFonts w:hint="eastAsia"/>
        </w:rPr>
        <w:t>法庭为了确定最惠国规定所适用的“待遇”的含义，采用的办法是考察签订《联合王国与阿根廷双边投资条约》时是如何理解这个词的；这为解释提供了重要指导，但不能被视为必然有决定性。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2.</w:t>
      </w:r>
      <w:r w:rsidRPr="00AC4F0E">
        <w:rPr>
          <w:lang w:val="en-CA"/>
        </w:rPr>
        <w:tab/>
      </w:r>
      <w:r w:rsidRPr="00AC4F0E">
        <w:rPr>
          <w:rFonts w:hint="eastAsia"/>
          <w:lang w:val="en-CA"/>
        </w:rPr>
        <w:t>准备工作的相关性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653B40" w:rsidRDefault="00F91618" w:rsidP="00F91618">
      <w:pPr>
        <w:pStyle w:val="SingleTxt"/>
        <w:rPr>
          <w:spacing w:val="-4"/>
          <w:lang w:val="en-CA"/>
        </w:rPr>
      </w:pPr>
      <w:r w:rsidRPr="00AC4F0E">
        <w:rPr>
          <w:rFonts w:hint="eastAsia"/>
          <w:lang w:val="en-CA"/>
        </w:rPr>
        <w:t xml:space="preserve">179.  </w:t>
      </w:r>
      <w:r w:rsidRPr="00AC4F0E">
        <w:rPr>
          <w:rFonts w:hint="eastAsia"/>
          <w:lang w:val="en-CA"/>
        </w:rPr>
        <w:t>在某种意义上，提及准备工作就是对同期原则的应用，因为这是确定缔约方在缔结协定时的意图的一种努力。</w:t>
      </w:r>
      <w:r w:rsidRPr="00B53F40">
        <w:rPr>
          <w:w w:val="150"/>
          <w:vertAlign w:val="superscript"/>
          <w:lang w:val="en-CA"/>
        </w:rPr>
        <w:footnoteReference w:id="586"/>
      </w:r>
      <w:r w:rsidRPr="00AC4F0E">
        <w:rPr>
          <w:rFonts w:hint="eastAsia"/>
          <w:lang w:val="en-CA"/>
        </w:rPr>
        <w:t xml:space="preserve"> </w:t>
      </w:r>
      <w:r w:rsidRPr="00AC4F0E">
        <w:rPr>
          <w:rFonts w:hint="eastAsia"/>
          <w:lang w:val="en-CA"/>
        </w:rPr>
        <w:t>借助准备工作在法院解释最惠国规定的裁决中并不常见，或许是因为这些材料往往不容易得到。</w:t>
      </w:r>
      <w:r w:rsidRPr="00B53F40">
        <w:rPr>
          <w:rFonts w:hint="eastAsia"/>
          <w:w w:val="150"/>
          <w:vertAlign w:val="superscript"/>
          <w:lang w:val="en-CA"/>
        </w:rPr>
        <w:footnoteReference w:id="587"/>
      </w:r>
      <w:r w:rsidRPr="00AC4F0E">
        <w:rPr>
          <w:rFonts w:hint="eastAsia"/>
          <w:lang w:val="en-CA"/>
        </w:rPr>
        <w:t xml:space="preserve"> </w:t>
      </w:r>
      <w:r w:rsidRPr="00AC4F0E">
        <w:rPr>
          <w:rFonts w:hint="eastAsia"/>
          <w:lang w:val="en-CA"/>
        </w:rPr>
        <w:t>然而，在</w:t>
      </w:r>
      <w:r w:rsidRPr="00484169">
        <w:rPr>
          <w:rFonts w:ascii="楷体_GB2312" w:eastAsia="楷体_GB2312" w:hint="eastAsia"/>
          <w:lang w:val="en-CA"/>
        </w:rPr>
        <w:t>奥地利航空案</w:t>
      </w:r>
      <w:r w:rsidRPr="00AC4F0E">
        <w:rPr>
          <w:rFonts w:hint="eastAsia"/>
          <w:lang w:val="en-CA"/>
        </w:rPr>
        <w:t>中，法庭逐份查阅了条约的条款草案，这就意味着逐渐缩小了仲裁条款的范围，目的是</w:t>
      </w:r>
      <w:r w:rsidRPr="00653B40">
        <w:rPr>
          <w:rFonts w:hint="eastAsia"/>
          <w:spacing w:val="-4"/>
          <w:lang w:val="en-CA"/>
        </w:rPr>
        <w:t>确定这样一个结论：缔约方当时的意图是把协定下的仲裁限定在某些特定的事项上。</w:t>
      </w:r>
      <w:r w:rsidRPr="00653B40">
        <w:rPr>
          <w:rFonts w:hint="eastAsia"/>
          <w:spacing w:val="-4"/>
          <w:w w:val="150"/>
          <w:vertAlign w:val="superscript"/>
          <w:lang w:val="en-CA"/>
        </w:rPr>
        <w:footnoteReference w:id="588"/>
      </w:r>
      <w:r w:rsidRPr="00653B40">
        <w:rPr>
          <w:rFonts w:hint="eastAsia"/>
          <w:spacing w:val="-4"/>
          <w:lang w:val="en-CA"/>
        </w:rPr>
        <w:t xml:space="preserve"> </w:t>
      </w:r>
      <w:r w:rsidRPr="00653B40">
        <w:rPr>
          <w:rFonts w:hint="eastAsia"/>
          <w:spacing w:val="-4"/>
          <w:lang w:val="en-CA"/>
        </w:rPr>
        <w:t>研究组认为，这充分证明了准备工作的相关性。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3.</w:t>
      </w:r>
      <w:r w:rsidRPr="00AC4F0E">
        <w:rPr>
          <w:rFonts w:hint="eastAsia"/>
          <w:lang w:val="en-CA"/>
        </w:rPr>
        <w:tab/>
        <w:t>缔约方的条约实践</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rPr>
          <w:lang w:val="en-CA"/>
        </w:rPr>
      </w:pPr>
      <w:r w:rsidRPr="00AC4F0E">
        <w:rPr>
          <w:rFonts w:hint="eastAsia"/>
          <w:lang w:val="en-CA"/>
        </w:rPr>
        <w:t xml:space="preserve">180.  </w:t>
      </w:r>
      <w:r w:rsidRPr="00AC4F0E">
        <w:rPr>
          <w:rFonts w:hint="eastAsia"/>
          <w:lang w:val="en-CA"/>
        </w:rPr>
        <w:t>缔约方的同期或嗣后惯例明显关系到条约规定的解释。不过，根据《维也纳条约法公约》第三十一条第二和第三款，相关实践仅限于：与所有缔约方订立的条约有关的协定，与一个缔约方订立且为其他各方接受的条约有关的文书，</w:t>
      </w:r>
      <w:r w:rsidRPr="00AC4F0E">
        <w:rPr>
          <w:rFonts w:hint="eastAsia"/>
        </w:rPr>
        <w:t>缔约方之间嗣后订立的协定，以及确定缔约方之间一致意见的嗣后惯例。</w:t>
      </w:r>
      <w:r w:rsidRPr="00B53F40">
        <w:rPr>
          <w:rFonts w:hint="eastAsia"/>
          <w:w w:val="150"/>
          <w:vertAlign w:val="superscript"/>
          <w:lang w:val="en-CA"/>
        </w:rPr>
        <w:footnoteReference w:id="589"/>
      </w:r>
      <w:r w:rsidRPr="00AC4F0E">
        <w:rPr>
          <w:rFonts w:hint="eastAsia"/>
        </w:rPr>
        <w:t xml:space="preserve"> </w:t>
      </w:r>
      <w:r w:rsidRPr="00AC4F0E">
        <w:rPr>
          <w:rFonts w:hint="eastAsia"/>
        </w:rPr>
        <w:t>因此，投资法庭只要援引这类资料，就显然是在按照相关解释资料行事。</w:t>
      </w:r>
    </w:p>
    <w:p w:rsidR="00F91618" w:rsidRPr="00AC4F0E" w:rsidRDefault="00F91618" w:rsidP="00F91618">
      <w:pPr>
        <w:pStyle w:val="SingleTxt"/>
        <w:rPr>
          <w:lang w:val="en-CA"/>
        </w:rPr>
      </w:pPr>
      <w:r w:rsidRPr="00AC4F0E">
        <w:rPr>
          <w:rFonts w:hint="eastAsia"/>
          <w:lang w:val="en-CA"/>
        </w:rPr>
        <w:t xml:space="preserve">181.  </w:t>
      </w:r>
      <w:r w:rsidRPr="00AC4F0E">
        <w:rPr>
          <w:rFonts w:hint="eastAsia"/>
          <w:lang w:val="en-CA"/>
        </w:rPr>
        <w:t>然而，</w:t>
      </w:r>
      <w:r w:rsidRPr="00AC4F0E">
        <w:rPr>
          <w:rFonts w:hint="eastAsia"/>
        </w:rPr>
        <w:t>大多数双边投资条约只有两国订立的协定，缔约方之间没有同期或嗣后协定或惯例。</w:t>
      </w:r>
      <w:r w:rsidRPr="00B53F40">
        <w:rPr>
          <w:rFonts w:hint="eastAsia"/>
          <w:w w:val="150"/>
          <w:vertAlign w:val="superscript"/>
          <w:lang w:val="en-CA"/>
        </w:rPr>
        <w:footnoteReference w:id="590"/>
      </w:r>
      <w:r w:rsidRPr="00AC4F0E">
        <w:rPr>
          <w:rFonts w:hint="eastAsia"/>
          <w:lang w:val="en-CA"/>
        </w:rPr>
        <w:t xml:space="preserve"> </w:t>
      </w:r>
      <w:r w:rsidRPr="00AC4F0E">
        <w:rPr>
          <w:rFonts w:hint="eastAsia"/>
          <w:lang w:val="en-CA"/>
        </w:rPr>
        <w:t>因此</w:t>
      </w:r>
      <w:r w:rsidRPr="00AC4F0E">
        <w:rPr>
          <w:rFonts w:hint="eastAsia"/>
        </w:rPr>
        <w:t>，法庭经常参考的是该双边投资条约的一个缔约方与第三</w:t>
      </w:r>
      <w:r w:rsidRPr="00AC4F0E">
        <w:rPr>
          <w:rFonts w:hint="eastAsia"/>
        </w:rPr>
        <w:lastRenderedPageBreak/>
        <w:t>国订立的协定。</w:t>
      </w:r>
      <w:r w:rsidRPr="00B53F40">
        <w:rPr>
          <w:rFonts w:hint="eastAsia"/>
          <w:w w:val="150"/>
          <w:vertAlign w:val="superscript"/>
          <w:lang w:val="en-CA"/>
        </w:rPr>
        <w:footnoteReference w:id="591"/>
      </w:r>
      <w:r w:rsidRPr="00AC4F0E">
        <w:rPr>
          <w:rFonts w:hint="eastAsia"/>
          <w:lang w:val="en-CA"/>
        </w:rPr>
        <w:t xml:space="preserve"> </w:t>
      </w:r>
      <w:r w:rsidRPr="00AC4F0E">
        <w:rPr>
          <w:rFonts w:hint="eastAsia"/>
          <w:lang w:val="en-CA"/>
        </w:rPr>
        <w:t>有一个法庭</w:t>
      </w:r>
      <w:r w:rsidRPr="00AC4F0E">
        <w:rPr>
          <w:rFonts w:hint="eastAsia"/>
        </w:rPr>
        <w:t>认为与第三方订立的条约无关，因为需要解释的是呈送法庭的该双边投资条约的案文。</w:t>
      </w:r>
      <w:r w:rsidRPr="00B53F40">
        <w:rPr>
          <w:rFonts w:hint="eastAsia"/>
          <w:w w:val="150"/>
          <w:vertAlign w:val="superscript"/>
          <w:lang w:val="en-CA"/>
        </w:rPr>
        <w:footnoteReference w:id="592"/>
      </w:r>
    </w:p>
    <w:p w:rsidR="00F91618" w:rsidRPr="00AC4F0E" w:rsidRDefault="00F91618" w:rsidP="00F91618">
      <w:pPr>
        <w:pStyle w:val="SingleTxt"/>
      </w:pPr>
      <w:r w:rsidRPr="00AC4F0E">
        <w:rPr>
          <w:rFonts w:hint="eastAsia"/>
          <w:lang w:val="en-CA"/>
        </w:rPr>
        <w:t xml:space="preserve">182.  </w:t>
      </w:r>
      <w:r w:rsidRPr="00AC4F0E">
        <w:rPr>
          <w:rFonts w:hint="eastAsia"/>
          <w:lang w:val="en-CA"/>
        </w:rPr>
        <w:t>双边投资条约</w:t>
      </w:r>
      <w:r w:rsidRPr="00AC4F0E">
        <w:rPr>
          <w:rFonts w:hint="eastAsia"/>
        </w:rPr>
        <w:t>的一个缔约国采取的不涉及另一个缔约国的行动，通过表明缔约一方的态度，可能在某些情况下具有一定相关性。然而，此类行动不属于《维也纳条约法公约》第三十一条第三款</w:t>
      </w:r>
      <w:r w:rsidRPr="00AC4F0E">
        <w:rPr>
          <w:rFonts w:hint="eastAsia"/>
        </w:rPr>
        <w:t>(</w:t>
      </w:r>
      <w:r w:rsidRPr="00AC4F0E">
        <w:rPr>
          <w:rFonts w:hint="eastAsia"/>
        </w:rPr>
        <w:t>乙</w:t>
      </w:r>
      <w:r w:rsidRPr="00AC4F0E">
        <w:rPr>
          <w:rFonts w:hint="eastAsia"/>
        </w:rPr>
        <w:t>)</w:t>
      </w:r>
      <w:r w:rsidRPr="00AC4F0E">
        <w:rPr>
          <w:rFonts w:hint="eastAsia"/>
        </w:rPr>
        <w:t>项的范畴</w:t>
      </w:r>
      <w:r w:rsidRPr="00AC4F0E">
        <w:rPr>
          <w:rFonts w:hint="eastAsia"/>
        </w:rPr>
        <w:t>(</w:t>
      </w:r>
      <w:r w:rsidRPr="00AC4F0E">
        <w:rPr>
          <w:rFonts w:hint="eastAsia"/>
        </w:rPr>
        <w:t>该项考虑了缔约方的共同意图</w:t>
      </w:r>
      <w:r w:rsidRPr="00AC4F0E">
        <w:rPr>
          <w:rFonts w:hint="eastAsia"/>
        </w:rPr>
        <w:t>)</w:t>
      </w:r>
      <w:r w:rsidRPr="00AC4F0E">
        <w:rPr>
          <w:rFonts w:hint="eastAsia"/>
        </w:rPr>
        <w:t>，但可以根据第三十二条加以考虑。</w:t>
      </w:r>
      <w:r w:rsidRPr="00B53F40">
        <w:rPr>
          <w:w w:val="150"/>
          <w:vertAlign w:val="superscript"/>
          <w:lang w:val="en-CA"/>
        </w:rPr>
        <w:footnoteReference w:id="593"/>
      </w:r>
    </w:p>
    <w:p w:rsidR="00F91618" w:rsidRPr="00AC4F0E" w:rsidRDefault="00F91618" w:rsidP="00F91618">
      <w:pPr>
        <w:pStyle w:val="SingleTxt"/>
        <w:rPr>
          <w:lang w:val="en-CA"/>
        </w:rPr>
      </w:pPr>
      <w:r w:rsidRPr="00AC4F0E">
        <w:rPr>
          <w:rFonts w:hint="eastAsia"/>
          <w:lang w:val="en-CA"/>
        </w:rPr>
        <w:t xml:space="preserve">183.  </w:t>
      </w:r>
      <w:r w:rsidRPr="00AC4F0E">
        <w:rPr>
          <w:rFonts w:hint="eastAsia"/>
          <w:lang w:val="en-CA"/>
        </w:rPr>
        <w:t>然而，</w:t>
      </w:r>
      <w:r w:rsidRPr="00AC4F0E">
        <w:rPr>
          <w:rFonts w:hint="eastAsia"/>
        </w:rPr>
        <w:t>问题在于是否存在任何其他依据，证明缔约一方单独的缔约实践也可以有参考价值。在</w:t>
      </w:r>
      <w:r w:rsidRPr="00AC4F0E">
        <w:rPr>
          <w:rFonts w:hint="eastAsia"/>
        </w:rPr>
        <w:t>ICS</w:t>
      </w:r>
      <w:r w:rsidRPr="00484169">
        <w:rPr>
          <w:rFonts w:ascii="楷体_GB2312" w:eastAsia="楷体_GB2312" w:hint="eastAsia"/>
        </w:rPr>
        <w:t>案</w:t>
      </w:r>
      <w:r w:rsidRPr="00AC4F0E">
        <w:rPr>
          <w:rFonts w:hint="eastAsia"/>
        </w:rPr>
        <w:t>中，法庭认为缔约一方单独的缔约实践没有参考价值。不过法庭确实认为，一国继续在嗣后的双边投资条约中列入起诉须满</w:t>
      </w:r>
      <w:r w:rsidRPr="00AC4F0E">
        <w:rPr>
          <w:rFonts w:hint="eastAsia"/>
        </w:rPr>
        <w:t>18</w:t>
      </w:r>
      <w:r w:rsidRPr="00AC4F0E">
        <w:rPr>
          <w:rFonts w:hint="eastAsia"/>
        </w:rPr>
        <w:t>个月的要求是相关的。法庭认为，该国如果知道某条规定可能因为最惠国规定的加入而丧失任何实际效果，就不太可能坚持订立这条规定。</w:t>
      </w:r>
      <w:r w:rsidRPr="00B53F40">
        <w:rPr>
          <w:rFonts w:hint="eastAsia"/>
          <w:w w:val="150"/>
          <w:vertAlign w:val="superscript"/>
          <w:lang w:val="en-CA"/>
        </w:rPr>
        <w:footnoteReference w:id="594"/>
      </w:r>
      <w:r w:rsidRPr="00AC4F0E">
        <w:rPr>
          <w:rFonts w:hint="eastAsia"/>
        </w:rPr>
        <w:t xml:space="preserve"> </w:t>
      </w:r>
      <w:r w:rsidRPr="00AC4F0E">
        <w:rPr>
          <w:rFonts w:hint="eastAsia"/>
          <w:lang w:val="en-CA"/>
        </w:rPr>
        <w:t>这表明，虽然相关性有限，但是缔约一方的实践的确具有潜在的相关性。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4.</w:t>
      </w:r>
      <w:r w:rsidRPr="00AC4F0E">
        <w:rPr>
          <w:rFonts w:hint="eastAsia"/>
          <w:lang w:val="en-CA"/>
        </w:rPr>
        <w:tab/>
        <w:t>上下文的含义</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184.  </w:t>
      </w:r>
      <w:r w:rsidRPr="00AC4F0E">
        <w:rPr>
          <w:rFonts w:hint="eastAsia"/>
          <w:lang w:val="en-CA"/>
        </w:rPr>
        <w:t>第三十一条</w:t>
      </w:r>
      <w:r w:rsidRPr="00AC4F0E">
        <w:rPr>
          <w:rFonts w:hint="eastAsia"/>
        </w:rPr>
        <w:t>“按其上下文”可以有广泛的含义。由于第三十一条第二款，它包含条约本身的条款、序言和附件，全体缔约方之间因缔结条约所订与条约有关的任何协定，以及缔约一方因缔结条约所订并经缔约另一方接受为条约有关文书的任何文书。</w:t>
      </w:r>
    </w:p>
    <w:p w:rsidR="00F91618" w:rsidRPr="00AC4F0E" w:rsidRDefault="00F91618" w:rsidP="00F91618">
      <w:pPr>
        <w:pStyle w:val="SingleTxt"/>
      </w:pPr>
      <w:r w:rsidRPr="00AC4F0E">
        <w:rPr>
          <w:rFonts w:hint="eastAsia"/>
          <w:lang w:val="en-CA"/>
        </w:rPr>
        <w:t xml:space="preserve">185.  </w:t>
      </w:r>
      <w:r w:rsidRPr="00AC4F0E">
        <w:rPr>
          <w:rFonts w:hint="eastAsia"/>
        </w:rPr>
        <w:t>投资法庭的裁决产生了两个与上下文有关的具体问题。第一，双边投资条约中的一条具体规定能否被一条措词更为笼统的最惠国规定推翻？第二，如果双边投资条约列出不适用最惠国原则的具体情况，这时有何影响？这样是否不包括其他没有列出的最惠国待遇的例外？</w:t>
      </w:r>
    </w:p>
    <w:p w:rsidR="00F91618" w:rsidRPr="00B53F40" w:rsidRDefault="00F91618" w:rsidP="00F91618">
      <w:pPr>
        <w:pStyle w:val="SingleTxt"/>
        <w:spacing w:after="0" w:line="120" w:lineRule="exact"/>
        <w:rPr>
          <w:sz w:val="10"/>
          <w:lang w:val="en-CA"/>
        </w:rPr>
      </w:pPr>
    </w:p>
    <w:p w:rsidR="00F91618" w:rsidRPr="00AC4F0E" w:rsidRDefault="00F91618" w:rsidP="00F91618">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C4F0E">
        <w:rPr>
          <w:rFonts w:hint="eastAsia"/>
          <w:lang w:val="en-CA"/>
        </w:rPr>
        <w:tab/>
        <w:t>(a)</w:t>
      </w:r>
      <w:r w:rsidRPr="00AC4F0E">
        <w:rPr>
          <w:rFonts w:hint="eastAsia"/>
          <w:lang w:val="en-CA"/>
        </w:rPr>
        <w:tab/>
        <w:t>具体规定与一般规定之间的权衡</w:t>
      </w: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186.  </w:t>
      </w:r>
      <w:r w:rsidRPr="00AC4F0E">
        <w:rPr>
          <w:rFonts w:hint="eastAsia"/>
          <w:lang w:val="en-CA"/>
        </w:rPr>
        <w:t>在某些裁决中，</w:t>
      </w:r>
      <w:r w:rsidRPr="00AC4F0E">
        <w:rPr>
          <w:rFonts w:hint="eastAsia"/>
        </w:rPr>
        <w:t>仲裁员试图在处理投资者在何种情况下可以发起投资者与国家间仲裁的具体条约规定，与最惠国条款的一般规定之间做出权衡。得出的结论是，适用于“所有待遇”</w:t>
      </w:r>
      <w:r w:rsidRPr="00AC4F0E">
        <w:rPr>
          <w:rFonts w:hint="eastAsia"/>
        </w:rPr>
        <w:t>(</w:t>
      </w:r>
      <w:r w:rsidRPr="00AC4F0E">
        <w:rPr>
          <w:rFonts w:hint="eastAsia"/>
        </w:rPr>
        <w:t>最惠国条款中的用语</w:t>
      </w:r>
      <w:r w:rsidRPr="00AC4F0E">
        <w:rPr>
          <w:rFonts w:hint="eastAsia"/>
        </w:rPr>
        <w:t>)</w:t>
      </w:r>
      <w:r w:rsidRPr="00AC4F0E">
        <w:rPr>
          <w:rFonts w:hint="eastAsia"/>
        </w:rPr>
        <w:t>的一般规定不能推翻关于条约所给予待遇的具体规定，例如援引争端解决程序须满足的条件。委员会在关于国际法不成体系的报告中指出，“特别法优于一般法”是条约解释中普遍接受的一项原则。</w:t>
      </w:r>
      <w:r w:rsidRPr="00B53F40">
        <w:rPr>
          <w:rFonts w:hint="eastAsia"/>
          <w:w w:val="150"/>
          <w:vertAlign w:val="superscript"/>
          <w:lang w:val="en-CA"/>
        </w:rPr>
        <w:footnoteReference w:id="595"/>
      </w:r>
      <w:r w:rsidRPr="00AC4F0E">
        <w:rPr>
          <w:rFonts w:hint="eastAsia"/>
        </w:rPr>
        <w:t xml:space="preserve"> </w:t>
      </w:r>
      <w:r w:rsidRPr="00AC4F0E">
        <w:rPr>
          <w:rFonts w:hint="eastAsia"/>
        </w:rPr>
        <w:t>不过，在解释最惠国规定方面，该原则的相关性可能有限。</w:t>
      </w:r>
    </w:p>
    <w:p w:rsidR="00F91618" w:rsidRPr="00AC4F0E" w:rsidRDefault="00F91618" w:rsidP="00F91618">
      <w:pPr>
        <w:pStyle w:val="SingleTxt"/>
      </w:pPr>
      <w:r w:rsidRPr="00AC4F0E">
        <w:rPr>
          <w:rFonts w:hint="eastAsia"/>
          <w:lang w:val="en-CA"/>
        </w:rPr>
        <w:lastRenderedPageBreak/>
        <w:t xml:space="preserve">187.  </w:t>
      </w:r>
      <w:r w:rsidRPr="00AC4F0E">
        <w:rPr>
          <w:rFonts w:hint="eastAsia"/>
          <w:lang w:val="en-CA"/>
        </w:rPr>
        <w:t>最惠国条款的本质是承诺优于条约所给予的待遇，不能仅仅因为基础条约本身包含具体规定，就断定最惠国规定是否可以提供优于基础条约已经提供的待遇。当然，如果条约中含有独立的解释性证据，表明缔约方的意图是最惠国规定不适用于所涉具体规定，则另当别论。但是研究组认为，对最惠国规定作出解释时，不能简单地假定具体规定高于一般规定。</w:t>
      </w:r>
    </w:p>
    <w:p w:rsidR="00F91618" w:rsidRPr="00B53F40" w:rsidRDefault="00F91618" w:rsidP="00F91618">
      <w:pPr>
        <w:pStyle w:val="SingleTxt"/>
        <w:spacing w:after="0" w:line="120" w:lineRule="exact"/>
        <w:rPr>
          <w:sz w:val="10"/>
          <w:lang w:val="en-CA"/>
        </w:rPr>
      </w:pPr>
    </w:p>
    <w:p w:rsidR="00F91618" w:rsidRPr="00AC4F0E" w:rsidRDefault="00F91618" w:rsidP="00F91618">
      <w:pPr>
        <w:pStyle w:val="H4"/>
        <w:tabs>
          <w:tab w:val="clear" w:pos="431"/>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r>
      <w:r w:rsidRPr="00AC4F0E">
        <w:rPr>
          <w:lang w:val="en-CA"/>
        </w:rPr>
        <w:t>(</w:t>
      </w:r>
      <w:r w:rsidRPr="00AC4F0E">
        <w:rPr>
          <w:rFonts w:hint="eastAsia"/>
          <w:lang w:val="en-CA"/>
        </w:rPr>
        <w:t>b</w:t>
      </w:r>
      <w:r w:rsidRPr="00AC4F0E">
        <w:rPr>
          <w:lang w:val="en-CA"/>
        </w:rPr>
        <w:t>)</w:t>
      </w:r>
      <w:r w:rsidRPr="00AC4F0E">
        <w:rPr>
          <w:lang w:val="en-CA"/>
        </w:rPr>
        <w:tab/>
      </w:r>
      <w:r w:rsidRPr="00AC4F0E">
        <w:rPr>
          <w:rFonts w:hint="eastAsia"/>
          <w:lang w:val="en-CA"/>
        </w:rPr>
        <w:t>“明示其一”原则</w:t>
      </w: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188.  </w:t>
      </w:r>
      <w:r w:rsidRPr="00AC4F0E">
        <w:rPr>
          <w:rFonts w:hint="eastAsia"/>
          <w:lang w:val="en-CA"/>
        </w:rPr>
        <w:t>“明示其一即</w:t>
      </w:r>
      <w:r w:rsidRPr="00AC4F0E">
        <w:rPr>
          <w:rFonts w:hint="eastAsia"/>
        </w:rPr>
        <w:t>排除其他</w:t>
      </w:r>
      <w:r w:rsidRPr="00AC4F0E">
        <w:rPr>
          <w:rFonts w:hint="eastAsia"/>
          <w:lang w:val="en-CA"/>
        </w:rPr>
        <w:t>”原则经常被引用，尤其用来表述适用最惠国规定的例外情况。这种主张是：双边投资条约含有对适用最惠国规定的明确例外时，这些例外不包含其他未指明的例外。</w:t>
      </w:r>
      <w:r w:rsidRPr="00B53F40">
        <w:rPr>
          <w:rFonts w:hint="eastAsia"/>
          <w:w w:val="150"/>
          <w:vertAlign w:val="superscript"/>
          <w:lang w:val="en-CA"/>
        </w:rPr>
        <w:footnoteReference w:id="596"/>
      </w:r>
      <w:r w:rsidRPr="00AC4F0E">
        <w:rPr>
          <w:rFonts w:hint="eastAsia"/>
          <w:lang w:val="en-CA"/>
        </w:rPr>
        <w:t xml:space="preserve"> </w:t>
      </w:r>
      <w:r w:rsidRPr="00AC4F0E">
        <w:rPr>
          <w:rFonts w:hint="eastAsia"/>
          <w:lang w:val="en-CA"/>
        </w:rPr>
        <w:t>因此，如果</w:t>
      </w:r>
      <w:r w:rsidRPr="00AC4F0E">
        <w:rPr>
          <w:rFonts w:hint="eastAsia"/>
        </w:rPr>
        <w:t>在排除适用最惠国规定的事项中没有提及争端解决规定，就意味着最惠国规定涵盖争端的解决。然而，一些作者指出，“明示其一”原则最多是一个假设前提，不应把它当作对这一问题的确切回答。</w:t>
      </w:r>
      <w:r w:rsidRPr="00B53F40">
        <w:rPr>
          <w:rFonts w:hint="eastAsia"/>
          <w:w w:val="150"/>
          <w:vertAlign w:val="superscript"/>
          <w:lang w:val="en-CA"/>
        </w:rPr>
        <w:footnoteReference w:id="597"/>
      </w:r>
      <w:r w:rsidRPr="00AC4F0E">
        <w:rPr>
          <w:rFonts w:hint="eastAsia"/>
        </w:rPr>
        <w:t xml:space="preserve"> </w:t>
      </w:r>
      <w:r w:rsidRPr="00AC4F0E">
        <w:rPr>
          <w:rFonts w:hint="eastAsia"/>
          <w:lang w:val="en-CA"/>
        </w:rPr>
        <w:t>它</w:t>
      </w:r>
      <w:r w:rsidRPr="00AC4F0E">
        <w:rPr>
          <w:rFonts w:hint="eastAsia"/>
        </w:rPr>
        <w:t>是一个需要考虑的因素，仅此而已。此外，法庭在</w:t>
      </w:r>
      <w:r w:rsidRPr="00AC4F0E">
        <w:rPr>
          <w:rFonts w:hint="eastAsia"/>
          <w:iCs/>
        </w:rPr>
        <w:t>ICS</w:t>
      </w:r>
      <w:r w:rsidRPr="00484169">
        <w:rPr>
          <w:rFonts w:ascii="楷体_GB2312" w:eastAsia="楷体_GB2312" w:hint="eastAsia"/>
        </w:rPr>
        <w:t>案</w:t>
      </w:r>
      <w:r w:rsidRPr="00AC4F0E">
        <w:rPr>
          <w:rFonts w:hint="eastAsia"/>
        </w:rPr>
        <w:t>中指出，该原则可能导致相反的结论。如果列出的仅仅是与实体性待遇相关的例外，这可能意味着缔约方不认为最惠国规定与程序性事项或争端解决事项存在联系。</w:t>
      </w:r>
      <w:r w:rsidRPr="00B53F40">
        <w:rPr>
          <w:rFonts w:hint="eastAsia"/>
          <w:w w:val="150"/>
          <w:vertAlign w:val="superscript"/>
          <w:lang w:val="en-CA"/>
        </w:rPr>
        <w:footnoteReference w:id="598"/>
      </w:r>
      <w:r w:rsidRPr="00AC4F0E">
        <w:rPr>
          <w:rFonts w:hint="eastAsia"/>
        </w:rPr>
        <w:t xml:space="preserve"> </w:t>
      </w:r>
      <w:r w:rsidRPr="00AC4F0E">
        <w:rPr>
          <w:rFonts w:hint="eastAsia"/>
          <w:lang w:val="en-CA"/>
        </w:rPr>
        <w:t>委员会据此认为</w:t>
      </w:r>
      <w:r w:rsidRPr="00AC4F0E">
        <w:rPr>
          <w:rFonts w:hint="eastAsia"/>
        </w:rPr>
        <w:t>，虽然“明示其一”原则一个需要考虑的因素，但不能作为一个决定性因素。</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5.</w:t>
      </w:r>
      <w:r w:rsidRPr="00AC4F0E">
        <w:rPr>
          <w:rFonts w:hint="eastAsia"/>
          <w:lang w:val="en-CA"/>
        </w:rPr>
        <w:tab/>
        <w:t>试图替换的条款内容的相关性</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189.  </w:t>
      </w:r>
      <w:r w:rsidRPr="00AC4F0E">
        <w:rPr>
          <w:rFonts w:hint="eastAsia"/>
          <w:lang w:val="en-CA"/>
        </w:rPr>
        <w:t>一些法庭认为，</w:t>
      </w:r>
      <w:r w:rsidRPr="00AC4F0E">
        <w:rPr>
          <w:rFonts w:hint="eastAsia"/>
          <w:lang w:val="en-CA"/>
        </w:rPr>
        <w:t>18</w:t>
      </w:r>
      <w:r w:rsidRPr="00AC4F0E">
        <w:rPr>
          <w:rFonts w:hint="eastAsia"/>
          <w:lang w:val="en-CA"/>
        </w:rPr>
        <w:t>个月诉讼期的要求</w:t>
      </w:r>
      <w:r w:rsidRPr="00AC4F0E">
        <w:rPr>
          <w:rFonts w:hint="eastAsia"/>
        </w:rPr>
        <w:t>给试图通过援引双边投资条约的争端解决规定行使其权利的投资者设置了不必要的障碍，违背了双边投资条约促进和方便投资的总体目标。不过，另一些法庭指出，这一规定是用尽当地救济规则的一个变体，有其自身的理论依据。鉴于最惠国规定的适用影响到基础条约中相关规定的内容，而投资法庭对最惠国规定的解释又受到这些内容的影响，研究组很难理解如何能够根据条约解释规则对这种考虑做出合理解释。</w:t>
      </w:r>
    </w:p>
    <w:p w:rsidR="00F91618" w:rsidRPr="00AC4F0E" w:rsidRDefault="00F91618" w:rsidP="00F91618">
      <w:pPr>
        <w:pStyle w:val="SingleTxt"/>
      </w:pPr>
      <w:r w:rsidRPr="00AC4F0E">
        <w:rPr>
          <w:rFonts w:hint="eastAsia"/>
          <w:lang w:val="en-CA"/>
        </w:rPr>
        <w:t xml:space="preserve">190.  </w:t>
      </w:r>
      <w:r w:rsidRPr="00AC4F0E">
        <w:rPr>
          <w:rFonts w:hint="eastAsia"/>
          <w:lang w:val="en-CA"/>
        </w:rPr>
        <w:t>是否</w:t>
      </w:r>
      <w:r w:rsidRPr="00AC4F0E">
        <w:rPr>
          <w:rFonts w:hint="eastAsia"/>
        </w:rPr>
        <w:t>将一条具体规定纳入双边投资条约是缔约方要做出的政策决定，而不是争端解决法庭可以事后推断出的。法庭的工作是确定缔约方的意思和意图，而不是质疑其政策选择。在此基础上，研究组认为，因适用最惠国规定而被绕过的条款内容与条约解释无关。</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6.</w:t>
      </w:r>
      <w:r w:rsidRPr="00AC4F0E">
        <w:rPr>
          <w:rFonts w:hint="eastAsia"/>
          <w:lang w:val="en-CA"/>
        </w:rPr>
        <w:tab/>
        <w:t>对试图纳入的条款的解释</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191.  </w:t>
      </w:r>
      <w:r w:rsidRPr="00AC4F0E">
        <w:rPr>
          <w:rFonts w:hint="eastAsia"/>
          <w:lang w:val="en-CA"/>
        </w:rPr>
        <w:t>要回答适用最惠国条款</w:t>
      </w:r>
      <w:r w:rsidRPr="00AC4F0E">
        <w:rPr>
          <w:rFonts w:hint="eastAsia"/>
        </w:rPr>
        <w:t>可以从第三方条约中获得何种范围或程度的好处这一重要问题，需要适用同类原则。显然，如果基础条约中最惠国条款的主题事项仅限于实体性问题，那么就不能用该条款来获得第三方条约规定的程序性权利的好处。</w:t>
      </w:r>
      <w:r w:rsidRPr="00AC4F0E">
        <w:rPr>
          <w:rFonts w:hint="eastAsia"/>
        </w:rPr>
        <w:lastRenderedPageBreak/>
        <w:t>更难回答的问题是，确实涉及程序性规定的最惠国条款的受惠方是否可以挑选和选择能够援引哪些程序性好处。</w:t>
      </w:r>
    </w:p>
    <w:p w:rsidR="00F91618" w:rsidRPr="00AC4F0E" w:rsidRDefault="00F91618" w:rsidP="00F91618">
      <w:pPr>
        <w:pStyle w:val="SingleTxt"/>
        <w:rPr>
          <w:lang w:bidi="en-US"/>
        </w:rPr>
      </w:pPr>
      <w:r w:rsidRPr="00AC4F0E">
        <w:rPr>
          <w:rFonts w:hint="eastAsia"/>
          <w:lang w:val="en-CA"/>
        </w:rPr>
        <w:t xml:space="preserve">192.  </w:t>
      </w:r>
      <w:r w:rsidRPr="00AC4F0E">
        <w:rPr>
          <w:rFonts w:hint="eastAsia"/>
          <w:lang w:val="en-CA"/>
        </w:rPr>
        <w:t>在这方面，虽然</w:t>
      </w:r>
      <w:r w:rsidRPr="00AC4F0E">
        <w:rPr>
          <w:rFonts w:hint="eastAsia"/>
          <w:lang w:val="en-CA"/>
        </w:rPr>
        <w:t>1978</w:t>
      </w:r>
      <w:r w:rsidRPr="00AC4F0E">
        <w:rPr>
          <w:rFonts w:hint="eastAsia"/>
          <w:lang w:val="en-CA"/>
        </w:rPr>
        <w:t>年条款草案作出了总体回答，但要帮助解决投资协定背景下产生的实际问题仍然不够具体。条款草案第九条和第十条提到，受惠国有权获得“</w:t>
      </w:r>
      <w:r w:rsidRPr="00AC4F0E">
        <w:rPr>
          <w:rFonts w:hint="eastAsia"/>
          <w:lang w:bidi="en-US"/>
        </w:rPr>
        <w:t>该条款的主题范围之内的”权利或待遇。评注接着说，</w:t>
      </w:r>
      <w:r w:rsidRPr="00AC4F0E">
        <w:rPr>
          <w:rFonts w:hint="eastAsia"/>
          <w:lang w:val="en-CA"/>
        </w:rPr>
        <w:t>“</w:t>
      </w:r>
      <w:r w:rsidRPr="00AC4F0E">
        <w:rPr>
          <w:rFonts w:hint="eastAsia"/>
          <w:lang w:bidi="en-US"/>
        </w:rPr>
        <w:t>该条款的主题范围之内的”一词包含对相似性概念的暗示。</w:t>
      </w:r>
      <w:r w:rsidRPr="00B53F40">
        <w:rPr>
          <w:rFonts w:hint="eastAsia"/>
          <w:w w:val="150"/>
          <w:vertAlign w:val="superscript"/>
          <w:lang w:val="en-CA"/>
        </w:rPr>
        <w:footnoteReference w:id="599"/>
      </w:r>
      <w:r w:rsidRPr="00AC4F0E">
        <w:rPr>
          <w:rFonts w:hint="eastAsia"/>
          <w:lang w:bidi="en-US"/>
        </w:rPr>
        <w:t xml:space="preserve"> </w:t>
      </w:r>
      <w:r w:rsidRPr="00AC4F0E">
        <w:rPr>
          <w:rFonts w:hint="eastAsia"/>
          <w:lang w:bidi="en-US"/>
        </w:rPr>
        <w:t>然而，投资法庭尚未就相似性概念形成判例。拿上文的例子来说，不包含“岔路口条款”的</w:t>
      </w:r>
      <w:r w:rsidRPr="00AC4F0E">
        <w:rPr>
          <w:rFonts w:hint="eastAsia"/>
          <w:lang w:bidi="en-US"/>
        </w:rPr>
        <w:t>18</w:t>
      </w:r>
      <w:r w:rsidRPr="00AC4F0E">
        <w:rPr>
          <w:rFonts w:hint="eastAsia"/>
          <w:lang w:bidi="en-US"/>
        </w:rPr>
        <w:t>个月诉讼期要求与直接诉诸投资者与国家仲裁但是包含“岔路口条款”的规定相比，到底哪个更优惠，人们没有达成共识。</w:t>
      </w:r>
    </w:p>
    <w:p w:rsidR="00F91618" w:rsidRPr="00AC4F0E" w:rsidRDefault="00F91618" w:rsidP="00F91618">
      <w:pPr>
        <w:pStyle w:val="SingleTxt"/>
        <w:rPr>
          <w:lang w:bidi="en-US"/>
        </w:rPr>
      </w:pPr>
      <w:r w:rsidRPr="00AC4F0E">
        <w:rPr>
          <w:rFonts w:hint="eastAsia"/>
          <w:lang w:val="en-CA"/>
        </w:rPr>
        <w:t xml:space="preserve">193.  </w:t>
      </w:r>
      <w:r w:rsidRPr="00AC4F0E">
        <w:rPr>
          <w:rFonts w:hint="eastAsia"/>
          <w:lang w:val="en-CA"/>
        </w:rPr>
        <w:t>研究组认为</w:t>
      </w:r>
      <w:r w:rsidRPr="00AC4F0E">
        <w:rPr>
          <w:rFonts w:hint="eastAsia"/>
          <w:lang w:bidi="en-US"/>
        </w:rPr>
        <w:t>，什么是比较不利的待遇这一问题只能通过逐案分析来回答。至少，这是对最惠国条款作出任何解释或适用时都必须解决的问题。</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C4F0E">
        <w:rPr>
          <w:rFonts w:hint="eastAsia"/>
          <w:lang w:val="en-CA"/>
        </w:rPr>
        <w:tab/>
        <w:t>D.</w:t>
      </w:r>
      <w:r w:rsidRPr="00AC4F0E">
        <w:rPr>
          <w:rFonts w:hint="eastAsia"/>
          <w:lang w:val="en-CA"/>
        </w:rPr>
        <w:tab/>
      </w:r>
      <w:r w:rsidRPr="00AC4F0E">
        <w:rPr>
          <w:rFonts w:hint="eastAsia"/>
        </w:rPr>
        <w:t>最惠国条款</w:t>
      </w:r>
      <w:r w:rsidRPr="00AC4F0E">
        <w:rPr>
          <w:rFonts w:hint="eastAsia"/>
          <w:lang w:val="en-CA"/>
        </w:rPr>
        <w:t>各种</w:t>
      </w:r>
      <w:r w:rsidRPr="00AC4F0E">
        <w:rPr>
          <w:rFonts w:hint="eastAsia"/>
        </w:rPr>
        <w:t>范本的结果</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194.  </w:t>
      </w:r>
      <w:r w:rsidRPr="00AC4F0E">
        <w:rPr>
          <w:rFonts w:hint="eastAsia"/>
          <w:lang w:val="en-CA"/>
        </w:rPr>
        <w:t>研究组虽然在工作一开始考虑过是否可以起草最惠国条款的范本，但最后得出结论称，这样做毫无用处。各国在其投资协定中已经纳入了大量的最惠国条款，可以为今后的协定提供范本。更重要的是理解特定措词可能引起的结果。</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t>1.</w:t>
      </w:r>
      <w:r w:rsidRPr="00AC4F0E">
        <w:rPr>
          <w:rFonts w:hint="eastAsia"/>
          <w:lang w:val="en-CA"/>
        </w:rPr>
        <w:tab/>
        <w:t>马菲基尼案裁决时已有协定中的条款</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195.  </w:t>
      </w:r>
      <w:r w:rsidRPr="00AC4F0E">
        <w:rPr>
          <w:rFonts w:hint="eastAsia"/>
        </w:rPr>
        <w:t>除已经明确的不同解释方法外，对最惠国条款中某些类型的措词的解释似乎存在某些共性。</w:t>
      </w:r>
    </w:p>
    <w:p w:rsidR="00F91618" w:rsidRPr="00AC4F0E" w:rsidRDefault="00F91618" w:rsidP="00F91618">
      <w:pPr>
        <w:pStyle w:val="SingleTxt"/>
      </w:pPr>
      <w:r w:rsidRPr="00AC4F0E">
        <w:rPr>
          <w:rFonts w:hint="eastAsia"/>
          <w:lang w:val="en-CA"/>
        </w:rPr>
        <w:t xml:space="preserve">196.  </w:t>
      </w:r>
      <w:r w:rsidRPr="00AC4F0E">
        <w:rPr>
          <w:rFonts w:hint="eastAsia"/>
          <w:lang w:val="en-CA"/>
        </w:rPr>
        <w:t>第一</w:t>
      </w:r>
      <w:r w:rsidRPr="00AC4F0E">
        <w:rPr>
          <w:rFonts w:hint="eastAsia"/>
        </w:rPr>
        <w:t>，当最惠国条款仅规定“待遇不低于”，不含任何可能扩大所给予待遇的范围的修饰语时，投资法庭毫无例外地拒绝把这一规定解释为包含争端解决。</w:t>
      </w:r>
    </w:p>
    <w:p w:rsidR="00F91618" w:rsidRPr="00653B40" w:rsidRDefault="00F91618" w:rsidP="00F91618">
      <w:pPr>
        <w:pStyle w:val="SingleTxt"/>
        <w:rPr>
          <w:spacing w:val="2"/>
        </w:rPr>
      </w:pPr>
      <w:r w:rsidRPr="00653B40">
        <w:rPr>
          <w:rFonts w:hint="eastAsia"/>
          <w:spacing w:val="2"/>
          <w:lang w:val="en-CA"/>
        </w:rPr>
        <w:t xml:space="preserve">197.  </w:t>
      </w:r>
      <w:r w:rsidRPr="00653B40">
        <w:rPr>
          <w:rFonts w:hint="eastAsia"/>
          <w:spacing w:val="2"/>
          <w:lang w:val="en-CA"/>
        </w:rPr>
        <w:t>第二</w:t>
      </w:r>
      <w:r w:rsidRPr="00653B40">
        <w:rPr>
          <w:rFonts w:hint="eastAsia"/>
          <w:spacing w:val="2"/>
        </w:rPr>
        <w:t>，当最惠国条款含有提到受条约约束的“所有待遇”或“所有事项”的条款时，投资法庭倾向于对这些条款做出宽泛的解释，并得出这些条款适用于争端解决规定的结论。仅在一起案件中，法庭不认为措词宽泛的条款适用于争端解决。</w:t>
      </w:r>
      <w:r w:rsidRPr="00653B40">
        <w:rPr>
          <w:rFonts w:hint="eastAsia"/>
          <w:spacing w:val="2"/>
          <w:w w:val="150"/>
          <w:vertAlign w:val="superscript"/>
          <w:lang w:val="en-CA"/>
        </w:rPr>
        <w:footnoteReference w:id="600"/>
      </w:r>
    </w:p>
    <w:p w:rsidR="00F91618" w:rsidRPr="00AC4F0E" w:rsidRDefault="00F91618" w:rsidP="00F91618">
      <w:pPr>
        <w:pStyle w:val="SingleTxt"/>
      </w:pPr>
      <w:r w:rsidRPr="00AC4F0E">
        <w:rPr>
          <w:rFonts w:hint="eastAsia"/>
          <w:lang w:val="en-CA"/>
        </w:rPr>
        <w:t xml:space="preserve">198.  </w:t>
      </w:r>
      <w:r w:rsidRPr="00AC4F0E">
        <w:rPr>
          <w:rFonts w:hint="eastAsia"/>
          <w:lang w:val="en-CA"/>
        </w:rPr>
        <w:t>第三，</w:t>
      </w:r>
      <w:r w:rsidRPr="00AC4F0E">
        <w:rPr>
          <w:rFonts w:hint="eastAsia"/>
        </w:rPr>
        <w:t>当最惠国条款提到“使用”、“管理”、“维持”、“享有”、“处置”和“使用”对待遇进行修饰时，大部分法庭的结论是：这些条款够宽泛，足以包括争端解决规定。</w:t>
      </w:r>
    </w:p>
    <w:p w:rsidR="00F91618" w:rsidRPr="00AC4F0E" w:rsidRDefault="00F91618" w:rsidP="00F91618">
      <w:pPr>
        <w:pStyle w:val="SingleTxt"/>
      </w:pPr>
      <w:r w:rsidRPr="00AC4F0E">
        <w:rPr>
          <w:rFonts w:hint="eastAsia"/>
          <w:lang w:val="en-CA"/>
        </w:rPr>
        <w:t xml:space="preserve">199.  </w:t>
      </w:r>
      <w:r w:rsidRPr="00AC4F0E">
        <w:rPr>
          <w:rFonts w:hint="eastAsia"/>
          <w:lang w:val="en-CA"/>
        </w:rPr>
        <w:t>第四，在</w:t>
      </w:r>
      <w:r w:rsidRPr="00AC4F0E">
        <w:rPr>
          <w:rFonts w:hint="eastAsia"/>
        </w:rPr>
        <w:t>把最惠国待遇与公正和公平待遇直接联系的两起案件中，法庭均未得出该条款包含争端解决规定的结论。</w:t>
      </w:r>
    </w:p>
    <w:p w:rsidR="00F91618" w:rsidRPr="00B53F40" w:rsidRDefault="00F91618" w:rsidP="00F91618">
      <w:pPr>
        <w:pStyle w:val="SingleTxt"/>
        <w:rPr>
          <w:w w:val="150"/>
          <w:vertAlign w:val="superscript"/>
          <w:lang w:val="en-CA"/>
        </w:rPr>
      </w:pPr>
      <w:r w:rsidRPr="00AC4F0E">
        <w:rPr>
          <w:rFonts w:hint="eastAsia"/>
          <w:lang w:val="en-CA"/>
        </w:rPr>
        <w:lastRenderedPageBreak/>
        <w:t xml:space="preserve">200.  </w:t>
      </w:r>
      <w:r w:rsidRPr="00AC4F0E">
        <w:rPr>
          <w:rFonts w:hint="eastAsia"/>
          <w:lang w:val="en-CA"/>
        </w:rPr>
        <w:t>第五，</w:t>
      </w:r>
      <w:r w:rsidRPr="00AC4F0E">
        <w:rPr>
          <w:rFonts w:hint="eastAsia"/>
        </w:rPr>
        <w:t>在最惠国条款受到领土限制的几起案件中，结果各有不同。有些案件的结论是，领土限制对决定是否涉及争端解决规定毫无影响；</w:t>
      </w:r>
      <w:r w:rsidRPr="00B53F40">
        <w:rPr>
          <w:rFonts w:hint="eastAsia"/>
          <w:w w:val="150"/>
          <w:vertAlign w:val="superscript"/>
          <w:lang w:val="en-CA"/>
        </w:rPr>
        <w:footnoteReference w:id="601"/>
      </w:r>
      <w:r w:rsidRPr="00AC4F0E">
        <w:rPr>
          <w:rFonts w:hint="eastAsia"/>
        </w:rPr>
        <w:t xml:space="preserve"> </w:t>
      </w:r>
      <w:r w:rsidRPr="00AC4F0E">
        <w:rPr>
          <w:rFonts w:hint="eastAsia"/>
        </w:rPr>
        <w:t>另一些案件的结论则是，领土限制条款防止了将国际争端解决规定纳入最惠国条款。</w:t>
      </w:r>
      <w:r w:rsidRPr="00B53F40">
        <w:rPr>
          <w:rFonts w:hint="eastAsia"/>
          <w:w w:val="150"/>
          <w:vertAlign w:val="superscript"/>
          <w:lang w:val="en-CA"/>
        </w:rPr>
        <w:footnoteReference w:id="602"/>
      </w:r>
    </w:p>
    <w:p w:rsidR="00F91618" w:rsidRPr="00AC4F0E" w:rsidRDefault="00F91618" w:rsidP="00F91618">
      <w:pPr>
        <w:pStyle w:val="SingleTxt"/>
        <w:rPr>
          <w:lang w:val="en-CA"/>
        </w:rPr>
      </w:pPr>
      <w:r w:rsidRPr="00AC4F0E">
        <w:rPr>
          <w:rFonts w:hint="eastAsia"/>
          <w:lang w:val="en-CA"/>
        </w:rPr>
        <w:t xml:space="preserve">201.  </w:t>
      </w:r>
      <w:r w:rsidRPr="00AC4F0E">
        <w:rPr>
          <w:rFonts w:hint="eastAsia"/>
          <w:lang w:val="en-CA"/>
        </w:rPr>
        <w:t>第六，</w:t>
      </w:r>
      <w:r w:rsidRPr="00AC4F0E">
        <w:rPr>
          <w:rFonts w:hint="eastAsia"/>
        </w:rPr>
        <w:t>在最惠国条款将其适用限定为处于“同类情形”或“类似情况”的投资者或投资的案件中，没有法庭将最惠国条款是否适用于争端解决规定作为相关问题。</w:t>
      </w:r>
    </w:p>
    <w:p w:rsidR="00F91618" w:rsidRPr="00AC4F0E" w:rsidRDefault="00F91618" w:rsidP="00F91618">
      <w:pPr>
        <w:pStyle w:val="SingleTxt"/>
      </w:pPr>
      <w:r w:rsidRPr="00AC4F0E">
        <w:rPr>
          <w:rFonts w:hint="eastAsia"/>
          <w:lang w:val="en-CA"/>
        </w:rPr>
        <w:t xml:space="preserve">202.  </w:t>
      </w:r>
      <w:r w:rsidRPr="00AC4F0E">
        <w:rPr>
          <w:rFonts w:hint="eastAsia"/>
        </w:rPr>
        <w:t>这一分析指出了过去的做法，并不构成对今后案件如何裁决的说明。由于投资法庭是临时机构，且最惠国条款的具体规定和上下文存在差异，所以即便某些、甚至全部仲裁员都已经审理过涉及最惠国规定的案件，也不可能事先判断仲裁员将如何裁决。不过，当最惠国条款能够得到较宽泛的解释时，法庭似乎更倾向于认为它们适用于争端解决规定。研究组认为，这让各国初步了解了法庭可能如何看待具体措辞。</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C4F0E">
        <w:rPr>
          <w:rFonts w:hint="eastAsia"/>
          <w:lang w:val="en-CA"/>
        </w:rPr>
        <w:tab/>
        <w:t>2.</w:t>
      </w:r>
      <w:r w:rsidRPr="00AC4F0E">
        <w:rPr>
          <w:rFonts w:hint="eastAsia"/>
          <w:lang w:val="en-CA"/>
        </w:rPr>
        <w:tab/>
        <w:t>马菲基尼案裁决后所订立协定中的条款</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203.  </w:t>
      </w:r>
      <w:r w:rsidRPr="00484169">
        <w:rPr>
          <w:rFonts w:ascii="楷体_GB2312" w:eastAsia="楷体_GB2312" w:hint="eastAsia"/>
          <w:lang w:val="en-CA"/>
        </w:rPr>
        <w:t>马菲基尼案</w:t>
      </w:r>
      <w:r w:rsidRPr="00AC4F0E">
        <w:rPr>
          <w:rFonts w:hint="eastAsia"/>
          <w:lang w:val="en-CA"/>
        </w:rPr>
        <w:t>裁决以来，订立了一些含有最惠国规定的投资协定。总体而言，分为三类：</w:t>
      </w:r>
    </w:p>
    <w:p w:rsidR="00F91618" w:rsidRPr="00AC4F0E" w:rsidRDefault="00F91618" w:rsidP="00F91618">
      <w:pPr>
        <w:pStyle w:val="SingleTxt"/>
      </w:pPr>
      <w:r w:rsidRPr="00AC4F0E">
        <w:rPr>
          <w:rFonts w:hint="eastAsia"/>
          <w:lang w:val="en-CA"/>
        </w:rPr>
        <w:t xml:space="preserve">204.  </w:t>
      </w:r>
      <w:r w:rsidRPr="00AC4F0E">
        <w:rPr>
          <w:rFonts w:hint="eastAsia"/>
          <w:lang w:val="en-CA"/>
        </w:rPr>
        <w:t>第一类，</w:t>
      </w:r>
      <w:r w:rsidRPr="00AC4F0E">
        <w:rPr>
          <w:rFonts w:hint="eastAsia"/>
        </w:rPr>
        <w:t>明确排除适用</w:t>
      </w:r>
      <w:r w:rsidRPr="00484169">
        <w:rPr>
          <w:rFonts w:ascii="楷体_GB2312" w:eastAsia="楷体_GB2312" w:hint="eastAsia"/>
          <w:lang w:val="en-CA"/>
        </w:rPr>
        <w:t>马菲基尼案</w:t>
      </w:r>
      <w:r w:rsidRPr="00AC4F0E">
        <w:rPr>
          <w:rFonts w:hint="eastAsia"/>
          <w:lang w:val="en-CA"/>
        </w:rPr>
        <w:t>的方法，或是明确提到该裁决，</w:t>
      </w:r>
      <w:r w:rsidRPr="00B53F40">
        <w:rPr>
          <w:rFonts w:hint="eastAsia"/>
          <w:w w:val="150"/>
          <w:vertAlign w:val="superscript"/>
          <w:lang w:val="en-CA"/>
        </w:rPr>
        <w:footnoteReference w:id="603"/>
      </w:r>
      <w:r w:rsidRPr="00AC4F0E">
        <w:rPr>
          <w:rFonts w:hint="eastAsia"/>
          <w:lang w:val="en-CA"/>
        </w:rPr>
        <w:t xml:space="preserve"> </w:t>
      </w:r>
      <w:r w:rsidRPr="00AC4F0E">
        <w:rPr>
          <w:rFonts w:hint="eastAsia"/>
          <w:lang w:val="en-CA"/>
        </w:rPr>
        <w:t>或是规定争端解决规定</w:t>
      </w:r>
      <w:r w:rsidRPr="00AC4F0E">
        <w:rPr>
          <w:rFonts w:hint="eastAsia"/>
        </w:rPr>
        <w:t>不属于最惠国规定的范围。</w:t>
      </w:r>
      <w:r w:rsidRPr="00B53F40">
        <w:rPr>
          <w:rFonts w:hint="eastAsia"/>
          <w:w w:val="150"/>
          <w:vertAlign w:val="superscript"/>
          <w:lang w:val="en-CA"/>
        </w:rPr>
        <w:footnoteReference w:id="604"/>
      </w:r>
      <w:r w:rsidRPr="00AC4F0E">
        <w:rPr>
          <w:rFonts w:hint="eastAsia"/>
        </w:rPr>
        <w:t xml:space="preserve"> </w:t>
      </w:r>
      <w:r w:rsidRPr="00AC4F0E">
        <w:rPr>
          <w:rFonts w:hint="eastAsia"/>
        </w:rPr>
        <w:t>一般来说，似乎不是通过将该裁决列入适用最惠国条款的例外情况。</w:t>
      </w:r>
    </w:p>
    <w:p w:rsidR="00F91618" w:rsidRPr="00AC4F0E" w:rsidRDefault="00F91618" w:rsidP="00F91618">
      <w:pPr>
        <w:pStyle w:val="SingleTxt"/>
      </w:pPr>
      <w:r w:rsidRPr="00AC4F0E">
        <w:rPr>
          <w:rFonts w:hint="eastAsia"/>
          <w:lang w:val="en-CA"/>
        </w:rPr>
        <w:t xml:space="preserve">205.  </w:t>
      </w:r>
      <w:r w:rsidRPr="00AC4F0E">
        <w:rPr>
          <w:rFonts w:hint="eastAsia"/>
          <w:lang w:val="en-CA"/>
        </w:rPr>
        <w:t>第二类，</w:t>
      </w:r>
      <w:r w:rsidRPr="00AC4F0E">
        <w:rPr>
          <w:rFonts w:hint="eastAsia"/>
        </w:rPr>
        <w:t>明确将争端解决规定纳入最惠国条款的范围之内。</w:t>
      </w:r>
      <w:r w:rsidRPr="00B53F40">
        <w:rPr>
          <w:rFonts w:hint="eastAsia"/>
          <w:w w:val="150"/>
          <w:vertAlign w:val="superscript"/>
          <w:lang w:val="en-CA"/>
        </w:rPr>
        <w:footnoteReference w:id="605"/>
      </w:r>
    </w:p>
    <w:p w:rsidR="00F91618" w:rsidRPr="00AC4F0E" w:rsidRDefault="00F91618" w:rsidP="00F91618">
      <w:pPr>
        <w:pStyle w:val="SingleTxt"/>
      </w:pPr>
      <w:r w:rsidRPr="00AC4F0E">
        <w:rPr>
          <w:rFonts w:hint="eastAsia"/>
          <w:lang w:val="en-CA"/>
        </w:rPr>
        <w:t xml:space="preserve">206.  </w:t>
      </w:r>
      <w:r w:rsidRPr="00AC4F0E">
        <w:rPr>
          <w:rFonts w:hint="eastAsia"/>
          <w:lang w:val="en-CA"/>
        </w:rPr>
        <w:t>第三类，</w:t>
      </w:r>
      <w:r w:rsidRPr="00AC4F0E">
        <w:rPr>
          <w:rFonts w:hint="eastAsia"/>
        </w:rPr>
        <w:t>没有提到争端解决规定是否被纳入最惠国条款的范围之内。一些协定将最惠国条款的适用范围定义为适用于“其领土内投资的设立、获取、扩大、管理、开展、运营或其他处置。”然而，前文已经指出，这一规定被有些法庭解释为不包含争端解决，被另一些法庭解释为包含争端解决。</w:t>
      </w:r>
    </w:p>
    <w:p w:rsidR="00F91618" w:rsidRPr="00AC4F0E" w:rsidRDefault="00F91618" w:rsidP="00F91618">
      <w:pPr>
        <w:pStyle w:val="SingleTxt"/>
      </w:pPr>
      <w:r w:rsidRPr="00AC4F0E">
        <w:rPr>
          <w:rFonts w:hint="eastAsia"/>
          <w:lang w:val="en-CA"/>
        </w:rPr>
        <w:t xml:space="preserve">207.  </w:t>
      </w:r>
      <w:r w:rsidRPr="00AC4F0E">
        <w:rPr>
          <w:rFonts w:hint="eastAsia"/>
          <w:lang w:val="en-CA"/>
        </w:rPr>
        <w:t>研究组注意到，最惠国与争端解决规定的问题并未促使各国澄清现有协定的语言，将争端解决排除在外；也没有促使各国谈判达成将其适用排除在外的新协定</w:t>
      </w:r>
      <w:r w:rsidRPr="00AC4F0E">
        <w:rPr>
          <w:rFonts w:hint="eastAsia"/>
        </w:rPr>
        <w:t>。事实上，大多数新协定倾向于忽略这一问题。对此至少有三种解释。</w:t>
      </w:r>
    </w:p>
    <w:p w:rsidR="00F91618" w:rsidRPr="00AC4F0E" w:rsidRDefault="00F91618" w:rsidP="00F91618">
      <w:pPr>
        <w:pStyle w:val="SingleTxt"/>
      </w:pPr>
      <w:r w:rsidRPr="00AC4F0E">
        <w:rPr>
          <w:rFonts w:hint="eastAsia"/>
          <w:lang w:val="en-CA"/>
        </w:rPr>
        <w:lastRenderedPageBreak/>
        <w:t xml:space="preserve">208.  </w:t>
      </w:r>
      <w:r w:rsidRPr="00AC4F0E">
        <w:rPr>
          <w:rFonts w:hint="eastAsia"/>
          <w:lang w:val="en-CA"/>
        </w:rPr>
        <w:t>第一，对现有协定重新谈判是一个漫长而复杂的过程，各国可能不会在其缔约议程上予以高度重视，或者可能担心这会重新引起条约中的其他问题。</w:t>
      </w:r>
    </w:p>
    <w:p w:rsidR="00F91618" w:rsidRPr="00AC4F0E" w:rsidRDefault="00F91618" w:rsidP="00F91618">
      <w:pPr>
        <w:pStyle w:val="SingleTxt"/>
      </w:pPr>
      <w:r w:rsidRPr="00AC4F0E">
        <w:rPr>
          <w:rFonts w:hint="eastAsia"/>
          <w:lang w:val="en-CA"/>
        </w:rPr>
        <w:t xml:space="preserve">209.  </w:t>
      </w:r>
      <w:r w:rsidRPr="00AC4F0E">
        <w:rPr>
          <w:rFonts w:hint="eastAsia"/>
          <w:lang w:val="en-CA"/>
        </w:rPr>
        <w:t>第二，</w:t>
      </w:r>
      <w:r w:rsidRPr="00AC4F0E">
        <w:rPr>
          <w:rFonts w:hint="eastAsia"/>
        </w:rPr>
        <w:t>各国可能担心，通过改变新协定的措词来防止最惠国待遇适用于争端解决，会被法庭视为其现有协定不涵盖争端解决的一个标志。</w:t>
      </w:r>
    </w:p>
    <w:p w:rsidR="00F91618" w:rsidRPr="00AC4F0E" w:rsidRDefault="00F91618" w:rsidP="00F91618">
      <w:pPr>
        <w:pStyle w:val="SingleTxt"/>
      </w:pPr>
      <w:r w:rsidRPr="00AC4F0E">
        <w:rPr>
          <w:rFonts w:hint="eastAsia"/>
          <w:lang w:val="en-CA"/>
        </w:rPr>
        <w:t xml:space="preserve">210.  </w:t>
      </w:r>
      <w:r w:rsidRPr="00AC4F0E">
        <w:rPr>
          <w:rFonts w:hint="eastAsia"/>
          <w:lang w:val="en-CA"/>
        </w:rPr>
        <w:t>第三，</w:t>
      </w:r>
      <w:r w:rsidRPr="00AC4F0E">
        <w:rPr>
          <w:rFonts w:hint="eastAsia"/>
        </w:rPr>
        <w:t>各国可能认为在实践中，如前文所述，最惠国规定只有在最惠国条款的措词宽泛时才适用于争端的解决，而它们的最惠国规定的措词并不宽泛。</w:t>
      </w:r>
    </w:p>
    <w:p w:rsidR="00F91618" w:rsidRPr="00AC4F0E" w:rsidRDefault="00F91618" w:rsidP="00F91618">
      <w:pPr>
        <w:pStyle w:val="SingleTxt"/>
      </w:pPr>
      <w:r w:rsidRPr="00AC4F0E">
        <w:rPr>
          <w:rFonts w:hint="eastAsia"/>
          <w:lang w:val="en-CA"/>
        </w:rPr>
        <w:t xml:space="preserve">211.  </w:t>
      </w:r>
      <w:r w:rsidRPr="00AC4F0E">
        <w:rPr>
          <w:rFonts w:hint="eastAsia"/>
          <w:lang w:val="en-CA"/>
        </w:rPr>
        <w:t>不管哪种情况，</w:t>
      </w:r>
      <w:r w:rsidRPr="00AC4F0E">
        <w:rPr>
          <w:rFonts w:hint="eastAsia"/>
        </w:rPr>
        <w:t>研究组的结论都是，这里提供的关于怎样的措词可能被解释为将争端解决规定纳入最惠国条款范围的指导，以及政府明确排除其适用的协定的例子，可能有助于各国考虑其投资协定会得到怎样的解释，以及它们在谈判新协定时可以考虑哪些因素。</w:t>
      </w:r>
    </w:p>
    <w:p w:rsidR="00F91618" w:rsidRPr="00B53F40" w:rsidRDefault="00F91618" w:rsidP="00F91618">
      <w:pPr>
        <w:pStyle w:val="SingleTxt"/>
        <w:spacing w:after="0" w:line="120" w:lineRule="exact"/>
        <w:rPr>
          <w:sz w:val="10"/>
          <w:lang w:val="en-CA"/>
        </w:rPr>
      </w:pPr>
    </w:p>
    <w:p w:rsidR="00F91618"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CA"/>
        </w:rPr>
      </w:pPr>
      <w:r w:rsidRPr="00AC4F0E">
        <w:rPr>
          <w:rFonts w:hint="eastAsia"/>
          <w:lang w:val="en-CA"/>
        </w:rPr>
        <w:tab/>
      </w:r>
      <w:r w:rsidRPr="00AC4F0E">
        <w:rPr>
          <w:rFonts w:hint="eastAsia"/>
          <w:lang w:val="en-CA"/>
        </w:rPr>
        <w:tab/>
        <w:t>第五部分</w:t>
      </w:r>
      <w:r>
        <w:rPr>
          <w:lang w:val="en-CA"/>
        </w:rPr>
        <w:br/>
      </w:r>
      <w:r w:rsidRPr="00AC4F0E">
        <w:rPr>
          <w:rFonts w:hint="eastAsia"/>
          <w:lang w:val="en-CA"/>
        </w:rPr>
        <w:t>结论概述</w:t>
      </w:r>
    </w:p>
    <w:p w:rsidR="00F91618" w:rsidRPr="00B53F40" w:rsidRDefault="00F91618" w:rsidP="00F91618">
      <w:pPr>
        <w:pStyle w:val="SingleTxt"/>
        <w:spacing w:after="0" w:line="120" w:lineRule="exact"/>
        <w:rPr>
          <w:sz w:val="10"/>
          <w:lang w:val="en-CA"/>
        </w:rPr>
      </w:pPr>
    </w:p>
    <w:p w:rsidR="00F91618" w:rsidRPr="00B53F40" w:rsidRDefault="00F91618" w:rsidP="00F91618">
      <w:pPr>
        <w:pStyle w:val="SingleTxt"/>
        <w:spacing w:after="0" w:line="120" w:lineRule="exact"/>
        <w:rPr>
          <w:sz w:val="10"/>
          <w:lang w:val="en-CA"/>
        </w:rPr>
      </w:pPr>
    </w:p>
    <w:p w:rsidR="00F91618" w:rsidRPr="00AC4F0E" w:rsidRDefault="00F91618" w:rsidP="00F91618">
      <w:pPr>
        <w:pStyle w:val="SingleTxt"/>
      </w:pPr>
      <w:r w:rsidRPr="00AC4F0E">
        <w:rPr>
          <w:rFonts w:hint="eastAsia"/>
          <w:lang w:val="en-CA"/>
        </w:rPr>
        <w:t xml:space="preserve">212.  </w:t>
      </w:r>
      <w:r w:rsidRPr="00AC4F0E">
        <w:rPr>
          <w:rFonts w:hint="eastAsia"/>
          <w:lang w:val="en-CA"/>
        </w:rPr>
        <w:t>自</w:t>
      </w:r>
      <w:r w:rsidRPr="00AC4F0E">
        <w:rPr>
          <w:rFonts w:hint="eastAsia"/>
        </w:rPr>
        <w:t>1978</w:t>
      </w:r>
      <w:r w:rsidRPr="00AC4F0E">
        <w:rPr>
          <w:rFonts w:hint="eastAsia"/>
        </w:rPr>
        <w:t>年拟定条款草案以来，最惠国条款的性质保持不变。</w:t>
      </w:r>
      <w:r w:rsidRPr="00AC4F0E">
        <w:rPr>
          <w:rFonts w:hint="eastAsia"/>
        </w:rPr>
        <w:t>1978</w:t>
      </w:r>
      <w:r w:rsidRPr="00AC4F0E">
        <w:rPr>
          <w:rFonts w:hint="eastAsia"/>
        </w:rPr>
        <w:t>年条款草案的核心规定仍然是今天解释和适用最惠国条款的基础。然而，它们没有回答最惠国条款可能引起的所有解释问题。</w:t>
      </w:r>
    </w:p>
    <w:p w:rsidR="00F91618" w:rsidRPr="00AC4F0E" w:rsidRDefault="00F91618" w:rsidP="00F91618">
      <w:pPr>
        <w:pStyle w:val="SingleTxt"/>
      </w:pPr>
      <w:r w:rsidRPr="00AC4F0E">
        <w:rPr>
          <w:rFonts w:hint="eastAsia"/>
          <w:lang w:val="en-CA"/>
        </w:rPr>
        <w:t xml:space="preserve">213.  </w:t>
      </w:r>
      <w:r w:rsidRPr="00AC4F0E">
        <w:rPr>
          <w:rFonts w:hint="eastAsia"/>
          <w:lang w:val="en-CA"/>
        </w:rPr>
        <w:t>应根据</w:t>
      </w:r>
      <w:r w:rsidRPr="00AC4F0E">
        <w:rPr>
          <w:rFonts w:hint="eastAsia"/>
        </w:rPr>
        <w:t>《维也纳条约法公约》规定的条约解释规则对最惠国条款进行解释。</w:t>
      </w:r>
    </w:p>
    <w:p w:rsidR="00F91618" w:rsidRPr="00AC4F0E" w:rsidRDefault="00F91618" w:rsidP="00F91618">
      <w:pPr>
        <w:pStyle w:val="SingleTxt"/>
      </w:pPr>
      <w:r w:rsidRPr="00AC4F0E">
        <w:rPr>
          <w:rFonts w:hint="eastAsia"/>
          <w:lang w:val="en-CA"/>
        </w:rPr>
        <w:t xml:space="preserve">214.  </w:t>
      </w:r>
      <w:r w:rsidRPr="00AC4F0E">
        <w:rPr>
          <w:rFonts w:hint="eastAsia"/>
          <w:lang w:val="en-CA"/>
        </w:rPr>
        <w:t>关于最惠国条款的核心解释问题是该条款的范围以及同类原则的适用。也就是说，根据最惠国规定可以获取的好处的范围和性质取决于对这条最惠国规定的解释。</w:t>
      </w:r>
    </w:p>
    <w:p w:rsidR="00F91618" w:rsidRPr="00AC4F0E" w:rsidRDefault="00F91618" w:rsidP="00F91618">
      <w:pPr>
        <w:pStyle w:val="SingleTxt"/>
      </w:pPr>
      <w:r w:rsidRPr="00AC4F0E">
        <w:rPr>
          <w:rFonts w:hint="eastAsia"/>
          <w:lang w:val="en-CA"/>
        </w:rPr>
        <w:t xml:space="preserve">215.  </w:t>
      </w:r>
      <w:r w:rsidRPr="00AC4F0E">
        <w:rPr>
          <w:rFonts w:hint="eastAsia"/>
          <w:lang w:val="en-CA"/>
        </w:rPr>
        <w:t>在</w:t>
      </w:r>
      <w:r w:rsidRPr="00AC4F0E">
        <w:rPr>
          <w:rFonts w:hint="eastAsia"/>
        </w:rPr>
        <w:t>投资条约的仲裁中，最惠国条款适用于争端解决规定而不仅限于实体性义务，为思考最惠国规定提供了一个新角度，或许也带来了缔约方在谈判投资协定时没有预见到的结果。不过，这仍然是条约解释上的一个问题。</w:t>
      </w:r>
    </w:p>
    <w:p w:rsidR="00F91618" w:rsidRPr="00AC4F0E" w:rsidRDefault="00F91618" w:rsidP="00F91618">
      <w:pPr>
        <w:pStyle w:val="SingleTxt"/>
      </w:pPr>
      <w:r w:rsidRPr="00AC4F0E">
        <w:rPr>
          <w:rFonts w:hint="eastAsia"/>
          <w:lang w:val="en-CA"/>
        </w:rPr>
        <w:t xml:space="preserve">216.  </w:t>
      </w:r>
      <w:r w:rsidRPr="00AC4F0E">
        <w:rPr>
          <w:rFonts w:hint="eastAsia"/>
          <w:lang w:val="en-CA"/>
        </w:rPr>
        <w:t>最惠国条款</w:t>
      </w:r>
      <w:r w:rsidRPr="00AC4F0E">
        <w:rPr>
          <w:rFonts w:hint="eastAsia"/>
        </w:rPr>
        <w:t>是否涵盖争端解决规定最终取决于谈判制定这些条款的国家。明确的语言可以确保最惠国规定适用于或不适用于争端解决规定。否则，将由争端解决法庭逐案对最惠国条款进行解释。</w:t>
      </w:r>
    </w:p>
    <w:p w:rsidR="00F91618" w:rsidRDefault="00F91618" w:rsidP="00F91618">
      <w:pPr>
        <w:pStyle w:val="SingleTxt"/>
        <w:rPr>
          <w:lang w:val="en-CA"/>
        </w:rPr>
      </w:pPr>
      <w:r w:rsidRPr="00AC4F0E">
        <w:rPr>
          <w:rFonts w:hint="eastAsia"/>
          <w:lang w:val="en-CA"/>
        </w:rPr>
        <w:t xml:space="preserve">217.  </w:t>
      </w:r>
      <w:r w:rsidRPr="00AC4F0E">
        <w:rPr>
          <w:rFonts w:hint="eastAsia"/>
          <w:lang w:val="en-CA"/>
        </w:rPr>
        <w:t>研究组在本报告中回顾的多个解释方法是为了帮助解释和适用最惠国规定。</w:t>
      </w:r>
    </w:p>
    <w:p w:rsidR="00F91618" w:rsidRPr="00B53F40" w:rsidRDefault="00F91618" w:rsidP="00F91618">
      <w:pPr>
        <w:pStyle w:val="SingleTxt"/>
        <w:spacing w:after="0" w:line="240" w:lineRule="auto"/>
        <w:rPr>
          <w:sz w:val="20"/>
          <w:lang w:val="en-CA"/>
        </w:rPr>
      </w:pPr>
      <w:r>
        <w:rPr>
          <w:noProof/>
          <w:sz w:val="20"/>
        </w:rPr>
        <mc:AlternateContent>
          <mc:Choice Requires="wps">
            <w:drawing>
              <wp:anchor distT="0" distB="0" distL="114300" distR="114300" simplePos="0" relativeHeight="251659264" behindDoc="0" locked="0" layoutInCell="1" allowOverlap="1" wp14:anchorId="2F373CC9" wp14:editId="7523A6BC">
                <wp:simplePos x="0" y="0"/>
                <wp:positionH relativeFrom="column">
                  <wp:align>center</wp:align>
                </wp:positionH>
                <wp:positionV relativeFrom="paragraph">
                  <wp:posOffset>381000</wp:posOffset>
                </wp:positionV>
                <wp:extent cx="9144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Cv9SRj6QEAAAkEAAAOAAAAAAAAAAAAAAAAAC4CAABkcnMvZTJvRG9jLnhtbFBL&#10;AQItABQABgAIAAAAIQDVtq9a2wAAAAYBAAAPAAAAAAAAAAAAAAAAAEMEAABkcnMvZG93bnJldi54&#10;bWxQSwUGAAAAAAQABADzAAAASwUAAAAA&#10;" strokecolor="#010000" strokeweight=".25pt"/>
            </w:pict>
          </mc:Fallback>
        </mc:AlternateContent>
      </w:r>
    </w:p>
    <w:p w:rsidR="00F53060" w:rsidRPr="00F91618" w:rsidRDefault="00F53060" w:rsidP="00F53060">
      <w:pPr>
        <w:pStyle w:val="SingleTxt"/>
        <w:rPr>
          <w:lang w:val="en-CA"/>
        </w:rPr>
      </w:pPr>
    </w:p>
    <w:p w:rsidR="005A0BD4" w:rsidRPr="00F53060" w:rsidRDefault="005A0BD4">
      <w:pPr>
        <w:spacing w:line="240" w:lineRule="auto"/>
        <w:jc w:val="left"/>
      </w:pPr>
    </w:p>
    <w:p w:rsidR="00DB3DD4" w:rsidRDefault="004937FB" w:rsidP="00122297">
      <w:pPr>
        <w:pStyle w:val="SingleTxt"/>
        <w:rPr>
          <w:szCs w:val="21"/>
        </w:rPr>
      </w:pPr>
      <w:r>
        <w:rPr>
          <w:noProof/>
          <w:szCs w:val="21"/>
        </w:rPr>
        <w:drawing>
          <wp:anchor distT="0" distB="0" distL="114300" distR="114300" simplePos="0" relativeHeight="251661312" behindDoc="0" locked="0" layoutInCell="1" allowOverlap="1" wp14:anchorId="48DC3772" wp14:editId="4347FBB6">
            <wp:simplePos x="0" y="0"/>
            <wp:positionH relativeFrom="column">
              <wp:posOffset>2945130</wp:posOffset>
            </wp:positionH>
            <wp:positionV relativeFrom="paragraph">
              <wp:posOffset>220980</wp:posOffset>
            </wp:positionV>
            <wp:extent cx="762000" cy="25400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254000"/>
                    </a:xfrm>
                    <a:prstGeom prst="rect">
                      <a:avLst/>
                    </a:prstGeom>
                  </pic:spPr>
                </pic:pic>
              </a:graphicData>
            </a:graphic>
            <wp14:sizeRelH relativeFrom="margin">
              <wp14:pctWidth>0</wp14:pctWidth>
            </wp14:sizeRelH>
            <wp14:sizeRelV relativeFrom="margin">
              <wp14:pctHeight>0</wp14:pctHeight>
            </wp14:sizeRelV>
          </wp:anchor>
        </w:drawing>
      </w:r>
    </w:p>
    <w:p w:rsidR="00552A46" w:rsidRDefault="00552A46" w:rsidP="00122297">
      <w:pPr>
        <w:pStyle w:val="SingleTxt"/>
        <w:rPr>
          <w:szCs w:val="21"/>
        </w:rPr>
      </w:pPr>
    </w:p>
    <w:p w:rsidR="00552A46" w:rsidRDefault="00552A46" w:rsidP="00122297">
      <w:pPr>
        <w:pStyle w:val="SingleTxt"/>
        <w:rPr>
          <w:szCs w:val="21"/>
        </w:rPr>
      </w:pPr>
    </w:p>
    <w:p w:rsidR="00552A46" w:rsidRDefault="000B239E" w:rsidP="009D1E98">
      <w:pPr>
        <w:framePr w:w="3888" w:h="520" w:hSpace="180" w:wrap="around" w:vAnchor="page" w:hAnchor="margin" w:x="1" w:y="13321"/>
      </w:pPr>
      <w:fldSimple w:instr=" DOCVARIABLE &quot;jobn&quot; \* MERGEFORMAT ">
        <w:r w:rsidR="002B026F">
          <w:t>GE.15-13770 (C)</w:t>
        </w:r>
      </w:fldSimple>
      <w:r w:rsidR="00552A46">
        <w:t xml:space="preserve">   </w:t>
      </w:r>
      <w:r w:rsidR="009D1E98">
        <w:rPr>
          <w:rFonts w:hint="eastAsia"/>
        </w:rPr>
        <w:t>07</w:t>
      </w:r>
      <w:r w:rsidR="00552A46">
        <w:t xml:space="preserve">0915      </w:t>
      </w:r>
      <w:r w:rsidR="009D1E98">
        <w:t>1</w:t>
      </w:r>
      <w:r w:rsidR="009D1E98">
        <w:rPr>
          <w:rFonts w:hint="eastAsia"/>
        </w:rPr>
        <w:t>5</w:t>
      </w:r>
      <w:r w:rsidR="00552A46">
        <w:t>0915</w:t>
      </w:r>
    </w:p>
    <w:p w:rsidR="00552A46" w:rsidRPr="00A426C9" w:rsidRDefault="00552A46" w:rsidP="00552A46">
      <w:pPr>
        <w:framePr w:w="3888" w:h="520" w:hSpace="180" w:wrap="around" w:vAnchor="page" w:hAnchor="margin" w:x="1" w:y="13321"/>
        <w:spacing w:before="80" w:line="210" w:lineRule="exact"/>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2B026F">
        <w:rPr>
          <w:rFonts w:ascii="Barcode 3 of 9 by request" w:hAnsi="Barcode 3 of 9 by request"/>
          <w:sz w:val="24"/>
        </w:rPr>
        <w:t>*1513770*</w:t>
      </w:r>
      <w:r>
        <w:rPr>
          <w:rFonts w:ascii="Barcode 3 of 9 by request" w:hAnsi="Barcode 3 of 9 by request"/>
          <w:sz w:val="24"/>
        </w:rPr>
        <w:fldChar w:fldCharType="end"/>
      </w:r>
    </w:p>
    <w:p w:rsidR="00552A46" w:rsidRDefault="00552A46" w:rsidP="00122297">
      <w:pPr>
        <w:pStyle w:val="SingleTxt"/>
        <w:rPr>
          <w:szCs w:val="21"/>
        </w:rPr>
      </w:pPr>
    </w:p>
    <w:sectPr w:rsidR="00552A46" w:rsidSect="00F53060">
      <w:footnotePr>
        <w:numRestart w:val="eachSect"/>
      </w:footnotePr>
      <w:type w:val="continuous"/>
      <w:pgSz w:w="11909" w:h="16834" w:code="1"/>
      <w:pgMar w:top="1741" w:right="936" w:bottom="1899" w:left="936" w:header="578" w:footer="1032"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7T16:04:00Z" w:initials="Start">
    <w:p w:rsidR="00F60D83" w:rsidRDefault="00F60D83">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NO&gt;&gt;N1518056C&lt;&lt;ODS JOB NO&gt;&gt;</w:t>
      </w:r>
    </w:p>
    <w:p w:rsidR="00F60D83" w:rsidRDefault="00F60D83">
      <w:pPr>
        <w:pStyle w:val="a7"/>
      </w:pPr>
      <w:r>
        <w:t>&lt;&lt;ODS DOC SYMBOL1&gt;&gt;A/70/10&lt;&lt;ODS DOC SYMBOL1&gt;&gt;</w:t>
      </w:r>
    </w:p>
    <w:p w:rsidR="00F60D83" w:rsidRDefault="00F60D83">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83" w:rsidRDefault="00F60D83">
      <w:r>
        <w:separator/>
      </w:r>
    </w:p>
  </w:endnote>
  <w:endnote w:type="continuationSeparator" w:id="0">
    <w:p w:rsidR="00F60D83" w:rsidRDefault="00F6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KNHKPP+TimesNewRoman">
    <w:altName w:val="Times New Roman"/>
    <w:panose1 w:val="00000000000000000000"/>
    <w:charset w:val="4D"/>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HGMinchoE">
    <w:altName w:val="Arial Unicode MS"/>
    <w:charset w:val="80"/>
    <w:family w:val="auto"/>
    <w:pitch w:val="variable"/>
    <w:sig w:usb0="E00002FF" w:usb1="6AC7FDFB" w:usb2="00000012" w:usb3="00000000" w:csb0="0002009F" w:csb1="00000000"/>
  </w:font>
  <w:font w:name="Kaiti SC Black">
    <w:altName w:val="Arial Unicode MS"/>
    <w:charset w:val="00"/>
    <w:family w:val="auto"/>
    <w:pitch w:val="variable"/>
    <w:sig w:usb0="00000000" w:usb1="080F0000" w:usb2="00000000" w:usb3="00000000" w:csb0="00040001" w:csb1="00000000"/>
  </w:font>
  <w:font w:name="Songti SC Regular">
    <w:altName w:val="Arial Unicode MS"/>
    <w:charset w:val="50"/>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Droid Sans Fallback">
    <w:altName w:val="Times New Roman"/>
    <w:charset w:val="01"/>
    <w:family w:val="auto"/>
    <w:pitch w:val="variable"/>
  </w:font>
  <w:font w:name="华文仿宋">
    <w:panose1 w:val="02010600040101010101"/>
    <w:charset w:val="86"/>
    <w:family w:val="auto"/>
    <w:pitch w:val="variable"/>
    <w:sig w:usb0="00000287" w:usb1="080F0000" w:usb2="00000010" w:usb3="00000000" w:csb0="000400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D83" w:rsidRDefault="00F60D83">
    <w:pPr>
      <w:pStyle w:val="ac"/>
    </w:pPr>
    <w:r>
      <w:drawing>
        <wp:anchor distT="0" distB="0" distL="114300" distR="114300" simplePos="0" relativeHeight="251658240" behindDoc="0" locked="0" layoutInCell="1" allowOverlap="1" wp14:anchorId="7DB208DF" wp14:editId="320B3BD6">
          <wp:simplePos x="0" y="0"/>
          <wp:positionH relativeFrom="column">
            <wp:posOffset>5852160</wp:posOffset>
          </wp:positionH>
          <wp:positionV relativeFrom="paragraph">
            <wp:posOffset>-728345</wp:posOffset>
          </wp:positionV>
          <wp:extent cx="694690" cy="694690"/>
          <wp:effectExtent l="0" t="0" r="0" b="0"/>
          <wp:wrapNone/>
          <wp:docPr id="2" name="图片 2" descr="http://undocs.org/m2/QRCode2.ashx?DS=A/70/1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0/1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60D83" w:rsidRPr="003531A9" w:rsidTr="003531A9">
      <w:trPr>
        <w:jc w:val="center"/>
      </w:trPr>
      <w:tc>
        <w:tcPr>
          <w:tcW w:w="5126" w:type="dxa"/>
          <w:shd w:val="clear" w:color="auto" w:fill="auto"/>
        </w:tcPr>
        <w:p w:rsidR="00F60D83" w:rsidRPr="003531A9" w:rsidRDefault="00F60D83" w:rsidP="003531A9">
          <w:pPr>
            <w:pStyle w:val="ac"/>
            <w:jc w:val="left"/>
            <w:rPr>
              <w:w w:val="103"/>
              <w:sz w:val="17"/>
            </w:rPr>
          </w:pPr>
          <w:r>
            <w:rPr>
              <w:w w:val="103"/>
              <w:sz w:val="17"/>
            </w:rPr>
            <w:fldChar w:fldCharType="begin"/>
          </w:r>
          <w:r>
            <w:rPr>
              <w:w w:val="103"/>
              <w:sz w:val="17"/>
            </w:rPr>
            <w:instrText xml:space="preserve"> PAGE  \* Arabic  \* MERGEFORMAT </w:instrText>
          </w:r>
          <w:r>
            <w:rPr>
              <w:w w:val="103"/>
              <w:sz w:val="17"/>
            </w:rPr>
            <w:fldChar w:fldCharType="separate"/>
          </w:r>
          <w:r w:rsidR="002B026F">
            <w:rPr>
              <w:w w:val="103"/>
              <w:sz w:val="17"/>
            </w:rPr>
            <w:t>8</w:t>
          </w:r>
          <w:r>
            <w:rPr>
              <w:w w:val="103"/>
              <w:sz w:val="17"/>
            </w:rPr>
            <w:fldChar w:fldCharType="end"/>
          </w:r>
          <w:r>
            <w:rPr>
              <w:w w:val="103"/>
              <w:sz w:val="17"/>
            </w:rPr>
            <w:t>/</w:t>
          </w:r>
          <w:r>
            <w:rPr>
              <w:w w:val="103"/>
              <w:sz w:val="17"/>
            </w:rPr>
            <w:fldChar w:fldCharType="begin"/>
          </w:r>
          <w:r>
            <w:rPr>
              <w:w w:val="103"/>
              <w:sz w:val="17"/>
            </w:rPr>
            <w:instrText xml:space="preserve"> NUMPAGES  \* Arabic  \* MERGEFORMAT </w:instrText>
          </w:r>
          <w:r>
            <w:rPr>
              <w:w w:val="103"/>
              <w:sz w:val="17"/>
            </w:rPr>
            <w:fldChar w:fldCharType="separate"/>
          </w:r>
          <w:r w:rsidR="002B026F">
            <w:rPr>
              <w:w w:val="103"/>
              <w:sz w:val="17"/>
            </w:rPr>
            <w:t>181</w:t>
          </w:r>
          <w:r>
            <w:rPr>
              <w:w w:val="103"/>
              <w:sz w:val="17"/>
            </w:rPr>
            <w:fldChar w:fldCharType="end"/>
          </w:r>
        </w:p>
      </w:tc>
      <w:tc>
        <w:tcPr>
          <w:tcW w:w="5127" w:type="dxa"/>
          <w:shd w:val="clear" w:color="auto" w:fill="auto"/>
        </w:tcPr>
        <w:p w:rsidR="00F60D83" w:rsidRPr="003531A9" w:rsidRDefault="00F60D83" w:rsidP="003531A9">
          <w:pPr>
            <w:pStyle w:val="ac"/>
            <w:jc w:val="right"/>
            <w:rPr>
              <w:b w:val="0"/>
              <w:w w:val="103"/>
              <w:sz w:val="14"/>
            </w:rPr>
          </w:pPr>
          <w:r>
            <w:rPr>
              <w:b w:val="0"/>
              <w:w w:val="103"/>
              <w:sz w:val="14"/>
            </w:rPr>
            <w:fldChar w:fldCharType="begin"/>
          </w:r>
          <w:r>
            <w:rPr>
              <w:b w:val="0"/>
              <w:w w:val="103"/>
              <w:sz w:val="14"/>
            </w:rPr>
            <w:instrText xml:space="preserve"> DOCVARIABLE "jobn" \* MERGEFORMAT </w:instrText>
          </w:r>
          <w:r>
            <w:rPr>
              <w:b w:val="0"/>
              <w:w w:val="103"/>
              <w:sz w:val="14"/>
            </w:rPr>
            <w:fldChar w:fldCharType="separate"/>
          </w:r>
          <w:r w:rsidR="002B026F">
            <w:rPr>
              <w:b w:val="0"/>
              <w:w w:val="103"/>
              <w:sz w:val="14"/>
            </w:rPr>
            <w:t>GE.15-13770 (C)</w:t>
          </w:r>
          <w:r>
            <w:rPr>
              <w:b w:val="0"/>
              <w:w w:val="103"/>
              <w:sz w:val="14"/>
            </w:rPr>
            <w:fldChar w:fldCharType="end"/>
          </w:r>
        </w:p>
      </w:tc>
    </w:tr>
  </w:tbl>
  <w:p w:rsidR="00F60D83" w:rsidRDefault="00F60D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60D83" w:rsidRPr="003531A9" w:rsidTr="003531A9">
      <w:trPr>
        <w:jc w:val="center"/>
      </w:trPr>
      <w:tc>
        <w:tcPr>
          <w:tcW w:w="5126" w:type="dxa"/>
          <w:shd w:val="clear" w:color="auto" w:fill="auto"/>
        </w:tcPr>
        <w:p w:rsidR="00F60D83" w:rsidRPr="003531A9" w:rsidRDefault="00F60D83" w:rsidP="003531A9">
          <w:pPr>
            <w:pStyle w:val="ac"/>
            <w:jc w:val="left"/>
            <w:rPr>
              <w:b w:val="0"/>
              <w:w w:val="103"/>
              <w:sz w:val="14"/>
            </w:rPr>
          </w:pPr>
          <w:r>
            <w:rPr>
              <w:b w:val="0"/>
              <w:w w:val="103"/>
              <w:sz w:val="14"/>
            </w:rPr>
            <w:fldChar w:fldCharType="begin"/>
          </w:r>
          <w:r>
            <w:rPr>
              <w:b w:val="0"/>
              <w:w w:val="103"/>
              <w:sz w:val="14"/>
            </w:rPr>
            <w:instrText xml:space="preserve"> DOCVARIABLE "jobn" \* MERGEFORMAT </w:instrText>
          </w:r>
          <w:r>
            <w:rPr>
              <w:b w:val="0"/>
              <w:w w:val="103"/>
              <w:sz w:val="14"/>
            </w:rPr>
            <w:fldChar w:fldCharType="separate"/>
          </w:r>
          <w:r w:rsidR="002B026F">
            <w:rPr>
              <w:b w:val="0"/>
              <w:w w:val="103"/>
              <w:sz w:val="14"/>
            </w:rPr>
            <w:t>GE.15-13770 (C)</w:t>
          </w:r>
          <w:r>
            <w:rPr>
              <w:b w:val="0"/>
              <w:w w:val="103"/>
              <w:sz w:val="14"/>
            </w:rPr>
            <w:fldChar w:fldCharType="end"/>
          </w:r>
        </w:p>
      </w:tc>
      <w:tc>
        <w:tcPr>
          <w:tcW w:w="5127" w:type="dxa"/>
          <w:shd w:val="clear" w:color="auto" w:fill="auto"/>
        </w:tcPr>
        <w:p w:rsidR="00F60D83" w:rsidRPr="003531A9" w:rsidRDefault="00F60D83" w:rsidP="003531A9">
          <w:pPr>
            <w:pStyle w:val="ac"/>
            <w:jc w:val="right"/>
            <w:rPr>
              <w:w w:val="103"/>
              <w:sz w:val="17"/>
            </w:rPr>
          </w:pPr>
          <w:r>
            <w:rPr>
              <w:w w:val="103"/>
              <w:sz w:val="17"/>
            </w:rPr>
            <w:fldChar w:fldCharType="begin"/>
          </w:r>
          <w:r>
            <w:rPr>
              <w:w w:val="103"/>
              <w:sz w:val="17"/>
            </w:rPr>
            <w:instrText xml:space="preserve"> PAGE  \* Arabic  \* MERGEFORMAT </w:instrText>
          </w:r>
          <w:r>
            <w:rPr>
              <w:w w:val="103"/>
              <w:sz w:val="17"/>
            </w:rPr>
            <w:fldChar w:fldCharType="separate"/>
          </w:r>
          <w:r w:rsidR="002B026F">
            <w:rPr>
              <w:w w:val="103"/>
              <w:sz w:val="17"/>
            </w:rPr>
            <w:t>7</w:t>
          </w:r>
          <w:r>
            <w:rPr>
              <w:w w:val="103"/>
              <w:sz w:val="17"/>
            </w:rPr>
            <w:fldChar w:fldCharType="end"/>
          </w:r>
          <w:r>
            <w:rPr>
              <w:w w:val="103"/>
              <w:sz w:val="17"/>
            </w:rPr>
            <w:t>/</w:t>
          </w:r>
          <w:r>
            <w:rPr>
              <w:w w:val="103"/>
              <w:sz w:val="17"/>
            </w:rPr>
            <w:fldChar w:fldCharType="begin"/>
          </w:r>
          <w:r>
            <w:rPr>
              <w:w w:val="103"/>
              <w:sz w:val="17"/>
            </w:rPr>
            <w:instrText xml:space="preserve"> NUMPAGES  \* Arabic  \* MERGEFORMAT </w:instrText>
          </w:r>
          <w:r>
            <w:rPr>
              <w:w w:val="103"/>
              <w:sz w:val="17"/>
            </w:rPr>
            <w:fldChar w:fldCharType="separate"/>
          </w:r>
          <w:r w:rsidR="002B026F">
            <w:rPr>
              <w:w w:val="103"/>
              <w:sz w:val="17"/>
            </w:rPr>
            <w:t>181</w:t>
          </w:r>
          <w:r>
            <w:rPr>
              <w:w w:val="103"/>
              <w:sz w:val="17"/>
            </w:rPr>
            <w:fldChar w:fldCharType="end"/>
          </w:r>
        </w:p>
      </w:tc>
    </w:tr>
  </w:tbl>
  <w:p w:rsidR="00F60D83" w:rsidRDefault="00F60D8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60D83" w:rsidRPr="003531A9" w:rsidTr="003531A9">
      <w:trPr>
        <w:jc w:val="center"/>
      </w:trPr>
      <w:tc>
        <w:tcPr>
          <w:tcW w:w="5126" w:type="dxa"/>
          <w:shd w:val="clear" w:color="auto" w:fill="auto"/>
        </w:tcPr>
        <w:p w:rsidR="00F60D83" w:rsidRPr="003531A9" w:rsidRDefault="00F60D83" w:rsidP="003531A9">
          <w:pPr>
            <w:pStyle w:val="ac"/>
            <w:jc w:val="left"/>
            <w:rPr>
              <w:w w:val="103"/>
              <w:sz w:val="17"/>
            </w:rPr>
          </w:pPr>
          <w:r>
            <w:rPr>
              <w:w w:val="103"/>
              <w:sz w:val="17"/>
            </w:rPr>
            <w:fldChar w:fldCharType="begin"/>
          </w:r>
          <w:r>
            <w:rPr>
              <w:w w:val="103"/>
              <w:sz w:val="17"/>
            </w:rPr>
            <w:instrText xml:space="preserve"> PAGE  \* Arabic  \* MERGEFORMAT </w:instrText>
          </w:r>
          <w:r>
            <w:rPr>
              <w:w w:val="103"/>
              <w:sz w:val="17"/>
            </w:rPr>
            <w:fldChar w:fldCharType="separate"/>
          </w:r>
          <w:r w:rsidR="002B026F">
            <w:rPr>
              <w:w w:val="103"/>
              <w:sz w:val="17"/>
            </w:rPr>
            <w:t>180</w:t>
          </w:r>
          <w:r>
            <w:rPr>
              <w:w w:val="103"/>
              <w:sz w:val="17"/>
            </w:rPr>
            <w:fldChar w:fldCharType="end"/>
          </w:r>
          <w:r>
            <w:rPr>
              <w:w w:val="103"/>
              <w:sz w:val="17"/>
            </w:rPr>
            <w:t>/</w:t>
          </w:r>
          <w:r>
            <w:rPr>
              <w:w w:val="103"/>
              <w:sz w:val="17"/>
            </w:rPr>
            <w:fldChar w:fldCharType="begin"/>
          </w:r>
          <w:r>
            <w:rPr>
              <w:w w:val="103"/>
              <w:sz w:val="17"/>
            </w:rPr>
            <w:instrText xml:space="preserve"> NUMPAGES  \* Arabic  \* MERGEFORMAT </w:instrText>
          </w:r>
          <w:r>
            <w:rPr>
              <w:w w:val="103"/>
              <w:sz w:val="17"/>
            </w:rPr>
            <w:fldChar w:fldCharType="separate"/>
          </w:r>
          <w:r w:rsidR="002B026F">
            <w:rPr>
              <w:w w:val="103"/>
              <w:sz w:val="17"/>
            </w:rPr>
            <w:t>181</w:t>
          </w:r>
          <w:r>
            <w:rPr>
              <w:w w:val="103"/>
              <w:sz w:val="17"/>
            </w:rPr>
            <w:fldChar w:fldCharType="end"/>
          </w:r>
        </w:p>
      </w:tc>
      <w:tc>
        <w:tcPr>
          <w:tcW w:w="5127" w:type="dxa"/>
          <w:shd w:val="clear" w:color="auto" w:fill="auto"/>
        </w:tcPr>
        <w:p w:rsidR="00F60D83" w:rsidRPr="003531A9" w:rsidRDefault="00F60D83" w:rsidP="003531A9">
          <w:pPr>
            <w:pStyle w:val="ac"/>
            <w:jc w:val="right"/>
            <w:rPr>
              <w:b w:val="0"/>
              <w:w w:val="103"/>
              <w:sz w:val="14"/>
            </w:rPr>
          </w:pPr>
          <w:r>
            <w:rPr>
              <w:b w:val="0"/>
              <w:w w:val="103"/>
              <w:sz w:val="14"/>
            </w:rPr>
            <w:fldChar w:fldCharType="begin"/>
          </w:r>
          <w:r>
            <w:rPr>
              <w:b w:val="0"/>
              <w:w w:val="103"/>
              <w:sz w:val="14"/>
            </w:rPr>
            <w:instrText xml:space="preserve"> DOCVARIABLE "jobn" \* MERGEFORMAT </w:instrText>
          </w:r>
          <w:r>
            <w:rPr>
              <w:b w:val="0"/>
              <w:w w:val="103"/>
              <w:sz w:val="14"/>
            </w:rPr>
            <w:fldChar w:fldCharType="separate"/>
          </w:r>
          <w:r w:rsidR="002B026F">
            <w:rPr>
              <w:b w:val="0"/>
              <w:w w:val="103"/>
              <w:sz w:val="14"/>
            </w:rPr>
            <w:t>GE.15-13770 (C)</w:t>
          </w:r>
          <w:r>
            <w:rPr>
              <w:b w:val="0"/>
              <w:w w:val="103"/>
              <w:sz w:val="14"/>
            </w:rPr>
            <w:fldChar w:fldCharType="end"/>
          </w:r>
        </w:p>
      </w:tc>
    </w:tr>
  </w:tbl>
  <w:p w:rsidR="00F60D83" w:rsidRDefault="00F60D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60D83" w:rsidRPr="003531A9" w:rsidTr="003531A9">
      <w:trPr>
        <w:jc w:val="center"/>
      </w:trPr>
      <w:tc>
        <w:tcPr>
          <w:tcW w:w="5126" w:type="dxa"/>
          <w:shd w:val="clear" w:color="auto" w:fill="auto"/>
        </w:tcPr>
        <w:p w:rsidR="00F60D83" w:rsidRPr="003531A9" w:rsidRDefault="00F60D83" w:rsidP="003531A9">
          <w:pPr>
            <w:pStyle w:val="ac"/>
            <w:jc w:val="left"/>
            <w:rPr>
              <w:b w:val="0"/>
              <w:w w:val="103"/>
              <w:sz w:val="14"/>
            </w:rPr>
          </w:pPr>
          <w:r>
            <w:rPr>
              <w:b w:val="0"/>
              <w:w w:val="103"/>
              <w:sz w:val="14"/>
            </w:rPr>
            <w:fldChar w:fldCharType="begin"/>
          </w:r>
          <w:r>
            <w:rPr>
              <w:b w:val="0"/>
              <w:w w:val="103"/>
              <w:sz w:val="14"/>
            </w:rPr>
            <w:instrText xml:space="preserve"> DOCVARIABLE "jobn" \* MERGEFORMAT </w:instrText>
          </w:r>
          <w:r>
            <w:rPr>
              <w:b w:val="0"/>
              <w:w w:val="103"/>
              <w:sz w:val="14"/>
            </w:rPr>
            <w:fldChar w:fldCharType="separate"/>
          </w:r>
          <w:r w:rsidR="002B026F">
            <w:rPr>
              <w:b w:val="0"/>
              <w:w w:val="103"/>
              <w:sz w:val="14"/>
            </w:rPr>
            <w:t>GE.15-13770 (C)</w:t>
          </w:r>
          <w:r>
            <w:rPr>
              <w:b w:val="0"/>
              <w:w w:val="103"/>
              <w:sz w:val="14"/>
            </w:rPr>
            <w:fldChar w:fldCharType="end"/>
          </w:r>
        </w:p>
      </w:tc>
      <w:tc>
        <w:tcPr>
          <w:tcW w:w="5127" w:type="dxa"/>
          <w:shd w:val="clear" w:color="auto" w:fill="auto"/>
        </w:tcPr>
        <w:p w:rsidR="00F60D83" w:rsidRPr="003531A9" w:rsidRDefault="00F60D83" w:rsidP="003531A9">
          <w:pPr>
            <w:pStyle w:val="ac"/>
            <w:jc w:val="right"/>
            <w:rPr>
              <w:w w:val="103"/>
              <w:sz w:val="17"/>
            </w:rPr>
          </w:pPr>
          <w:r>
            <w:rPr>
              <w:w w:val="103"/>
              <w:sz w:val="17"/>
            </w:rPr>
            <w:fldChar w:fldCharType="begin"/>
          </w:r>
          <w:r>
            <w:rPr>
              <w:w w:val="103"/>
              <w:sz w:val="17"/>
            </w:rPr>
            <w:instrText xml:space="preserve"> PAGE  \* Arabic  \* MERGEFORMAT </w:instrText>
          </w:r>
          <w:r>
            <w:rPr>
              <w:w w:val="103"/>
              <w:sz w:val="17"/>
            </w:rPr>
            <w:fldChar w:fldCharType="separate"/>
          </w:r>
          <w:r w:rsidR="002B026F">
            <w:rPr>
              <w:w w:val="103"/>
              <w:sz w:val="17"/>
            </w:rPr>
            <w:t>147</w:t>
          </w:r>
          <w:r>
            <w:rPr>
              <w:w w:val="103"/>
              <w:sz w:val="17"/>
            </w:rPr>
            <w:fldChar w:fldCharType="end"/>
          </w:r>
          <w:r>
            <w:rPr>
              <w:w w:val="103"/>
              <w:sz w:val="17"/>
            </w:rPr>
            <w:t>/</w:t>
          </w:r>
          <w:r>
            <w:rPr>
              <w:w w:val="103"/>
              <w:sz w:val="17"/>
            </w:rPr>
            <w:fldChar w:fldCharType="begin"/>
          </w:r>
          <w:r>
            <w:rPr>
              <w:w w:val="103"/>
              <w:sz w:val="17"/>
            </w:rPr>
            <w:instrText xml:space="preserve"> NUMPAGES  \* Arabic  \* MERGEFORMAT </w:instrText>
          </w:r>
          <w:r>
            <w:rPr>
              <w:w w:val="103"/>
              <w:sz w:val="17"/>
            </w:rPr>
            <w:fldChar w:fldCharType="separate"/>
          </w:r>
          <w:r w:rsidR="002B026F">
            <w:rPr>
              <w:w w:val="103"/>
              <w:sz w:val="17"/>
            </w:rPr>
            <w:t>181</w:t>
          </w:r>
          <w:r>
            <w:rPr>
              <w:w w:val="103"/>
              <w:sz w:val="17"/>
            </w:rPr>
            <w:fldChar w:fldCharType="end"/>
          </w:r>
        </w:p>
      </w:tc>
    </w:tr>
  </w:tbl>
  <w:p w:rsidR="00F60D83" w:rsidRDefault="00F60D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83" w:rsidRPr="003F1277" w:rsidRDefault="00F60D83" w:rsidP="003F1277">
      <w:pPr>
        <w:pStyle w:val="ac"/>
        <w:spacing w:after="80"/>
        <w:ind w:left="792"/>
        <w:rPr>
          <w:sz w:val="16"/>
        </w:rPr>
      </w:pPr>
      <w:r w:rsidRPr="003F1277">
        <w:rPr>
          <w:sz w:val="16"/>
        </w:rPr>
        <w:t>__________________</w:t>
      </w:r>
    </w:p>
  </w:footnote>
  <w:footnote w:type="continuationSeparator" w:id="0">
    <w:p w:rsidR="00F60D83" w:rsidRPr="003F1277" w:rsidRDefault="00F60D83" w:rsidP="003F1277">
      <w:pPr>
        <w:pStyle w:val="ac"/>
        <w:spacing w:after="80"/>
        <w:ind w:left="792"/>
        <w:rPr>
          <w:sz w:val="16"/>
        </w:rPr>
      </w:pPr>
      <w:r w:rsidRPr="003F1277">
        <w:rPr>
          <w:sz w:val="16"/>
        </w:rPr>
        <w:t>__________________</w:t>
      </w:r>
    </w:p>
  </w:footnote>
  <w:footnote w:id="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见下文第</w:t>
      </w:r>
      <w:r w:rsidRPr="00BB6462">
        <w:rPr>
          <w:rFonts w:hint="eastAsia"/>
        </w:rPr>
        <w:t>3</w:t>
      </w:r>
      <w:r w:rsidRPr="00BB6462">
        <w:rPr>
          <w:rFonts w:hint="eastAsia"/>
        </w:rPr>
        <w:t>段。</w:t>
      </w:r>
    </w:p>
  </w:footnote>
  <w:footnote w:id="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卡弗利施先生、坎迪奥蒂先生、卡姆托先生、尼豪斯先生、彼得里奇先生和维斯努穆尔蒂先生。</w:t>
      </w:r>
    </w:p>
  </w:footnote>
  <w:footnote w:id="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埃斯科瓦尔·埃尔南德斯女士、戈麦斯—罗夫莱多先生、雅各布松女士、卡姆托先生、村濑先生、墨菲先生、诺尔特先生、特拉迪先生、巴伦西亚－奥斯皮纳先生和伍德先生。</w:t>
      </w:r>
    </w:p>
  </w:footnote>
  <w:footnote w:id="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sz w:val="21"/>
          <w:szCs w:val="21"/>
        </w:rPr>
      </w:pPr>
      <w:r>
        <w:rPr>
          <w:rFonts w:hint="eastAsia"/>
          <w:sz w:val="21"/>
          <w:szCs w:val="21"/>
        </w:rPr>
        <w:tab/>
      </w:r>
      <w:r w:rsidRPr="00BB6462">
        <w:rPr>
          <w:rStyle w:val="a3"/>
          <w:szCs w:val="21"/>
        </w:rPr>
        <w:footnoteRef/>
      </w:r>
      <w:r>
        <w:rPr>
          <w:rFonts w:hint="eastAsia"/>
          <w:sz w:val="21"/>
          <w:szCs w:val="21"/>
        </w:rPr>
        <w:tab/>
      </w:r>
      <w:r w:rsidRPr="0097049F">
        <w:rPr>
          <w:rFonts w:hint="eastAsia"/>
        </w:rPr>
        <w:t>《大会正式记录，第六十九届会议，补编第</w:t>
      </w:r>
      <w:r w:rsidRPr="0097049F">
        <w:rPr>
          <w:rFonts w:hint="eastAsia"/>
        </w:rPr>
        <w:t>10</w:t>
      </w:r>
      <w:r w:rsidRPr="0097049F">
        <w:rPr>
          <w:rFonts w:hint="eastAsia"/>
        </w:rPr>
        <w:t>号》</w:t>
      </w:r>
      <w:r w:rsidRPr="0097049F">
        <w:rPr>
          <w:i/>
          <w:iCs/>
        </w:rPr>
        <w:t xml:space="preserve"> </w:t>
      </w:r>
      <w:r w:rsidRPr="0097049F">
        <w:t>(A/69/10)</w:t>
      </w:r>
      <w:r w:rsidRPr="0097049F">
        <w:rPr>
          <w:rFonts w:hint="eastAsia"/>
        </w:rPr>
        <w:t>，第</w:t>
      </w:r>
      <w:r w:rsidRPr="0097049F">
        <w:rPr>
          <w:rFonts w:hint="eastAsia"/>
        </w:rPr>
        <w:t>27</w:t>
      </w:r>
      <w:r w:rsidRPr="0097049F">
        <w:rPr>
          <w:rFonts w:hint="eastAsia"/>
        </w:rPr>
        <w:t>段。</w:t>
      </w:r>
    </w:p>
  </w:footnote>
  <w:footnote w:id="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sz w:val="21"/>
          <w:szCs w:val="21"/>
        </w:rPr>
      </w:pPr>
      <w:r>
        <w:rPr>
          <w:rFonts w:hint="eastAsia"/>
          <w:sz w:val="21"/>
          <w:szCs w:val="21"/>
        </w:rPr>
        <w:tab/>
      </w:r>
      <w:r w:rsidRPr="00BB6462">
        <w:rPr>
          <w:rStyle w:val="a3"/>
          <w:szCs w:val="21"/>
        </w:rPr>
        <w:footnoteRef/>
      </w:r>
      <w:r>
        <w:rPr>
          <w:rFonts w:hint="eastAsia"/>
          <w:sz w:val="21"/>
          <w:szCs w:val="21"/>
        </w:rPr>
        <w:tab/>
      </w:r>
      <w:r w:rsidRPr="0097049F">
        <w:rPr>
          <w:rFonts w:hint="eastAsia"/>
        </w:rPr>
        <w:t>同上，第</w:t>
      </w:r>
      <w:r w:rsidRPr="0097049F">
        <w:t>29-30</w:t>
      </w:r>
      <w:r w:rsidRPr="0097049F">
        <w:rPr>
          <w:rFonts w:hint="eastAsia"/>
          <w:lang w:val="es-ES"/>
        </w:rPr>
        <w:t>段。</w:t>
      </w:r>
    </w:p>
  </w:footnote>
  <w:footnote w:id="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sz w:val="21"/>
          <w:szCs w:val="21"/>
        </w:rPr>
      </w:pPr>
      <w:r>
        <w:rPr>
          <w:rFonts w:hint="eastAsia"/>
          <w:sz w:val="21"/>
          <w:szCs w:val="21"/>
        </w:rPr>
        <w:tab/>
      </w:r>
      <w:r w:rsidRPr="00BB6462">
        <w:rPr>
          <w:rStyle w:val="a3"/>
          <w:iCs/>
          <w:szCs w:val="21"/>
        </w:rPr>
        <w:footnoteRef/>
      </w:r>
      <w:r>
        <w:rPr>
          <w:rFonts w:hint="eastAsia"/>
          <w:sz w:val="21"/>
          <w:szCs w:val="21"/>
        </w:rPr>
        <w:tab/>
      </w:r>
      <w:r w:rsidRPr="0097049F">
        <w:rPr>
          <w:rFonts w:hint="eastAsia"/>
          <w:lang w:val="es-ES"/>
        </w:rPr>
        <w:t>同上</w:t>
      </w:r>
      <w:r w:rsidRPr="0097049F">
        <w:rPr>
          <w:rFonts w:hint="eastAsia"/>
        </w:rPr>
        <w:t>，</w:t>
      </w:r>
      <w:r w:rsidRPr="0097049F">
        <w:rPr>
          <w:rFonts w:hint="eastAsia"/>
          <w:lang w:val="es-ES"/>
        </w:rPr>
        <w:t>第</w:t>
      </w:r>
      <w:r w:rsidRPr="0097049F">
        <w:t>34</w:t>
      </w:r>
      <w:r w:rsidRPr="0097049F">
        <w:rPr>
          <w:rFonts w:hint="eastAsia"/>
          <w:lang w:val="es-ES"/>
        </w:rPr>
        <w:t>段。</w:t>
      </w:r>
    </w:p>
  </w:footnote>
  <w:footnote w:id="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2008</w:t>
      </w:r>
      <w:r w:rsidRPr="00BB6462">
        <w:rPr>
          <w:rFonts w:hint="eastAsia"/>
        </w:rPr>
        <w:t>年</w:t>
      </w:r>
      <w:r w:rsidRPr="00BB6462">
        <w:rPr>
          <w:rFonts w:hint="eastAsia"/>
        </w:rPr>
        <w:t>8</w:t>
      </w:r>
      <w:r w:rsidRPr="00BB6462">
        <w:rPr>
          <w:rFonts w:hint="eastAsia"/>
        </w:rPr>
        <w:t>月</w:t>
      </w:r>
      <w:r w:rsidRPr="00BB6462">
        <w:rPr>
          <w:rFonts w:hint="eastAsia"/>
        </w:rPr>
        <w:t>8</w:t>
      </w:r>
      <w:r w:rsidRPr="00BB6462">
        <w:rPr>
          <w:rFonts w:hint="eastAsia"/>
        </w:rPr>
        <w:t>日第</w:t>
      </w:r>
      <w:r w:rsidRPr="00BB6462">
        <w:rPr>
          <w:rFonts w:hint="eastAsia"/>
        </w:rPr>
        <w:t>2997</w:t>
      </w:r>
      <w:r w:rsidRPr="00BB6462">
        <w:rPr>
          <w:rFonts w:hint="eastAsia"/>
        </w:rPr>
        <w:t>次会议</w:t>
      </w:r>
      <w:r w:rsidRPr="00BB6462">
        <w:rPr>
          <w:rFonts w:hint="eastAsia"/>
        </w:rPr>
        <w:t>(</w:t>
      </w:r>
      <w:r w:rsidRPr="00BB6462">
        <w:rPr>
          <w:rFonts w:hint="eastAsia"/>
        </w:rPr>
        <w:t>《大会正式记录，第六十三届，补编第</w:t>
      </w:r>
      <w:r w:rsidRPr="00BB6462">
        <w:rPr>
          <w:rFonts w:hint="eastAsia"/>
        </w:rPr>
        <w:t>10</w:t>
      </w:r>
      <w:r w:rsidRPr="00BB6462">
        <w:rPr>
          <w:rFonts w:hint="eastAsia"/>
        </w:rPr>
        <w:t>号》</w:t>
      </w:r>
      <w:r w:rsidRPr="00BB6462">
        <w:rPr>
          <w:rFonts w:hint="eastAsia"/>
        </w:rPr>
        <w:t>(A/63/10)</w:t>
      </w:r>
      <w:r w:rsidRPr="00BB6462">
        <w:rPr>
          <w:rFonts w:hint="eastAsia"/>
        </w:rPr>
        <w:t>，第</w:t>
      </w:r>
      <w:r w:rsidRPr="00BB6462">
        <w:rPr>
          <w:rFonts w:hint="eastAsia"/>
        </w:rPr>
        <w:t>354</w:t>
      </w:r>
      <w:r w:rsidRPr="00BB6462">
        <w:rPr>
          <w:rFonts w:hint="eastAsia"/>
        </w:rPr>
        <w:t>段</w:t>
      </w:r>
      <w:r w:rsidRPr="00BB6462">
        <w:rPr>
          <w:rFonts w:hint="eastAsia"/>
        </w:rPr>
        <w:t>)</w:t>
      </w:r>
      <w:r w:rsidRPr="00BB6462">
        <w:rPr>
          <w:rFonts w:hint="eastAsia"/>
        </w:rPr>
        <w:t>。本专题的提纲见同上，附件</w:t>
      </w:r>
      <w:r w:rsidRPr="00BB6462">
        <w:rPr>
          <w:rFonts w:hint="eastAsia"/>
        </w:rPr>
        <w:t>B</w:t>
      </w:r>
      <w:r w:rsidRPr="00BB6462">
        <w:rPr>
          <w:rFonts w:hint="eastAsia"/>
        </w:rPr>
        <w:t>。大会在</w:t>
      </w:r>
      <w:r w:rsidRPr="00BB6462">
        <w:rPr>
          <w:rFonts w:hint="eastAsia"/>
        </w:rPr>
        <w:t>2008</w:t>
      </w:r>
      <w:r w:rsidRPr="00BB6462">
        <w:rPr>
          <w:rFonts w:hint="eastAsia"/>
        </w:rPr>
        <w:t>年</w:t>
      </w:r>
      <w:r w:rsidRPr="00BB6462">
        <w:rPr>
          <w:rFonts w:hint="eastAsia"/>
        </w:rPr>
        <w:t>12</w:t>
      </w:r>
      <w:r w:rsidRPr="00BB6462">
        <w:rPr>
          <w:rFonts w:hint="eastAsia"/>
        </w:rPr>
        <w:t>月</w:t>
      </w:r>
      <w:r w:rsidRPr="00BB6462">
        <w:rPr>
          <w:rFonts w:hint="eastAsia"/>
        </w:rPr>
        <w:t>11</w:t>
      </w:r>
      <w:r w:rsidRPr="00BB6462">
        <w:rPr>
          <w:rFonts w:hint="eastAsia"/>
        </w:rPr>
        <w:t>日第</w:t>
      </w:r>
      <w:r w:rsidRPr="00BB6462">
        <w:rPr>
          <w:rFonts w:hint="eastAsia"/>
        </w:rPr>
        <w:t>63/123</w:t>
      </w:r>
      <w:r w:rsidRPr="00BB6462">
        <w:rPr>
          <w:rFonts w:hint="eastAsia"/>
        </w:rPr>
        <w:t>号决议第</w:t>
      </w:r>
      <w:r w:rsidRPr="00BB6462">
        <w:rPr>
          <w:rFonts w:hint="eastAsia"/>
        </w:rPr>
        <w:t>6</w:t>
      </w:r>
      <w:r w:rsidRPr="00BB6462">
        <w:rPr>
          <w:rFonts w:hint="eastAsia"/>
        </w:rPr>
        <w:t>段中注意到该决定。</w:t>
      </w:r>
    </w:p>
  </w:footnote>
  <w:footnote w:id="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委员会在</w:t>
      </w:r>
      <w:r w:rsidRPr="00BB6462">
        <w:rPr>
          <w:rFonts w:hint="eastAsia"/>
        </w:rPr>
        <w:t>2009</w:t>
      </w:r>
      <w:r w:rsidRPr="00BB6462">
        <w:rPr>
          <w:rFonts w:hint="eastAsia"/>
        </w:rPr>
        <w:t>年</w:t>
      </w:r>
      <w:r w:rsidRPr="00BB6462">
        <w:rPr>
          <w:rFonts w:hint="eastAsia"/>
        </w:rPr>
        <w:t>7</w:t>
      </w:r>
      <w:r w:rsidRPr="00BB6462">
        <w:rPr>
          <w:rFonts w:hint="eastAsia"/>
        </w:rPr>
        <w:t>月</w:t>
      </w:r>
      <w:r w:rsidRPr="00BB6462">
        <w:rPr>
          <w:rFonts w:hint="eastAsia"/>
        </w:rPr>
        <w:t>31</w:t>
      </w:r>
      <w:r w:rsidRPr="00BB6462">
        <w:rPr>
          <w:rFonts w:hint="eastAsia"/>
        </w:rPr>
        <w:t>日举行的第</w:t>
      </w:r>
      <w:r w:rsidRPr="00BB6462">
        <w:rPr>
          <w:rFonts w:hint="eastAsia"/>
        </w:rPr>
        <w:t>3029</w:t>
      </w:r>
      <w:r w:rsidRPr="00BB6462">
        <w:rPr>
          <w:rFonts w:hint="eastAsia"/>
        </w:rPr>
        <w:t>次会议上注意到最惠国条款问题研究组共同主席的口头报告</w:t>
      </w:r>
      <w:r w:rsidRPr="00BB6462">
        <w:rPr>
          <w:rFonts w:hint="eastAsia"/>
        </w:rPr>
        <w:t>(</w:t>
      </w:r>
      <w:r w:rsidRPr="00BB6462">
        <w:rPr>
          <w:rFonts w:hint="eastAsia"/>
        </w:rPr>
        <w:t>《同上，第六十四届会议，补编第</w:t>
      </w:r>
      <w:r w:rsidRPr="00BB6462">
        <w:rPr>
          <w:rFonts w:hint="eastAsia"/>
        </w:rPr>
        <w:t>10</w:t>
      </w:r>
      <w:r w:rsidRPr="00BB6462">
        <w:rPr>
          <w:rFonts w:hint="eastAsia"/>
        </w:rPr>
        <w:t>号》</w:t>
      </w:r>
      <w:r w:rsidRPr="00BB6462">
        <w:rPr>
          <w:rFonts w:hint="eastAsia"/>
        </w:rPr>
        <w:t>(A/64/10)</w:t>
      </w:r>
      <w:r w:rsidRPr="00BB6462">
        <w:rPr>
          <w:rFonts w:hint="eastAsia"/>
        </w:rPr>
        <w:t>，第</w:t>
      </w:r>
      <w:r w:rsidRPr="00BB6462">
        <w:rPr>
          <w:rFonts w:hint="eastAsia"/>
        </w:rPr>
        <w:t>211</w:t>
      </w:r>
      <w:r w:rsidRPr="00BB6462">
        <w:rPr>
          <w:rFonts w:hint="eastAsia"/>
        </w:rPr>
        <w:t>至</w:t>
      </w:r>
      <w:r w:rsidRPr="00BB6462">
        <w:rPr>
          <w:rFonts w:hint="eastAsia"/>
        </w:rPr>
        <w:t>216</w:t>
      </w:r>
      <w:r w:rsidRPr="00BB6462">
        <w:rPr>
          <w:rFonts w:hint="eastAsia"/>
        </w:rPr>
        <w:t>段</w:t>
      </w:r>
      <w:r w:rsidRPr="00BB6462">
        <w:rPr>
          <w:rFonts w:hint="eastAsia"/>
        </w:rPr>
        <w:t>)</w:t>
      </w:r>
      <w:r w:rsidRPr="00BB6462">
        <w:rPr>
          <w:rFonts w:hint="eastAsia"/>
        </w:rPr>
        <w:t>。委员会审议了一个可作为未来工作路线图的框架等，并商定了一个工作时间表，涉及文件的编写，希望这些文件能够帮助澄清一些问题，特别是有关最惠国条款的范围及其解释和适用的问题。</w:t>
      </w:r>
    </w:p>
  </w:footnote>
  <w:footnote w:id="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委员会在</w:t>
      </w:r>
      <w:r w:rsidRPr="00BB6462">
        <w:rPr>
          <w:rFonts w:hint="eastAsia"/>
        </w:rPr>
        <w:t>2010</w:t>
      </w:r>
      <w:r w:rsidRPr="00BB6462">
        <w:rPr>
          <w:rFonts w:hint="eastAsia"/>
        </w:rPr>
        <w:t>年</w:t>
      </w:r>
      <w:r w:rsidRPr="00BB6462">
        <w:rPr>
          <w:rFonts w:hint="eastAsia"/>
        </w:rPr>
        <w:t>7</w:t>
      </w:r>
      <w:r w:rsidRPr="00BB6462">
        <w:rPr>
          <w:rFonts w:hint="eastAsia"/>
        </w:rPr>
        <w:t>月</w:t>
      </w:r>
      <w:r w:rsidRPr="00BB6462">
        <w:rPr>
          <w:rFonts w:hint="eastAsia"/>
        </w:rPr>
        <w:t>30</w:t>
      </w:r>
      <w:r w:rsidRPr="00BB6462">
        <w:rPr>
          <w:rFonts w:hint="eastAsia"/>
        </w:rPr>
        <w:t>日举行的第</w:t>
      </w:r>
      <w:r w:rsidRPr="00BB6462">
        <w:rPr>
          <w:rFonts w:hint="eastAsia"/>
        </w:rPr>
        <w:t>3071</w:t>
      </w:r>
      <w:r w:rsidRPr="00BB6462">
        <w:rPr>
          <w:rFonts w:hint="eastAsia"/>
        </w:rPr>
        <w:t>次会议上注意到研究组共同主席的口头报告</w:t>
      </w:r>
      <w:r w:rsidRPr="00BB6462">
        <w:rPr>
          <w:rFonts w:hint="eastAsia"/>
        </w:rPr>
        <w:t>(</w:t>
      </w:r>
      <w:r w:rsidRPr="00BB6462">
        <w:rPr>
          <w:rFonts w:hint="eastAsia"/>
        </w:rPr>
        <w:t>《同上，第六十五届会议，补编第</w:t>
      </w:r>
      <w:r w:rsidRPr="00BB6462">
        <w:rPr>
          <w:rFonts w:hint="eastAsia"/>
        </w:rPr>
        <w:t>10</w:t>
      </w:r>
      <w:r w:rsidRPr="00BB6462">
        <w:rPr>
          <w:rFonts w:hint="eastAsia"/>
        </w:rPr>
        <w:t>号》</w:t>
      </w:r>
      <w:r w:rsidRPr="00BB6462">
        <w:rPr>
          <w:rFonts w:hint="eastAsia"/>
        </w:rPr>
        <w:t>(A/65/10)</w:t>
      </w:r>
      <w:r w:rsidRPr="00BB6462">
        <w:rPr>
          <w:rFonts w:hint="eastAsia"/>
        </w:rPr>
        <w:t>，第</w:t>
      </w:r>
      <w:r w:rsidRPr="00BB6462">
        <w:rPr>
          <w:rFonts w:hint="eastAsia"/>
        </w:rPr>
        <w:t>359</w:t>
      </w:r>
      <w:r w:rsidRPr="00BB6462">
        <w:rPr>
          <w:rFonts w:hint="eastAsia"/>
        </w:rPr>
        <w:t>至</w:t>
      </w:r>
      <w:r w:rsidRPr="00BB6462">
        <w:rPr>
          <w:rFonts w:hint="eastAsia"/>
        </w:rPr>
        <w:t>373</w:t>
      </w:r>
      <w:r w:rsidRPr="00BB6462">
        <w:rPr>
          <w:rFonts w:hint="eastAsia"/>
        </w:rPr>
        <w:t>段</w:t>
      </w:r>
      <w:r w:rsidRPr="00BB6462">
        <w:rPr>
          <w:rFonts w:hint="eastAsia"/>
        </w:rPr>
        <w:t>)</w:t>
      </w:r>
      <w:r w:rsidRPr="00BB6462">
        <w:rPr>
          <w:rFonts w:hint="eastAsia"/>
        </w:rPr>
        <w:t>。研究组审议并审查了根据</w:t>
      </w:r>
      <w:r w:rsidRPr="00BB6462">
        <w:rPr>
          <w:rFonts w:hint="eastAsia"/>
        </w:rPr>
        <w:t>2009</w:t>
      </w:r>
      <w:r w:rsidRPr="00BB6462">
        <w:rPr>
          <w:rFonts w:hint="eastAsia"/>
        </w:rPr>
        <w:t>年决定的作为今后工作路线图的框架编写的各类文件，并且商定了</w:t>
      </w:r>
      <w:r w:rsidRPr="00BB6462">
        <w:rPr>
          <w:rFonts w:hint="eastAsia"/>
        </w:rPr>
        <w:t>2010</w:t>
      </w:r>
      <w:r w:rsidRPr="00BB6462">
        <w:rPr>
          <w:rFonts w:hint="eastAsia"/>
        </w:rPr>
        <w:t>年</w:t>
      </w:r>
      <w:r w:rsidRPr="00BB6462">
        <w:t>工作方案</w:t>
      </w:r>
      <w:r w:rsidRPr="00BB6462">
        <w:rPr>
          <w:rFonts w:hint="eastAsia"/>
        </w:rPr>
        <w:t>。委员会在</w:t>
      </w:r>
      <w:r w:rsidRPr="00BB6462">
        <w:rPr>
          <w:rFonts w:hint="eastAsia"/>
        </w:rPr>
        <w:t>2011</w:t>
      </w:r>
      <w:r w:rsidRPr="00BB6462">
        <w:rPr>
          <w:rFonts w:hint="eastAsia"/>
        </w:rPr>
        <w:t>年</w:t>
      </w:r>
      <w:r w:rsidRPr="00BB6462">
        <w:rPr>
          <w:rFonts w:hint="eastAsia"/>
        </w:rPr>
        <w:t>8</w:t>
      </w:r>
      <w:r w:rsidRPr="00BB6462">
        <w:rPr>
          <w:rFonts w:hint="eastAsia"/>
        </w:rPr>
        <w:t>月</w:t>
      </w:r>
      <w:r w:rsidRPr="00BB6462">
        <w:rPr>
          <w:rFonts w:hint="eastAsia"/>
        </w:rPr>
        <w:t>8</w:t>
      </w:r>
      <w:r w:rsidRPr="00BB6462">
        <w:rPr>
          <w:rFonts w:hint="eastAsia"/>
        </w:rPr>
        <w:t>日举行的第</w:t>
      </w:r>
      <w:r w:rsidRPr="00BB6462">
        <w:rPr>
          <w:rFonts w:hint="eastAsia"/>
        </w:rPr>
        <w:t>3119</w:t>
      </w:r>
      <w:r w:rsidRPr="00BB6462">
        <w:rPr>
          <w:rFonts w:hint="eastAsia"/>
        </w:rPr>
        <w:t>次会议上注意到研究组共同主席的口头报告</w:t>
      </w:r>
      <w:r w:rsidRPr="00BB6462">
        <w:rPr>
          <w:rFonts w:hint="eastAsia"/>
        </w:rPr>
        <w:t>(</w:t>
      </w:r>
      <w:r w:rsidRPr="00BB6462">
        <w:rPr>
          <w:rFonts w:hint="eastAsia"/>
        </w:rPr>
        <w:t>《同上，第六十六届会议，补编第</w:t>
      </w:r>
      <w:r w:rsidRPr="00BB6462">
        <w:rPr>
          <w:rFonts w:hint="eastAsia"/>
        </w:rPr>
        <w:t>10</w:t>
      </w:r>
      <w:r w:rsidRPr="00BB6462">
        <w:rPr>
          <w:rFonts w:hint="eastAsia"/>
        </w:rPr>
        <w:t>号》</w:t>
      </w:r>
      <w:r w:rsidRPr="00BB6462">
        <w:rPr>
          <w:rFonts w:hint="eastAsia"/>
        </w:rPr>
        <w:t>(A/66/10)</w:t>
      </w:r>
      <w:r w:rsidRPr="00BB6462">
        <w:rPr>
          <w:rFonts w:hint="eastAsia"/>
        </w:rPr>
        <w:t>，第</w:t>
      </w:r>
      <w:r w:rsidRPr="00BB6462">
        <w:rPr>
          <w:rFonts w:hint="eastAsia"/>
        </w:rPr>
        <w:t>349</w:t>
      </w:r>
      <w:r w:rsidRPr="00BB6462">
        <w:rPr>
          <w:rFonts w:hint="eastAsia"/>
        </w:rPr>
        <w:t>至</w:t>
      </w:r>
      <w:r w:rsidRPr="00BB6462">
        <w:rPr>
          <w:rFonts w:hint="eastAsia"/>
        </w:rPr>
        <w:t>363</w:t>
      </w:r>
      <w:r w:rsidRPr="00BB6462">
        <w:rPr>
          <w:rFonts w:hint="eastAsia"/>
        </w:rPr>
        <w:t>段</w:t>
      </w:r>
      <w:r w:rsidRPr="00BB6462">
        <w:rPr>
          <w:rFonts w:hint="eastAsia"/>
        </w:rPr>
        <w:t>)</w:t>
      </w:r>
      <w:r w:rsidRPr="00BB6462">
        <w:rPr>
          <w:rFonts w:hint="eastAsia"/>
        </w:rPr>
        <w:t>。研究组审议并审查了根据</w:t>
      </w:r>
      <w:r w:rsidRPr="00BB6462">
        <w:rPr>
          <w:rFonts w:hint="eastAsia"/>
        </w:rPr>
        <w:t xml:space="preserve"> 2009 </w:t>
      </w:r>
      <w:r w:rsidRPr="00BB6462">
        <w:rPr>
          <w:rFonts w:hint="eastAsia"/>
        </w:rPr>
        <w:t>年决定的作为今后工作路线图的框架新编写的文件。</w:t>
      </w:r>
    </w:p>
  </w:footnote>
  <w:footnote w:id="1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委员会在</w:t>
      </w:r>
      <w:r w:rsidRPr="00BB6462">
        <w:rPr>
          <w:rFonts w:hint="eastAsia"/>
        </w:rPr>
        <w:t>2012</w:t>
      </w:r>
      <w:r w:rsidRPr="00BB6462">
        <w:rPr>
          <w:rFonts w:hint="eastAsia"/>
        </w:rPr>
        <w:t>年</w:t>
      </w:r>
      <w:r w:rsidRPr="00BB6462">
        <w:rPr>
          <w:rFonts w:hint="eastAsia"/>
        </w:rPr>
        <w:t>7</w:t>
      </w:r>
      <w:r w:rsidRPr="00BB6462">
        <w:rPr>
          <w:rFonts w:hint="eastAsia"/>
        </w:rPr>
        <w:t>月</w:t>
      </w:r>
      <w:r w:rsidRPr="00BB6462">
        <w:rPr>
          <w:rFonts w:hint="eastAsia"/>
        </w:rPr>
        <w:t>27</w:t>
      </w:r>
      <w:r w:rsidRPr="00BB6462">
        <w:rPr>
          <w:rFonts w:hint="eastAsia"/>
        </w:rPr>
        <w:t>日举行的第</w:t>
      </w:r>
      <w:r w:rsidRPr="00BB6462">
        <w:rPr>
          <w:rFonts w:hint="eastAsia"/>
        </w:rPr>
        <w:t>3151</w:t>
      </w:r>
      <w:r w:rsidRPr="00BB6462">
        <w:rPr>
          <w:rFonts w:hint="eastAsia"/>
        </w:rPr>
        <w:t>次会议上注意到研究组主席的口头报告</w:t>
      </w:r>
      <w:r w:rsidRPr="00BB6462">
        <w:rPr>
          <w:rFonts w:hint="eastAsia"/>
        </w:rPr>
        <w:t>(</w:t>
      </w:r>
      <w:r w:rsidRPr="00BB6462">
        <w:rPr>
          <w:rFonts w:hint="eastAsia"/>
        </w:rPr>
        <w:t>《同上，第六十七届会议，补编第</w:t>
      </w:r>
      <w:r w:rsidRPr="00BB6462">
        <w:rPr>
          <w:rFonts w:hint="eastAsia"/>
        </w:rPr>
        <w:t>10</w:t>
      </w:r>
      <w:r w:rsidRPr="00BB6462">
        <w:rPr>
          <w:rFonts w:hint="eastAsia"/>
        </w:rPr>
        <w:t>号》</w:t>
      </w:r>
      <w:r w:rsidRPr="00BB6462">
        <w:rPr>
          <w:rFonts w:hint="eastAsia"/>
        </w:rPr>
        <w:t>(A/67/10)</w:t>
      </w:r>
      <w:r w:rsidRPr="00BB6462">
        <w:rPr>
          <w:rFonts w:hint="eastAsia"/>
        </w:rPr>
        <w:t>，第</w:t>
      </w:r>
      <w:r w:rsidRPr="00BB6462">
        <w:rPr>
          <w:rFonts w:hint="eastAsia"/>
        </w:rPr>
        <w:t>245</w:t>
      </w:r>
      <w:r w:rsidRPr="00BB6462">
        <w:rPr>
          <w:rFonts w:hint="eastAsia"/>
        </w:rPr>
        <w:t>至</w:t>
      </w:r>
      <w:r w:rsidRPr="00BB6462">
        <w:rPr>
          <w:rFonts w:hint="eastAsia"/>
        </w:rPr>
        <w:t>265</w:t>
      </w:r>
      <w:r w:rsidRPr="00BB6462">
        <w:rPr>
          <w:rFonts w:hint="eastAsia"/>
        </w:rPr>
        <w:t>段</w:t>
      </w:r>
      <w:r w:rsidRPr="00BB6462">
        <w:rPr>
          <w:rFonts w:hint="eastAsia"/>
        </w:rPr>
        <w:t>)</w:t>
      </w:r>
      <w:r w:rsidRPr="00BB6462">
        <w:rPr>
          <w:rFonts w:hint="eastAsia"/>
        </w:rPr>
        <w:t>。研究组审议并审查了根据</w:t>
      </w:r>
      <w:r w:rsidRPr="00BB6462">
        <w:rPr>
          <w:rFonts w:hint="eastAsia"/>
        </w:rPr>
        <w:t>2009</w:t>
      </w:r>
      <w:r w:rsidRPr="00BB6462">
        <w:rPr>
          <w:rFonts w:hint="eastAsia"/>
        </w:rPr>
        <w:t>年决定的作为今后工作路线图的框架新编写的文件。委员会在</w:t>
      </w:r>
      <w:r w:rsidRPr="00BB6462">
        <w:rPr>
          <w:rFonts w:hint="eastAsia"/>
        </w:rPr>
        <w:t>2013</w:t>
      </w:r>
      <w:r w:rsidRPr="00BB6462">
        <w:rPr>
          <w:rFonts w:hint="eastAsia"/>
        </w:rPr>
        <w:t>年</w:t>
      </w:r>
      <w:r w:rsidRPr="00BB6462">
        <w:rPr>
          <w:rFonts w:hint="eastAsia"/>
        </w:rPr>
        <w:t>7</w:t>
      </w:r>
      <w:r w:rsidRPr="00BB6462">
        <w:rPr>
          <w:rFonts w:hint="eastAsia"/>
        </w:rPr>
        <w:t>月</w:t>
      </w:r>
      <w:r w:rsidRPr="00BB6462">
        <w:rPr>
          <w:rFonts w:hint="eastAsia"/>
        </w:rPr>
        <w:t>31</w:t>
      </w:r>
      <w:r w:rsidRPr="00BB6462">
        <w:rPr>
          <w:rFonts w:hint="eastAsia"/>
        </w:rPr>
        <w:t>日举行的第</w:t>
      </w:r>
      <w:r w:rsidRPr="00BB6462">
        <w:rPr>
          <w:rFonts w:hint="eastAsia"/>
        </w:rPr>
        <w:t>3189</w:t>
      </w:r>
      <w:r w:rsidRPr="00BB6462">
        <w:rPr>
          <w:rFonts w:hint="eastAsia"/>
        </w:rPr>
        <w:t>次会议上注意到研究组的报告</w:t>
      </w:r>
      <w:r w:rsidRPr="00BB6462">
        <w:rPr>
          <w:rFonts w:hint="eastAsia"/>
        </w:rPr>
        <w:t>(</w:t>
      </w:r>
      <w:r w:rsidRPr="00BB6462">
        <w:rPr>
          <w:rFonts w:hint="eastAsia"/>
        </w:rPr>
        <w:t>《同上，第六十八届会议，补编第</w:t>
      </w:r>
      <w:r w:rsidRPr="00BB6462">
        <w:rPr>
          <w:rFonts w:hint="eastAsia"/>
        </w:rPr>
        <w:t>10</w:t>
      </w:r>
      <w:r w:rsidRPr="00BB6462">
        <w:rPr>
          <w:rFonts w:hint="eastAsia"/>
        </w:rPr>
        <w:t>号》</w:t>
      </w:r>
      <w:r w:rsidRPr="00BB6462">
        <w:rPr>
          <w:rFonts w:hint="eastAsia"/>
        </w:rPr>
        <w:t>(A/68/10)</w:t>
      </w:r>
      <w:r w:rsidRPr="00BB6462">
        <w:rPr>
          <w:rFonts w:hint="eastAsia"/>
        </w:rPr>
        <w:t>，第</w:t>
      </w:r>
      <w:r w:rsidRPr="00BB6462">
        <w:rPr>
          <w:rFonts w:hint="eastAsia"/>
        </w:rPr>
        <w:t>154</w:t>
      </w:r>
      <w:r w:rsidRPr="00BB6462">
        <w:rPr>
          <w:rFonts w:hint="eastAsia"/>
        </w:rPr>
        <w:t>至</w:t>
      </w:r>
      <w:r w:rsidRPr="00BB6462">
        <w:rPr>
          <w:rFonts w:hint="eastAsia"/>
        </w:rPr>
        <w:t>164</w:t>
      </w:r>
      <w:r w:rsidRPr="00BB6462">
        <w:rPr>
          <w:rFonts w:hint="eastAsia"/>
        </w:rPr>
        <w:t>段</w:t>
      </w:r>
      <w:r w:rsidRPr="00BB6462">
        <w:rPr>
          <w:rFonts w:hint="eastAsia"/>
        </w:rPr>
        <w:t>)</w:t>
      </w:r>
      <w:r w:rsidRPr="00BB6462">
        <w:rPr>
          <w:rFonts w:hint="eastAsia"/>
        </w:rPr>
        <w:t>。研究组审议并审查了新编写的文件。委员会还研究了与最惠国条款的解释相关的当代实践和判例。委员会在</w:t>
      </w:r>
      <w:r w:rsidRPr="00BB6462">
        <w:rPr>
          <w:rFonts w:hint="eastAsia"/>
        </w:rPr>
        <w:t>2014</w:t>
      </w:r>
      <w:r w:rsidRPr="00BB6462">
        <w:rPr>
          <w:rFonts w:hint="eastAsia"/>
        </w:rPr>
        <w:t>年</w:t>
      </w:r>
      <w:r w:rsidRPr="00BB6462">
        <w:rPr>
          <w:rFonts w:hint="eastAsia"/>
        </w:rPr>
        <w:t>7</w:t>
      </w:r>
      <w:r w:rsidRPr="00BB6462">
        <w:rPr>
          <w:rFonts w:hint="eastAsia"/>
        </w:rPr>
        <w:t>月</w:t>
      </w:r>
      <w:r w:rsidRPr="00BB6462">
        <w:rPr>
          <w:rFonts w:hint="eastAsia"/>
        </w:rPr>
        <w:t>25</w:t>
      </w:r>
      <w:r w:rsidRPr="00BB6462">
        <w:rPr>
          <w:rFonts w:hint="eastAsia"/>
        </w:rPr>
        <w:t>日举行的第</w:t>
      </w:r>
      <w:r w:rsidRPr="00BB6462">
        <w:rPr>
          <w:rFonts w:hint="eastAsia"/>
        </w:rPr>
        <w:t>3231</w:t>
      </w:r>
      <w:r w:rsidRPr="00BB6462">
        <w:rPr>
          <w:rFonts w:hint="eastAsia"/>
        </w:rPr>
        <w:t>次会议上注意到研究组工作的口头报告</w:t>
      </w:r>
      <w:r w:rsidRPr="00BB6462">
        <w:rPr>
          <w:rFonts w:hint="eastAsia"/>
        </w:rPr>
        <w:t>(</w:t>
      </w:r>
      <w:r w:rsidRPr="00BB6462">
        <w:rPr>
          <w:rFonts w:hint="eastAsia"/>
        </w:rPr>
        <w:t>《同上，第六十九届会议，补编第</w:t>
      </w:r>
      <w:r w:rsidRPr="00BB6462">
        <w:rPr>
          <w:rFonts w:hint="eastAsia"/>
        </w:rPr>
        <w:t>10</w:t>
      </w:r>
      <w:r w:rsidRPr="00BB6462">
        <w:rPr>
          <w:rFonts w:hint="eastAsia"/>
        </w:rPr>
        <w:t>号》</w:t>
      </w:r>
      <w:r w:rsidRPr="00BB6462">
        <w:rPr>
          <w:rFonts w:hint="eastAsia"/>
        </w:rPr>
        <w:t>(A/69/10)</w:t>
      </w:r>
      <w:r w:rsidRPr="00BB6462">
        <w:rPr>
          <w:rFonts w:hint="eastAsia"/>
        </w:rPr>
        <w:t>，第</w:t>
      </w:r>
      <w:r w:rsidRPr="00BB6462">
        <w:rPr>
          <w:rFonts w:hint="eastAsia"/>
        </w:rPr>
        <w:t>254</w:t>
      </w:r>
      <w:r w:rsidRPr="00BB6462">
        <w:rPr>
          <w:rFonts w:hint="eastAsia"/>
        </w:rPr>
        <w:t>至</w:t>
      </w:r>
      <w:r w:rsidRPr="00BB6462">
        <w:rPr>
          <w:rFonts w:hint="eastAsia"/>
        </w:rPr>
        <w:t>262</w:t>
      </w:r>
      <w:r w:rsidRPr="00BB6462">
        <w:rPr>
          <w:rFonts w:hint="eastAsia"/>
        </w:rPr>
        <w:t>段</w:t>
      </w:r>
      <w:r w:rsidRPr="00BB6462">
        <w:rPr>
          <w:rFonts w:hint="eastAsia"/>
        </w:rPr>
        <w:t>)</w:t>
      </w:r>
      <w:r w:rsidRPr="00BB6462">
        <w:rPr>
          <w:rFonts w:hint="eastAsia"/>
        </w:rPr>
        <w:t>。研究组对最后报告草稿进行了实质性和技术性审查，以便起草一份新报告待研究组商定。</w:t>
      </w:r>
    </w:p>
  </w:footnote>
  <w:footnote w:id="1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埃米利奥</w:t>
      </w:r>
      <w:r w:rsidRPr="003D3231">
        <w:rPr>
          <w:rFonts w:hint="eastAsia"/>
          <w:b/>
          <w:bCs/>
          <w:szCs w:val="21"/>
        </w:rPr>
        <w:t>·</w:t>
      </w:r>
      <w:r w:rsidRPr="00BB6462">
        <w:rPr>
          <w:rFonts w:hint="eastAsia"/>
        </w:rPr>
        <w:t>奥古斯丁</w:t>
      </w:r>
      <w:r w:rsidRPr="003D3231">
        <w:rPr>
          <w:rFonts w:hint="eastAsia"/>
          <w:b/>
          <w:bCs/>
        </w:rPr>
        <w:t>·</w:t>
      </w:r>
      <w:r w:rsidRPr="00BB6462">
        <w:rPr>
          <w:rFonts w:hint="eastAsia"/>
        </w:rPr>
        <w:t>马菲基尼诉西班牙王国案，法庭关于反对管辖权的裁决，国际投资争端解决中心第</w:t>
      </w:r>
      <w:r w:rsidRPr="00BB6462">
        <w:rPr>
          <w:rFonts w:hint="eastAsia"/>
        </w:rPr>
        <w:t>ARB 97/7</w:t>
      </w:r>
      <w:r w:rsidRPr="00BB6462">
        <w:rPr>
          <w:rFonts w:hint="eastAsia"/>
        </w:rPr>
        <w:t>号案件，</w:t>
      </w:r>
      <w:r w:rsidRPr="00BB6462">
        <w:rPr>
          <w:rFonts w:hint="eastAsia"/>
        </w:rPr>
        <w:t>2000</w:t>
      </w:r>
      <w:r w:rsidRPr="00BB6462">
        <w:rPr>
          <w:rFonts w:hint="eastAsia"/>
        </w:rPr>
        <w:t>年</w:t>
      </w:r>
      <w:r w:rsidRPr="00BB6462">
        <w:rPr>
          <w:rFonts w:hint="eastAsia"/>
        </w:rPr>
        <w:t>1</w:t>
      </w:r>
      <w:r w:rsidRPr="00BB6462">
        <w:rPr>
          <w:rFonts w:hint="eastAsia"/>
        </w:rPr>
        <w:t>月</w:t>
      </w:r>
      <w:r w:rsidRPr="00BB6462">
        <w:rPr>
          <w:rFonts w:hint="eastAsia"/>
        </w:rPr>
        <w:t>25</w:t>
      </w:r>
      <w:r w:rsidRPr="00BB6462">
        <w:rPr>
          <w:rFonts w:hint="eastAsia"/>
        </w:rPr>
        <w:t>日，国际投资争端解决中心报告，第</w:t>
      </w:r>
      <w:r w:rsidRPr="00BB6462">
        <w:rPr>
          <w:rFonts w:hint="eastAsia"/>
        </w:rPr>
        <w:t>5</w:t>
      </w:r>
      <w:r w:rsidRPr="00BB6462">
        <w:rPr>
          <w:rFonts w:hint="eastAsia"/>
        </w:rPr>
        <w:t>卷，第</w:t>
      </w:r>
      <w:r w:rsidRPr="00BB6462">
        <w:rPr>
          <w:rFonts w:hint="eastAsia"/>
        </w:rPr>
        <w:t>396</w:t>
      </w:r>
      <w:r w:rsidRPr="00BB6462">
        <w:rPr>
          <w:rFonts w:hint="eastAsia"/>
        </w:rPr>
        <w:t>页。</w:t>
      </w:r>
    </w:p>
  </w:footnote>
  <w:footnote w:id="1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4D75FE">
        <w:rPr>
          <w:rStyle w:val="a3"/>
          <w:color w:val="0000CC"/>
          <w:szCs w:val="21"/>
        </w:rPr>
        <w:footnoteRef/>
      </w:r>
      <w:r w:rsidRPr="00BB6462">
        <w:rPr>
          <w:rFonts w:hint="eastAsia"/>
        </w:rPr>
        <w:tab/>
      </w:r>
      <w:r w:rsidRPr="00BB6462">
        <w:rPr>
          <w:rFonts w:hint="eastAsia"/>
          <w:spacing w:val="-2"/>
        </w:rPr>
        <w:t>在</w:t>
      </w:r>
      <w:r w:rsidRPr="00BB6462">
        <w:rPr>
          <w:rFonts w:hint="eastAsia"/>
          <w:spacing w:val="-2"/>
        </w:rPr>
        <w:t>2013</w:t>
      </w:r>
      <w:r w:rsidRPr="00BB6462">
        <w:rPr>
          <w:rFonts w:hint="eastAsia"/>
          <w:spacing w:val="-2"/>
        </w:rPr>
        <w:t>年</w:t>
      </w:r>
      <w:r w:rsidRPr="00BB6462">
        <w:rPr>
          <w:rFonts w:hint="eastAsia"/>
          <w:spacing w:val="-2"/>
        </w:rPr>
        <w:t>8</w:t>
      </w:r>
      <w:r w:rsidRPr="00BB6462">
        <w:rPr>
          <w:rFonts w:hint="eastAsia"/>
          <w:spacing w:val="-2"/>
        </w:rPr>
        <w:t>月</w:t>
      </w:r>
      <w:r w:rsidRPr="00BB6462">
        <w:rPr>
          <w:rFonts w:hint="eastAsia"/>
          <w:spacing w:val="-2"/>
        </w:rPr>
        <w:t>9</w:t>
      </w:r>
      <w:r w:rsidRPr="00BB6462">
        <w:rPr>
          <w:rFonts w:hint="eastAsia"/>
          <w:spacing w:val="-2"/>
        </w:rPr>
        <w:t>日第</w:t>
      </w:r>
      <w:r w:rsidRPr="00BB6462">
        <w:rPr>
          <w:rFonts w:hint="eastAsia"/>
          <w:spacing w:val="-2"/>
        </w:rPr>
        <w:t>3197</w:t>
      </w:r>
      <w:r w:rsidRPr="00BB6462">
        <w:rPr>
          <w:rFonts w:hint="eastAsia"/>
          <w:spacing w:val="-2"/>
        </w:rPr>
        <w:t>次会议上</w:t>
      </w:r>
      <w:r w:rsidRPr="00BB6462">
        <w:rPr>
          <w:rFonts w:hint="eastAsia"/>
          <w:spacing w:val="-2"/>
        </w:rPr>
        <w:t>(</w:t>
      </w:r>
      <w:r w:rsidRPr="00BB6462">
        <w:rPr>
          <w:rFonts w:hint="eastAsia"/>
          <w:spacing w:val="-2"/>
        </w:rPr>
        <w:t>《大会正式记录，第六十八届会议，补编第</w:t>
      </w:r>
      <w:r w:rsidRPr="00BB6462">
        <w:rPr>
          <w:rFonts w:hint="eastAsia"/>
          <w:spacing w:val="-2"/>
        </w:rPr>
        <w:t>10</w:t>
      </w:r>
      <w:r w:rsidRPr="00BB6462">
        <w:rPr>
          <w:rFonts w:hint="eastAsia"/>
          <w:spacing w:val="-2"/>
        </w:rPr>
        <w:t>号》</w:t>
      </w:r>
      <w:r w:rsidRPr="00BB6462">
        <w:rPr>
          <w:rFonts w:hint="eastAsia"/>
          <w:spacing w:val="-2"/>
        </w:rPr>
        <w:t>(A/68/10)</w:t>
      </w:r>
      <w:r w:rsidRPr="00BB6462">
        <w:rPr>
          <w:rFonts w:hint="eastAsia"/>
          <w:spacing w:val="-2"/>
        </w:rPr>
        <w:t>，</w:t>
      </w:r>
      <w:r w:rsidRPr="00BB6462">
        <w:rPr>
          <w:rFonts w:hint="eastAsia"/>
        </w:rPr>
        <w:t>第</w:t>
      </w:r>
      <w:r w:rsidRPr="00BB6462">
        <w:rPr>
          <w:rFonts w:hint="eastAsia"/>
        </w:rPr>
        <w:t>168</w:t>
      </w:r>
      <w:r w:rsidRPr="00BB6462">
        <w:rPr>
          <w:rFonts w:hint="eastAsia"/>
        </w:rPr>
        <w:t>段</w:t>
      </w:r>
      <w:r w:rsidRPr="00BB6462">
        <w:rPr>
          <w:rFonts w:hint="eastAsia"/>
        </w:rPr>
        <w:t>)</w:t>
      </w:r>
      <w:r w:rsidRPr="00BB6462">
        <w:rPr>
          <w:rFonts w:hint="eastAsia"/>
        </w:rPr>
        <w:t>，委员会将此专题列入</w:t>
      </w:r>
      <w:r w:rsidRPr="00BB6462">
        <w:t>工作方案</w:t>
      </w:r>
      <w:r w:rsidRPr="00BB6462">
        <w:rPr>
          <w:rFonts w:hint="eastAsia"/>
        </w:rPr>
        <w:t>时有以下谅解：</w:t>
      </w:r>
      <w:r w:rsidRPr="00BB6462">
        <w:rPr>
          <w:rFonts w:hint="eastAsia"/>
        </w:rPr>
        <w:t xml:space="preserve">(a) </w:t>
      </w:r>
      <w:r w:rsidRPr="00BB6462">
        <w:rPr>
          <w:rFonts w:hint="eastAsia"/>
        </w:rPr>
        <w:t>此专题工作的进行方式不会影响有关的政治谈判，包括就气候变化、臭氧消耗、长途跨界空气污染进行的政治谈判。此专题不会处理，也不会妨碍诸如下述问题：国家及其国民的赔偿责任、污染者付费原则、谨慎原则、共同但有差别的责任、向发展中国家转让资金和技术以及知识产权等；</w:t>
      </w:r>
      <w:r w:rsidRPr="00BB6462">
        <w:rPr>
          <w:rFonts w:hint="eastAsia"/>
        </w:rPr>
        <w:t xml:space="preserve">(b) </w:t>
      </w:r>
      <w:r w:rsidRPr="00BB6462">
        <w:rPr>
          <w:rFonts w:hint="eastAsia"/>
        </w:rPr>
        <w:t>这一专题也不会处理具体物质，例如国家之间的正在谈判的黑炭、对流层臭氧以及其他双重影响物质，这一专题不会试图“弥补”条约制度存在的缺陷；</w:t>
      </w:r>
      <w:r w:rsidRPr="00BB6462">
        <w:rPr>
          <w:rFonts w:hint="eastAsia"/>
        </w:rPr>
        <w:t xml:space="preserve">(c) </w:t>
      </w:r>
      <w:r w:rsidRPr="00BB6462">
        <w:rPr>
          <w:rFonts w:hint="eastAsia"/>
        </w:rPr>
        <w:t>与外层空间有关的问题，包括外层空间的划界问题，不在专题范围之内；</w:t>
      </w:r>
      <w:r w:rsidRPr="00BB6462">
        <w:rPr>
          <w:rFonts w:hint="eastAsia"/>
        </w:rPr>
        <w:t xml:space="preserve">(d) </w:t>
      </w:r>
      <w:r w:rsidRPr="00BB6462">
        <w:rPr>
          <w:rFonts w:hint="eastAsia"/>
        </w:rPr>
        <w:t>该专题的工作结果将是指南草案，但此指南草案不会试图给现行条约制度规定条约制度尚不具有的法律规则或法律原则。特别报告员的报告将以上述谅解为基础。”大会</w:t>
      </w:r>
      <w:r w:rsidRPr="00BB6462">
        <w:rPr>
          <w:rFonts w:hint="eastAsia"/>
        </w:rPr>
        <w:t>2013</w:t>
      </w:r>
      <w:r w:rsidRPr="00BB6462">
        <w:rPr>
          <w:rFonts w:hint="eastAsia"/>
        </w:rPr>
        <w:t>年</w:t>
      </w:r>
      <w:r w:rsidRPr="00BB6462">
        <w:rPr>
          <w:rFonts w:hint="eastAsia"/>
        </w:rPr>
        <w:t>12</w:t>
      </w:r>
      <w:r w:rsidRPr="00BB6462">
        <w:rPr>
          <w:rFonts w:hint="eastAsia"/>
        </w:rPr>
        <w:t>月</w:t>
      </w:r>
      <w:r w:rsidRPr="00BB6462">
        <w:rPr>
          <w:rFonts w:hint="eastAsia"/>
        </w:rPr>
        <w:t>16</w:t>
      </w:r>
      <w:r w:rsidRPr="00BB6462">
        <w:rPr>
          <w:rFonts w:hint="eastAsia"/>
        </w:rPr>
        <w:t>日第</w:t>
      </w:r>
      <w:r w:rsidRPr="00BB6462">
        <w:rPr>
          <w:rFonts w:hint="eastAsia"/>
        </w:rPr>
        <w:t>68/112</w:t>
      </w:r>
      <w:r w:rsidRPr="00BB6462">
        <w:rPr>
          <w:rFonts w:hint="eastAsia"/>
        </w:rPr>
        <w:t>号决议第</w:t>
      </w:r>
      <w:r w:rsidRPr="00BB6462">
        <w:rPr>
          <w:rFonts w:hint="eastAsia"/>
        </w:rPr>
        <w:t>6</w:t>
      </w:r>
      <w:r w:rsidRPr="00BB6462">
        <w:rPr>
          <w:rFonts w:hint="eastAsia"/>
        </w:rPr>
        <w:t>段注意到，委员会将此专题列入其</w:t>
      </w:r>
      <w:r w:rsidRPr="00BB6462">
        <w:t>工作方案</w:t>
      </w:r>
      <w:r w:rsidRPr="00BB6462">
        <w:rPr>
          <w:rFonts w:hint="eastAsia"/>
        </w:rPr>
        <w:t>的决定。委员会已根据其报告附件</w:t>
      </w:r>
      <w:r w:rsidRPr="00BB6462">
        <w:rPr>
          <w:rFonts w:hint="eastAsia"/>
        </w:rPr>
        <w:t>B(</w:t>
      </w:r>
      <w:r w:rsidRPr="00BB6462">
        <w:rPr>
          <w:rFonts w:hint="eastAsia"/>
        </w:rPr>
        <w:t>《大会正式记录，第六十六届会议，补编第</w:t>
      </w:r>
      <w:r w:rsidRPr="00BB6462">
        <w:rPr>
          <w:rFonts w:hint="eastAsia"/>
        </w:rPr>
        <w:t>10</w:t>
      </w:r>
      <w:r w:rsidRPr="00BB6462">
        <w:rPr>
          <w:rFonts w:hint="eastAsia"/>
        </w:rPr>
        <w:t>号》</w:t>
      </w:r>
      <w:r w:rsidRPr="00BB6462">
        <w:rPr>
          <w:rFonts w:hint="eastAsia"/>
        </w:rPr>
        <w:t>(A/66/10)</w:t>
      </w:r>
      <w:r w:rsidRPr="00BB6462">
        <w:rPr>
          <w:rFonts w:hint="eastAsia"/>
        </w:rPr>
        <w:t>第</w:t>
      </w:r>
      <w:r w:rsidRPr="00BB6462">
        <w:rPr>
          <w:rFonts w:hint="eastAsia"/>
        </w:rPr>
        <w:t>365</w:t>
      </w:r>
      <w:r w:rsidRPr="00BB6462">
        <w:rPr>
          <w:rFonts w:hint="eastAsia"/>
        </w:rPr>
        <w:t>段</w:t>
      </w:r>
      <w:r w:rsidRPr="00BB6462">
        <w:rPr>
          <w:rFonts w:hint="eastAsia"/>
        </w:rPr>
        <w:t>)</w:t>
      </w:r>
      <w:r w:rsidRPr="00BB6462">
        <w:rPr>
          <w:rFonts w:hint="eastAsia"/>
        </w:rPr>
        <w:t>所载建议，在第六十三届会议期间</w:t>
      </w:r>
      <w:r w:rsidRPr="00BB6462">
        <w:rPr>
          <w:rFonts w:hint="eastAsia"/>
        </w:rPr>
        <w:t>(2011</w:t>
      </w:r>
      <w:r w:rsidRPr="00BB6462">
        <w:rPr>
          <w:rFonts w:hint="eastAsia"/>
        </w:rPr>
        <w:t>年</w:t>
      </w:r>
      <w:r w:rsidRPr="00BB6462">
        <w:rPr>
          <w:rFonts w:hint="eastAsia"/>
        </w:rPr>
        <w:t>)</w:t>
      </w:r>
      <w:r w:rsidRPr="00BB6462">
        <w:rPr>
          <w:rFonts w:hint="eastAsia"/>
        </w:rPr>
        <w:t>将本专题列入其长期</w:t>
      </w:r>
      <w:r w:rsidRPr="00BB6462">
        <w:t>工作方案</w:t>
      </w:r>
      <w:r w:rsidRPr="00BB6462">
        <w:rPr>
          <w:rFonts w:hint="eastAsia"/>
        </w:rPr>
        <w:t>。</w:t>
      </w:r>
    </w:p>
  </w:footnote>
  <w:footnote w:id="1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4D75FE">
        <w:rPr>
          <w:rStyle w:val="a3"/>
          <w:color w:val="0000CC"/>
          <w:szCs w:val="21"/>
        </w:rPr>
        <w:footnoteRef/>
      </w:r>
      <w:r w:rsidRPr="00BB6462">
        <w:rPr>
          <w:rFonts w:hint="eastAsia"/>
        </w:rPr>
        <w:tab/>
      </w:r>
      <w:r w:rsidRPr="00BB6462">
        <w:rPr>
          <w:rFonts w:hint="eastAsia"/>
        </w:rPr>
        <w:t>关于保护大气层问题的第一次报告</w:t>
      </w:r>
      <w:r w:rsidRPr="00BB6462">
        <w:t>(A/CN.4/667)</w:t>
      </w:r>
      <w:r w:rsidRPr="00BB6462">
        <w:rPr>
          <w:rFonts w:hint="eastAsia"/>
        </w:rPr>
        <w:t>。</w:t>
      </w:r>
    </w:p>
  </w:footnote>
  <w:footnote w:id="1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特别报告员所提议的指南草案案文读为如下</w:t>
      </w:r>
      <w:r w:rsidRPr="00BB6462">
        <w:t>(</w:t>
      </w:r>
      <w:r w:rsidRPr="00BB6462">
        <w:rPr>
          <w:rFonts w:hint="eastAsia"/>
        </w:rPr>
        <w:t>下文</w:t>
      </w:r>
      <w:r w:rsidRPr="00BB6462">
        <w:t>C.2</w:t>
      </w:r>
      <w:r w:rsidRPr="00BB6462">
        <w:rPr>
          <w:rFonts w:hint="eastAsia"/>
        </w:rPr>
        <w:t>节中载有委员会本届会议暂时通过的指南和序言段落草案案文及其评注</w:t>
      </w:r>
      <w:r w:rsidRPr="00BB6462">
        <w:t>)</w:t>
      </w:r>
      <w:r w:rsidRPr="00BB6462">
        <w:rPr>
          <w:rFonts w:hint="eastAsia"/>
        </w:rPr>
        <w:t>：</w:t>
      </w:r>
    </w:p>
    <w:p w:rsidR="00F60D83" w:rsidRPr="004D75FE" w:rsidRDefault="00F60D83" w:rsidP="00595C38">
      <w:pPr>
        <w:pStyle w:val="a5"/>
        <w:tabs>
          <w:tab w:val="clear" w:pos="418"/>
          <w:tab w:val="right" w:pos="1195"/>
          <w:tab w:val="left" w:pos="1264"/>
          <w:tab w:val="left" w:pos="1596"/>
          <w:tab w:val="left" w:pos="2557"/>
        </w:tabs>
        <w:ind w:left="1582" w:right="1264" w:firstLine="14"/>
        <w:rPr>
          <w:rFonts w:ascii="黑体" w:eastAsia="黑体" w:hAnsi="黑体"/>
          <w:b/>
          <w:bCs/>
        </w:rPr>
      </w:pPr>
      <w:r w:rsidRPr="004D75FE">
        <w:rPr>
          <w:rFonts w:ascii="黑体" w:eastAsia="黑体" w:hint="eastAsia"/>
        </w:rPr>
        <w:t>“</w:t>
      </w:r>
      <w:r w:rsidRPr="004D75FE">
        <w:rPr>
          <w:rFonts w:ascii="黑体" w:eastAsia="黑体"/>
        </w:rPr>
        <w:t>指南草案</w:t>
      </w:r>
      <w:r w:rsidRPr="008867FA">
        <w:rPr>
          <w:rFonts w:asciiTheme="majorBidi" w:eastAsia="黑体" w:hAnsiTheme="majorBidi" w:cstheme="majorBidi"/>
        </w:rPr>
        <w:t>1</w:t>
      </w:r>
      <w:r>
        <w:rPr>
          <w:rFonts w:asciiTheme="majorBidi" w:eastAsia="黑体" w:hAnsiTheme="majorBidi" w:cstheme="majorBidi" w:hint="eastAsia"/>
        </w:rPr>
        <w:br/>
      </w:r>
      <w:r w:rsidRPr="004D75FE">
        <w:rPr>
          <w:rFonts w:ascii="黑体" w:eastAsia="黑体" w:hint="eastAsia"/>
        </w:rPr>
        <w:t>用语</w:t>
      </w:r>
    </w:p>
    <w:p w:rsidR="00F60D83" w:rsidRPr="00BB6462" w:rsidRDefault="00595C38" w:rsidP="00595C38">
      <w:pPr>
        <w:pStyle w:val="a5"/>
        <w:tabs>
          <w:tab w:val="clear" w:pos="418"/>
          <w:tab w:val="right" w:pos="1195"/>
          <w:tab w:val="left" w:pos="1264"/>
          <w:tab w:val="left" w:pos="1596"/>
          <w:tab w:val="left" w:pos="2557"/>
        </w:tabs>
        <w:ind w:left="1960" w:right="1264" w:hanging="364"/>
        <w:rPr>
          <w:rFonts w:ascii="黑体" w:hAnsi="黑体"/>
        </w:rPr>
      </w:pPr>
      <w:r>
        <w:rPr>
          <w:rFonts w:ascii="黑体" w:hAnsi="黑体" w:hint="eastAsia"/>
        </w:rPr>
        <w:tab/>
      </w:r>
      <w:r w:rsidR="00F60D83" w:rsidRPr="00BB6462">
        <w:rPr>
          <w:rFonts w:ascii="黑体" w:hAnsi="黑体"/>
        </w:rPr>
        <w:t>为了本指南草案的目的，</w:t>
      </w:r>
    </w:p>
    <w:p w:rsidR="00F60D83" w:rsidRPr="00BB6462" w:rsidRDefault="00F60D83" w:rsidP="00595C38">
      <w:pPr>
        <w:pStyle w:val="a5"/>
        <w:tabs>
          <w:tab w:val="clear" w:pos="418"/>
          <w:tab w:val="right" w:pos="1195"/>
          <w:tab w:val="left" w:pos="1264"/>
          <w:tab w:val="left" w:pos="2016"/>
        </w:tabs>
        <w:ind w:left="2366" w:right="1264" w:hanging="406"/>
        <w:rPr>
          <w:rFonts w:ascii="黑体" w:hAnsi="黑体"/>
        </w:rPr>
      </w:pPr>
      <w:r w:rsidRPr="004D75FE">
        <w:rPr>
          <w:rFonts w:asciiTheme="majorBidi" w:hAnsiTheme="majorBidi" w:cstheme="majorBidi"/>
        </w:rPr>
        <w:t>(a)</w:t>
      </w:r>
      <w:r w:rsidRPr="00BB6462">
        <w:rPr>
          <w:rFonts w:ascii="黑体" w:hAnsi="黑体"/>
        </w:rPr>
        <w:tab/>
      </w:r>
      <w:r w:rsidRPr="00BB6462">
        <w:rPr>
          <w:rFonts w:ascii="黑体" w:hAnsi="黑体" w:hint="eastAsia"/>
        </w:rPr>
        <w:t>“</w:t>
      </w:r>
      <w:r w:rsidRPr="00BB6462">
        <w:rPr>
          <w:rFonts w:ascii="黑体" w:hAnsi="黑体"/>
        </w:rPr>
        <w:t>大气层</w:t>
      </w:r>
      <w:r w:rsidRPr="00BB6462">
        <w:rPr>
          <w:rFonts w:ascii="黑体" w:hAnsi="黑体" w:hint="eastAsia"/>
        </w:rPr>
        <w:t>”</w:t>
      </w:r>
      <w:r w:rsidRPr="00BB6462">
        <w:rPr>
          <w:rFonts w:ascii="黑体" w:hAnsi="黑体"/>
        </w:rPr>
        <w:t>是指环绕地球、降解物质在其中得到输送和扩散的气圈。</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4D75FE">
        <w:rPr>
          <w:rFonts w:asciiTheme="majorBidi" w:hAnsiTheme="majorBidi" w:cstheme="majorBidi"/>
        </w:rPr>
        <w:t>(b)</w:t>
      </w:r>
      <w:r w:rsidRPr="004D75FE">
        <w:rPr>
          <w:rFonts w:asciiTheme="majorBidi" w:hAnsiTheme="majorBidi" w:cstheme="majorBidi"/>
        </w:rPr>
        <w:tab/>
      </w:r>
      <w:r w:rsidRPr="00BB6462">
        <w:rPr>
          <w:rFonts w:ascii="黑体" w:hAnsi="黑体" w:hint="eastAsia"/>
        </w:rPr>
        <w:t>“</w:t>
      </w:r>
      <w:r w:rsidRPr="00BB6462">
        <w:rPr>
          <w:rFonts w:ascii="黑体" w:hAnsi="黑体"/>
        </w:rPr>
        <w:t>空气污染</w:t>
      </w:r>
      <w:r w:rsidRPr="00BB6462">
        <w:rPr>
          <w:rFonts w:ascii="黑体" w:hAnsi="黑体" w:hint="eastAsia"/>
        </w:rPr>
        <w:t>”</w:t>
      </w:r>
      <w:r w:rsidRPr="00BB6462">
        <w:rPr>
          <w:rFonts w:ascii="黑体" w:hAnsi="黑体"/>
        </w:rPr>
        <w:t>是指人类活动直接或间接地把物质或能量</w:t>
      </w:r>
      <w:r w:rsidRPr="00BB6462">
        <w:rPr>
          <w:rFonts w:ascii="黑体" w:hAnsi="黑体" w:hint="eastAsia"/>
        </w:rPr>
        <w:t>引</w:t>
      </w:r>
      <w:r w:rsidRPr="00BB6462">
        <w:rPr>
          <w:rFonts w:ascii="黑体" w:hAnsi="黑体"/>
        </w:rPr>
        <w:t>入大气层，对人类生命和健康及地球的</w:t>
      </w:r>
      <w:r w:rsidRPr="00801C67">
        <w:rPr>
          <w:rFonts w:asciiTheme="majorBidi" w:hAnsiTheme="majorBidi" w:cstheme="majorBidi"/>
        </w:rPr>
        <w:t>自然环境</w:t>
      </w:r>
      <w:r w:rsidRPr="00595C38">
        <w:rPr>
          <w:rFonts w:asciiTheme="majorBidi" w:hAnsiTheme="majorBidi" w:cstheme="majorBidi"/>
        </w:rPr>
        <w:t>造成</w:t>
      </w:r>
      <w:r w:rsidRPr="00BB6462">
        <w:rPr>
          <w:rFonts w:ascii="黑体" w:hAnsi="黑体"/>
        </w:rPr>
        <w:t>有害影响。</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4D75FE">
        <w:rPr>
          <w:rFonts w:asciiTheme="majorBidi" w:hAnsiTheme="majorBidi" w:cstheme="majorBidi"/>
        </w:rPr>
        <w:t>(c)</w:t>
      </w:r>
      <w:r w:rsidRPr="00BB6462">
        <w:rPr>
          <w:rFonts w:ascii="黑体" w:hAnsi="黑体"/>
        </w:rPr>
        <w:tab/>
      </w:r>
      <w:r w:rsidRPr="00801C67">
        <w:rPr>
          <w:rFonts w:asciiTheme="majorBidi" w:hAnsiTheme="majorBidi" w:cstheme="majorBidi" w:hint="eastAsia"/>
        </w:rPr>
        <w:t>“</w:t>
      </w:r>
      <w:r w:rsidRPr="00801C67">
        <w:rPr>
          <w:rFonts w:asciiTheme="majorBidi" w:hAnsiTheme="majorBidi" w:cstheme="majorBidi"/>
        </w:rPr>
        <w:t>大气层退化</w:t>
      </w:r>
      <w:r w:rsidRPr="00801C67">
        <w:rPr>
          <w:rFonts w:asciiTheme="majorBidi" w:hAnsiTheme="majorBidi" w:cstheme="majorBidi" w:hint="eastAsia"/>
        </w:rPr>
        <w:t>”</w:t>
      </w:r>
      <w:r w:rsidRPr="00595C38">
        <w:rPr>
          <w:rFonts w:asciiTheme="majorBidi" w:hAnsiTheme="majorBidi" w:cstheme="majorBidi"/>
        </w:rPr>
        <w:t>包括</w:t>
      </w:r>
      <w:r w:rsidRPr="00BB6462">
        <w:rPr>
          <w:rFonts w:ascii="黑体" w:hAnsi="黑体"/>
        </w:rPr>
        <w:t>空气污染、平流层臭氧消耗、气候变化以及对人类生命和健康及地球自然环境</w:t>
      </w:r>
      <w:r w:rsidRPr="00595C38">
        <w:rPr>
          <w:rFonts w:asciiTheme="majorBidi" w:hAnsiTheme="majorBidi" w:cstheme="majorBidi"/>
        </w:rPr>
        <w:t>造成有害</w:t>
      </w:r>
      <w:r w:rsidRPr="00BB6462">
        <w:rPr>
          <w:rFonts w:ascii="黑体" w:hAnsi="黑体"/>
        </w:rPr>
        <w:t>影响的任何其他大气层状况的变化。</w:t>
      </w:r>
    </w:p>
    <w:p w:rsidR="00F60D83" w:rsidRDefault="00F60D83" w:rsidP="007D3DC8">
      <w:pPr>
        <w:pStyle w:val="a5"/>
        <w:tabs>
          <w:tab w:val="clear" w:pos="418"/>
          <w:tab w:val="right" w:pos="1195"/>
          <w:tab w:val="left" w:pos="1264"/>
          <w:tab w:val="left" w:pos="1596"/>
          <w:tab w:val="left" w:pos="2126"/>
          <w:tab w:val="left" w:pos="2557"/>
        </w:tabs>
        <w:ind w:left="2127" w:right="1264" w:hanging="531"/>
        <w:rPr>
          <w:rFonts w:hAnsi="宋体"/>
        </w:rPr>
      </w:pPr>
      <w:r w:rsidRPr="008867FA">
        <w:rPr>
          <w:rFonts w:asciiTheme="minorEastAsia" w:eastAsiaTheme="minorEastAsia" w:hAnsiTheme="minorEastAsia"/>
        </w:rPr>
        <w:t>[稍后阶段将提出其他用语</w:t>
      </w:r>
      <w:r w:rsidRPr="00BB6462">
        <w:rPr>
          <w:rFonts w:hAnsi="宋体"/>
        </w:rPr>
        <w:t>的定义。</w:t>
      </w:r>
      <w:r w:rsidRPr="00BB6462">
        <w:rPr>
          <w:rFonts w:hAnsi="宋体"/>
        </w:rPr>
        <w:t>]</w:t>
      </w:r>
    </w:p>
    <w:p w:rsidR="00F60D83" w:rsidRPr="00595C38" w:rsidRDefault="00F60D83" w:rsidP="00595C38">
      <w:pPr>
        <w:pStyle w:val="a5"/>
        <w:tabs>
          <w:tab w:val="clear" w:pos="418"/>
          <w:tab w:val="right" w:pos="1195"/>
          <w:tab w:val="left" w:pos="1264"/>
          <w:tab w:val="left" w:pos="2557"/>
        </w:tabs>
        <w:ind w:left="1596" w:right="1264" w:firstLine="0"/>
        <w:rPr>
          <w:rFonts w:ascii="黑体" w:eastAsia="黑体" w:hAnsi="黑体"/>
        </w:rPr>
      </w:pPr>
      <w:r w:rsidRPr="00595C38">
        <w:rPr>
          <w:rFonts w:ascii="黑体" w:eastAsia="黑体" w:hAnsi="黑体"/>
        </w:rPr>
        <w:t>指南草案</w:t>
      </w:r>
      <w:r w:rsidRPr="00595C38">
        <w:rPr>
          <w:rFonts w:ascii="黑体" w:eastAsia="黑体" w:hAnsi="黑体" w:cstheme="majorBidi"/>
        </w:rPr>
        <w:t>2</w:t>
      </w:r>
      <w:r w:rsidRPr="00595C38">
        <w:rPr>
          <w:rFonts w:ascii="黑体" w:eastAsia="黑体" w:hAnsi="黑体" w:cstheme="majorBidi" w:hint="eastAsia"/>
        </w:rPr>
        <w:br/>
      </w:r>
      <w:r w:rsidRPr="00595C38">
        <w:rPr>
          <w:rFonts w:ascii="黑体" w:eastAsia="黑体" w:hAnsi="黑体"/>
        </w:rPr>
        <w:t>指南的范围</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4D75FE">
        <w:rPr>
          <w:rFonts w:asciiTheme="majorBidi" w:hAnsiTheme="majorBidi" w:cstheme="majorBidi"/>
        </w:rPr>
        <w:t>(</w:t>
      </w:r>
      <w:r>
        <w:rPr>
          <w:rFonts w:asciiTheme="majorBidi" w:hAnsiTheme="majorBidi" w:cstheme="majorBidi" w:hint="eastAsia"/>
        </w:rPr>
        <w:t>a</w:t>
      </w:r>
      <w:r w:rsidRPr="004D75FE">
        <w:rPr>
          <w:rFonts w:asciiTheme="majorBidi" w:hAnsiTheme="majorBidi" w:cstheme="majorBidi"/>
        </w:rPr>
        <w:t>)</w:t>
      </w:r>
      <w:r w:rsidRPr="004D75FE">
        <w:rPr>
          <w:rFonts w:asciiTheme="majorBidi" w:hAnsiTheme="majorBidi" w:cstheme="majorBidi"/>
        </w:rPr>
        <w:tab/>
      </w:r>
      <w:r w:rsidRPr="004D75FE">
        <w:rPr>
          <w:rFonts w:asciiTheme="majorBidi" w:hAnsiTheme="majorBidi" w:cstheme="majorBidi"/>
        </w:rPr>
        <w:t>本指南草案处理直接或间接将有害物质或能量引入大气层或改变大气层的组成，并且对人的生命</w:t>
      </w:r>
      <w:r w:rsidRPr="00BB6462">
        <w:rPr>
          <w:rFonts w:ascii="黑体" w:hAnsi="黑体"/>
        </w:rPr>
        <w:t>和健康及地球的自然环境产生重大有害影响或可能产生这种影响的人类活动。</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Pr>
          <w:rFonts w:asciiTheme="majorBidi" w:hAnsiTheme="majorBidi" w:cstheme="majorBidi"/>
        </w:rPr>
        <w:t>(</w:t>
      </w:r>
      <w:r>
        <w:rPr>
          <w:rFonts w:asciiTheme="majorBidi" w:hAnsiTheme="majorBidi" w:cstheme="majorBidi" w:hint="eastAsia"/>
        </w:rPr>
        <w:t>b</w:t>
      </w:r>
      <w:r w:rsidRPr="004D75FE">
        <w:rPr>
          <w:rFonts w:asciiTheme="majorBidi" w:hAnsiTheme="majorBidi" w:cstheme="majorBidi"/>
        </w:rPr>
        <w:t>)</w:t>
      </w:r>
      <w:r w:rsidRPr="004D75FE">
        <w:rPr>
          <w:rFonts w:asciiTheme="majorBidi" w:hAnsiTheme="majorBidi" w:cstheme="majorBidi"/>
        </w:rPr>
        <w:tab/>
      </w:r>
      <w:r w:rsidRPr="00BB6462">
        <w:rPr>
          <w:rFonts w:ascii="黑体" w:hAnsi="黑体"/>
        </w:rPr>
        <w:t>本指南</w:t>
      </w:r>
      <w:r w:rsidRPr="00801C67">
        <w:rPr>
          <w:rFonts w:asciiTheme="majorBidi" w:hAnsiTheme="majorBidi" w:cstheme="majorBidi"/>
        </w:rPr>
        <w:t>草案</w:t>
      </w:r>
      <w:r w:rsidRPr="00595C38">
        <w:rPr>
          <w:rFonts w:asciiTheme="majorBidi" w:hAnsiTheme="majorBidi" w:cstheme="majorBidi"/>
        </w:rPr>
        <w:t>阐述</w:t>
      </w:r>
      <w:r w:rsidRPr="00BB6462">
        <w:rPr>
          <w:rFonts w:ascii="黑体" w:hAnsi="黑体"/>
        </w:rPr>
        <w:t>与</w:t>
      </w:r>
      <w:r w:rsidRPr="00595C38">
        <w:rPr>
          <w:rFonts w:asciiTheme="majorBidi" w:hAnsiTheme="majorBidi" w:cstheme="majorBidi"/>
        </w:rPr>
        <w:t>保护</w:t>
      </w:r>
      <w:r w:rsidRPr="00BB6462">
        <w:rPr>
          <w:rFonts w:ascii="黑体" w:hAnsi="黑体"/>
        </w:rPr>
        <w:t>大气层有关的基本原则及其与国际法其他相关领域的相互关系。</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Pr>
          <w:rFonts w:asciiTheme="majorBidi" w:hAnsiTheme="majorBidi" w:cstheme="majorBidi"/>
        </w:rPr>
        <w:t>(</w:t>
      </w:r>
      <w:r>
        <w:rPr>
          <w:rFonts w:asciiTheme="majorBidi" w:hAnsiTheme="majorBidi" w:cstheme="majorBidi" w:hint="eastAsia"/>
        </w:rPr>
        <w:t>c</w:t>
      </w:r>
      <w:r w:rsidRPr="004D75FE">
        <w:rPr>
          <w:rFonts w:asciiTheme="majorBidi" w:hAnsiTheme="majorBidi" w:cstheme="majorBidi"/>
        </w:rPr>
        <w:t>)</w:t>
      </w:r>
      <w:r w:rsidRPr="004D75FE">
        <w:rPr>
          <w:rFonts w:asciiTheme="majorBidi" w:hAnsiTheme="majorBidi" w:cstheme="majorBidi"/>
        </w:rPr>
        <w:tab/>
      </w:r>
      <w:r w:rsidRPr="00BB6462">
        <w:rPr>
          <w:rFonts w:ascii="黑体" w:hAnsi="黑体"/>
        </w:rPr>
        <w:t>本指南草案中无</w:t>
      </w:r>
      <w:r w:rsidRPr="00595C38">
        <w:rPr>
          <w:rFonts w:asciiTheme="majorBidi" w:hAnsiTheme="majorBidi" w:cstheme="majorBidi"/>
        </w:rPr>
        <w:t>任何</w:t>
      </w:r>
      <w:r w:rsidRPr="00BB6462">
        <w:rPr>
          <w:rFonts w:ascii="黑体" w:hAnsi="黑体"/>
        </w:rPr>
        <w:t>内容意在影响</w:t>
      </w:r>
      <w:r w:rsidRPr="00BB6462">
        <w:rPr>
          <w:rFonts w:ascii="黑体" w:hAnsi="黑体" w:hint="eastAsia"/>
        </w:rPr>
        <w:t>空气空间</w:t>
      </w:r>
      <w:r w:rsidRPr="00BB6462">
        <w:rPr>
          <w:rFonts w:ascii="黑体" w:hAnsi="黑体"/>
        </w:rPr>
        <w:t>在适用国际法之下的法律地位。</w:t>
      </w:r>
    </w:p>
    <w:p w:rsidR="00F60D83" w:rsidRPr="00595C38" w:rsidRDefault="00F60D83" w:rsidP="00595C38">
      <w:pPr>
        <w:pStyle w:val="a5"/>
        <w:tabs>
          <w:tab w:val="clear" w:pos="418"/>
          <w:tab w:val="right" w:pos="1195"/>
          <w:tab w:val="left" w:pos="1264"/>
          <w:tab w:val="left" w:pos="2557"/>
        </w:tabs>
        <w:ind w:left="1596" w:right="1264" w:firstLine="0"/>
        <w:rPr>
          <w:rFonts w:ascii="黑体" w:eastAsia="黑体" w:hAnsi="黑体"/>
        </w:rPr>
      </w:pPr>
      <w:r w:rsidRPr="00595C38">
        <w:rPr>
          <w:rFonts w:ascii="黑体" w:eastAsia="黑体" w:hAnsi="黑体" w:hint="eastAsia"/>
        </w:rPr>
        <w:t>第二部分</w:t>
      </w:r>
      <w:r w:rsidRPr="00595C38">
        <w:rPr>
          <w:rFonts w:ascii="黑体" w:eastAsia="黑体" w:hAnsi="黑体" w:hint="eastAsia"/>
        </w:rPr>
        <w:br/>
        <w:t>般原则</w:t>
      </w:r>
    </w:p>
    <w:p w:rsidR="00F60D83" w:rsidRPr="00595C38" w:rsidRDefault="00F60D83" w:rsidP="00595C38">
      <w:pPr>
        <w:pStyle w:val="a5"/>
        <w:tabs>
          <w:tab w:val="clear" w:pos="418"/>
          <w:tab w:val="right" w:pos="1195"/>
          <w:tab w:val="left" w:pos="1264"/>
          <w:tab w:val="left" w:pos="2557"/>
        </w:tabs>
        <w:ind w:left="1596" w:right="1264" w:firstLine="0"/>
        <w:rPr>
          <w:rFonts w:ascii="黑体" w:eastAsia="黑体" w:hAnsi="黑体"/>
        </w:rPr>
      </w:pPr>
      <w:r w:rsidRPr="00595C38">
        <w:rPr>
          <w:rFonts w:ascii="黑体" w:eastAsia="黑体" w:hAnsi="黑体" w:hint="eastAsia"/>
        </w:rPr>
        <w:t>指南草案3</w:t>
      </w:r>
      <w:r w:rsidRPr="00595C38">
        <w:rPr>
          <w:rFonts w:ascii="黑体" w:eastAsia="黑体" w:hAnsi="黑体"/>
        </w:rPr>
        <w:br/>
      </w:r>
      <w:r w:rsidRPr="00595C38">
        <w:rPr>
          <w:rFonts w:ascii="黑体" w:eastAsia="黑体" w:hAnsi="黑体" w:hint="eastAsia"/>
        </w:rPr>
        <w:t>人类</w:t>
      </w:r>
      <w:r w:rsidRPr="00595C38">
        <w:rPr>
          <w:rFonts w:ascii="黑体" w:eastAsia="黑体" w:hAnsi="黑体"/>
        </w:rPr>
        <w:t>的共同关切</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BB6462">
        <w:rPr>
          <w:rFonts w:ascii="黑体" w:hAnsi="黑体"/>
        </w:rPr>
        <w:t>大气层是维持地球上的生命、人的健康和福祉及水生和陆地生态系统必不可少的自然资源；因此，大气状况退化是人类的共同关切。</w:t>
      </w:r>
    </w:p>
    <w:p w:rsidR="00F60D83" w:rsidRPr="00595C38" w:rsidRDefault="00F60D83" w:rsidP="00595C38">
      <w:pPr>
        <w:pStyle w:val="a5"/>
        <w:tabs>
          <w:tab w:val="clear" w:pos="418"/>
          <w:tab w:val="right" w:pos="1195"/>
          <w:tab w:val="left" w:pos="1264"/>
          <w:tab w:val="left" w:pos="2557"/>
        </w:tabs>
        <w:ind w:left="1596" w:right="1264" w:firstLine="0"/>
        <w:rPr>
          <w:rFonts w:ascii="黑体" w:eastAsia="黑体" w:hAnsi="黑体"/>
        </w:rPr>
      </w:pPr>
      <w:r w:rsidRPr="00595C38">
        <w:rPr>
          <w:rFonts w:ascii="黑体" w:eastAsia="黑体" w:hAnsi="黑体"/>
        </w:rPr>
        <w:t>指南草案</w:t>
      </w:r>
      <w:r w:rsidRPr="00595C38">
        <w:rPr>
          <w:rFonts w:ascii="黑体" w:eastAsia="黑体" w:hAnsi="黑体" w:hint="eastAsia"/>
        </w:rPr>
        <w:t>4</w:t>
      </w:r>
      <w:r w:rsidRPr="00595C38">
        <w:rPr>
          <w:rFonts w:ascii="黑体" w:eastAsia="黑体" w:hAnsi="黑体"/>
        </w:rPr>
        <w:br/>
        <w:t>各国保护大气层的一般义务</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8867FA">
        <w:rPr>
          <w:rFonts w:ascii="黑体" w:hAnsi="黑体"/>
        </w:rPr>
        <w:t>各国</w:t>
      </w:r>
      <w:r w:rsidRPr="00BB6462">
        <w:rPr>
          <w:rFonts w:ascii="黑体" w:hAnsi="黑体"/>
        </w:rPr>
        <w:t>有保护大气层的义务。</w:t>
      </w:r>
    </w:p>
    <w:p w:rsidR="00F60D83" w:rsidRPr="00595C38" w:rsidRDefault="00F60D83" w:rsidP="00595C38">
      <w:pPr>
        <w:pStyle w:val="a5"/>
        <w:tabs>
          <w:tab w:val="clear" w:pos="418"/>
          <w:tab w:val="right" w:pos="1195"/>
          <w:tab w:val="left" w:pos="1264"/>
          <w:tab w:val="left" w:pos="2557"/>
        </w:tabs>
        <w:ind w:left="1596" w:right="1264" w:firstLine="0"/>
        <w:rPr>
          <w:rFonts w:ascii="黑体" w:eastAsia="黑体" w:hAnsi="黑体"/>
        </w:rPr>
      </w:pPr>
      <w:r w:rsidRPr="00595C38">
        <w:rPr>
          <w:rFonts w:ascii="黑体" w:eastAsia="黑体" w:hAnsi="黑体"/>
        </w:rPr>
        <w:t>指南草案</w:t>
      </w:r>
      <w:r w:rsidRPr="00595C38">
        <w:rPr>
          <w:rFonts w:ascii="黑体" w:eastAsia="黑体" w:hAnsi="黑体" w:hint="eastAsia"/>
        </w:rPr>
        <w:t>5</w:t>
      </w:r>
      <w:r w:rsidRPr="00595C38">
        <w:rPr>
          <w:rFonts w:ascii="黑体" w:eastAsia="黑体" w:hAnsi="黑体"/>
        </w:rPr>
        <w:br/>
        <w:t>国际合作</w:t>
      </w:r>
    </w:p>
    <w:p w:rsidR="00F60D83" w:rsidRPr="00BB6462" w:rsidRDefault="00F60D83" w:rsidP="00595C38">
      <w:pPr>
        <w:pStyle w:val="a5"/>
        <w:tabs>
          <w:tab w:val="clear" w:pos="418"/>
          <w:tab w:val="right" w:pos="1195"/>
          <w:tab w:val="left" w:pos="1264"/>
          <w:tab w:val="left" w:pos="2366"/>
        </w:tabs>
        <w:ind w:left="1596" w:right="1264" w:firstLine="364"/>
        <w:rPr>
          <w:rFonts w:ascii="黑体" w:hAnsi="黑体"/>
        </w:rPr>
      </w:pPr>
      <w:r w:rsidRPr="008867FA">
        <w:rPr>
          <w:rFonts w:asciiTheme="majorBidi" w:hAnsiTheme="majorBidi" w:cstheme="majorBidi"/>
        </w:rPr>
        <w:t>(a)</w:t>
      </w:r>
      <w:r w:rsidRPr="008867FA">
        <w:rPr>
          <w:rFonts w:asciiTheme="majorBidi" w:hAnsiTheme="majorBidi" w:cstheme="majorBidi"/>
        </w:rPr>
        <w:tab/>
      </w:r>
      <w:r w:rsidRPr="00BB6462">
        <w:rPr>
          <w:rFonts w:ascii="黑体" w:hAnsi="黑体"/>
        </w:rPr>
        <w:t>各国有义务本着诚意为保护大气层而彼此合作并与有关国际组织合作。</w:t>
      </w:r>
    </w:p>
    <w:p w:rsidR="00F60D83" w:rsidRPr="008867FA" w:rsidRDefault="00F60D83" w:rsidP="00595C38">
      <w:pPr>
        <w:pStyle w:val="a5"/>
        <w:tabs>
          <w:tab w:val="clear" w:pos="418"/>
          <w:tab w:val="right" w:pos="1195"/>
          <w:tab w:val="left" w:pos="1264"/>
          <w:tab w:val="left" w:pos="2366"/>
        </w:tabs>
        <w:ind w:left="1596" w:right="1264" w:firstLine="364"/>
      </w:pPr>
      <w:r w:rsidRPr="008867FA">
        <w:rPr>
          <w:rFonts w:asciiTheme="majorBidi" w:hAnsiTheme="majorBidi" w:cstheme="majorBidi"/>
        </w:rPr>
        <w:t>(b)</w:t>
      </w:r>
      <w:r w:rsidRPr="00BB6462">
        <w:rPr>
          <w:rFonts w:ascii="黑体" w:hAnsi="黑体"/>
        </w:rPr>
        <w:tab/>
      </w:r>
      <w:r w:rsidRPr="00BB6462">
        <w:rPr>
          <w:rFonts w:ascii="黑体" w:hAnsi="黑体"/>
        </w:rPr>
        <w:t>鼓励</w:t>
      </w:r>
      <w:r w:rsidRPr="00595C38">
        <w:rPr>
          <w:rFonts w:asciiTheme="majorBidi" w:hAnsiTheme="majorBidi" w:cstheme="majorBidi"/>
        </w:rPr>
        <w:t>各国</w:t>
      </w:r>
      <w:r w:rsidRPr="00BB6462">
        <w:rPr>
          <w:rFonts w:ascii="黑体" w:hAnsi="黑体"/>
        </w:rPr>
        <w:t>合作，</w:t>
      </w:r>
      <w:r w:rsidRPr="00595C38">
        <w:rPr>
          <w:rFonts w:asciiTheme="majorBidi" w:hAnsiTheme="majorBidi" w:cstheme="majorBidi"/>
        </w:rPr>
        <w:t>进一步</w:t>
      </w:r>
      <w:r w:rsidRPr="00BB6462">
        <w:rPr>
          <w:rFonts w:ascii="黑体" w:hAnsi="黑体"/>
        </w:rPr>
        <w:t>增进关于大气层退化的原因和影响的科学知识。合作方式可以包括交流信息和开展联合监测。</w:t>
      </w:r>
      <w:r w:rsidRPr="00BB6462">
        <w:rPr>
          <w:rFonts w:hint="eastAsia"/>
        </w:rPr>
        <w:t>”</w:t>
      </w:r>
      <w:r w:rsidRPr="00BB6462">
        <w:rPr>
          <w:rFonts w:hint="eastAsia"/>
        </w:rPr>
        <w:tab/>
      </w:r>
    </w:p>
  </w:footnote>
  <w:footnote w:id="1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关于保护大气层的科学家对话由特别报告员</w:t>
      </w:r>
      <w:r w:rsidRPr="00BB6462">
        <w:rPr>
          <w:lang w:val="en-GB"/>
        </w:rPr>
        <w:t>村濑信也</w:t>
      </w:r>
      <w:r w:rsidRPr="00BB6462">
        <w:rPr>
          <w:rFonts w:hint="eastAsia"/>
        </w:rPr>
        <w:t>先生担任主席。</w:t>
      </w:r>
      <w:r w:rsidRPr="00BB6462">
        <w:t>Øystein Hov</w:t>
      </w:r>
      <w:r w:rsidRPr="00BB6462">
        <w:rPr>
          <w:rFonts w:hint="eastAsia"/>
        </w:rPr>
        <w:t>教授</w:t>
      </w:r>
      <w:r w:rsidRPr="00BB6462">
        <w:t>(</w:t>
      </w:r>
      <w:r w:rsidRPr="00BB6462">
        <w:rPr>
          <w:rFonts w:hint="eastAsia"/>
        </w:rPr>
        <w:t>气象组织大气科学委员会主席</w:t>
      </w:r>
      <w:r w:rsidRPr="00BB6462">
        <w:rPr>
          <w:rFonts w:hint="eastAsia"/>
        </w:rPr>
        <w:t>)</w:t>
      </w:r>
      <w:r w:rsidRPr="00BB6462">
        <w:rPr>
          <w:rFonts w:hint="eastAsia"/>
        </w:rPr>
        <w:t>、</w:t>
      </w:r>
      <w:r w:rsidRPr="00BB6462">
        <w:t>Peringe Glennfelt</w:t>
      </w:r>
      <w:r w:rsidRPr="00BB6462">
        <w:rPr>
          <w:rFonts w:hint="eastAsia"/>
        </w:rPr>
        <w:t>教授</w:t>
      </w:r>
      <w:r w:rsidRPr="00BB6462">
        <w:t>(</w:t>
      </w:r>
      <w:r w:rsidRPr="00BB6462">
        <w:rPr>
          <w:rFonts w:hint="eastAsia"/>
        </w:rPr>
        <w:t>《远距离跨界空气污染公约》影响问题工作组主席</w:t>
      </w:r>
      <w:r w:rsidRPr="00BB6462">
        <w:rPr>
          <w:rFonts w:hint="eastAsia"/>
        </w:rPr>
        <w:t>)</w:t>
      </w:r>
      <w:r w:rsidRPr="00BB6462">
        <w:rPr>
          <w:rFonts w:hint="eastAsia"/>
        </w:rPr>
        <w:t>、</w:t>
      </w:r>
      <w:r w:rsidRPr="00BB6462">
        <w:t>Masa Nagai</w:t>
      </w:r>
      <w:r w:rsidRPr="00BB6462">
        <w:rPr>
          <w:rFonts w:hint="eastAsia"/>
        </w:rPr>
        <w:t>先生</w:t>
      </w:r>
      <w:r w:rsidRPr="00BB6462">
        <w:t>(</w:t>
      </w:r>
      <w:r w:rsidRPr="00BB6462">
        <w:rPr>
          <w:rFonts w:hint="eastAsia"/>
        </w:rPr>
        <w:t>环境署环境法与公约司副司长</w:t>
      </w:r>
      <w:r w:rsidRPr="00BB6462">
        <w:rPr>
          <w:rFonts w:hint="eastAsia"/>
        </w:rPr>
        <w:t>)</w:t>
      </w:r>
      <w:r w:rsidRPr="00BB6462">
        <w:rPr>
          <w:rFonts w:hint="eastAsia"/>
        </w:rPr>
        <w:t>、</w:t>
      </w:r>
      <w:r w:rsidRPr="00BB6462">
        <w:t>Christian Blondin</w:t>
      </w:r>
      <w:r w:rsidRPr="00BB6462">
        <w:rPr>
          <w:rFonts w:hint="eastAsia"/>
        </w:rPr>
        <w:t>先生</w:t>
      </w:r>
      <w:r w:rsidRPr="00BB6462">
        <w:rPr>
          <w:rFonts w:hint="eastAsia"/>
        </w:rPr>
        <w:t>(</w:t>
      </w:r>
      <w:r w:rsidRPr="00BB6462">
        <w:rPr>
          <w:rFonts w:hint="eastAsia"/>
        </w:rPr>
        <w:t>气象组织秘书长办公室主任兼对外部关系司司长</w:t>
      </w:r>
      <w:r w:rsidRPr="00BB6462">
        <w:t>)</w:t>
      </w:r>
      <w:r w:rsidRPr="00BB6462">
        <w:rPr>
          <w:rFonts w:hint="eastAsia"/>
        </w:rPr>
        <w:t>、</w:t>
      </w:r>
      <w:r w:rsidRPr="00BB6462">
        <w:t>Albena Karadjova</w:t>
      </w:r>
      <w:r w:rsidRPr="00BB6462">
        <w:rPr>
          <w:rFonts w:hint="eastAsia"/>
        </w:rPr>
        <w:t>女士</w:t>
      </w:r>
      <w:r w:rsidRPr="00BB6462">
        <w:t>(</w:t>
      </w:r>
      <w:r w:rsidRPr="00BB6462">
        <w:rPr>
          <w:rFonts w:hint="eastAsia"/>
        </w:rPr>
        <w:t>《远距离跨界空气污染公约》秘书</w:t>
      </w:r>
      <w:r w:rsidRPr="00BB6462">
        <w:t>)</w:t>
      </w:r>
      <w:r w:rsidRPr="00BB6462">
        <w:rPr>
          <w:rFonts w:hint="eastAsia"/>
        </w:rPr>
        <w:t>和</w:t>
      </w:r>
      <w:r w:rsidRPr="00BB6462">
        <w:t>Jacqueline McGlade</w:t>
      </w:r>
      <w:r w:rsidRPr="00BB6462">
        <w:rPr>
          <w:rFonts w:hint="eastAsia"/>
        </w:rPr>
        <w:t>女士</w:t>
      </w:r>
      <w:r w:rsidRPr="00BB6462">
        <w:t>(</w:t>
      </w:r>
      <w:r w:rsidRPr="00BB6462">
        <w:rPr>
          <w:rFonts w:hint="eastAsia"/>
        </w:rPr>
        <w:t>环境署早期警报与评估司首席科学家和司长</w:t>
      </w:r>
      <w:r w:rsidRPr="00BB6462">
        <w:rPr>
          <w:rFonts w:hint="eastAsia"/>
        </w:rPr>
        <w:t>)</w:t>
      </w:r>
      <w:r w:rsidRPr="00BB6462">
        <w:rPr>
          <w:rFonts w:hint="eastAsia"/>
        </w:rPr>
        <w:t>作了介绍。介绍之后进行了问答。</w:t>
      </w:r>
    </w:p>
  </w:footnote>
  <w:footnote w:id="1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见</w:t>
      </w:r>
      <w:r w:rsidRPr="00BB6462">
        <w:t>前注</w:t>
      </w:r>
      <w:r w:rsidRPr="00BB6462">
        <w:rPr>
          <w:rFonts w:hint="eastAsia"/>
        </w:rPr>
        <w:t>14</w:t>
      </w:r>
      <w:r w:rsidRPr="00BB6462">
        <w:rPr>
          <w:rFonts w:hint="eastAsia"/>
        </w:rPr>
        <w:t>中特别报告员提议的指南草案</w:t>
      </w:r>
      <w:r>
        <w:rPr>
          <w:rFonts w:hint="eastAsia"/>
        </w:rPr>
        <w:t>4</w:t>
      </w:r>
      <w:r w:rsidRPr="00BB6462">
        <w:rPr>
          <w:rFonts w:hint="eastAsia"/>
        </w:rPr>
        <w:t>案文。</w:t>
      </w:r>
    </w:p>
  </w:footnote>
  <w:footnote w:id="1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4D75FE">
        <w:rPr>
          <w:rStyle w:val="a3"/>
          <w:color w:val="0000CC"/>
          <w:szCs w:val="21"/>
        </w:rPr>
        <w:footnoteRef/>
      </w:r>
      <w:r>
        <w:rPr>
          <w:rFonts w:hint="eastAsia"/>
        </w:rPr>
        <w:tab/>
      </w:r>
      <w:r w:rsidRPr="00BB6462">
        <w:rPr>
          <w:rFonts w:hint="eastAsia"/>
        </w:rPr>
        <w:t>本段源自国际法委员会第六十五届会议工作报告（《大会正式记录，第六十五届会议，补编第</w:t>
      </w:r>
      <w:r w:rsidRPr="00BB6462">
        <w:rPr>
          <w:rFonts w:hint="eastAsia"/>
        </w:rPr>
        <w:t>10</w:t>
      </w:r>
      <w:r w:rsidRPr="00BB6462">
        <w:rPr>
          <w:rFonts w:hint="eastAsia"/>
        </w:rPr>
        <w:t>号》（</w:t>
      </w:r>
      <w:r w:rsidRPr="00BB6462">
        <w:t>A/68/10</w:t>
      </w:r>
      <w:r w:rsidRPr="00BB6462">
        <w:rPr>
          <w:rFonts w:hint="eastAsia"/>
        </w:rPr>
        <w:t>），第</w:t>
      </w:r>
      <w:r w:rsidRPr="00BB6462">
        <w:rPr>
          <w:rFonts w:hint="eastAsia"/>
        </w:rPr>
        <w:t>168</w:t>
      </w:r>
      <w:r w:rsidRPr="00BB6462">
        <w:rPr>
          <w:rFonts w:hint="eastAsia"/>
        </w:rPr>
        <w:t>段），其措辞和位置将在委员会就这一专题开展工作的后期阶段进行审订。</w:t>
      </w:r>
    </w:p>
  </w:footnote>
  <w:footnote w:id="1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将进一步审议括号之内的备选案文。</w:t>
      </w:r>
    </w:p>
  </w:footnote>
  <w:footnote w:id="1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本段源自国际法委员会第六十五届会议工作报告第</w:t>
      </w:r>
      <w:r w:rsidRPr="00BB6462">
        <w:rPr>
          <w:rFonts w:hint="eastAsia"/>
        </w:rPr>
        <w:t>168</w:t>
      </w:r>
      <w:r w:rsidRPr="00BB6462">
        <w:rPr>
          <w:rFonts w:hint="eastAsia"/>
        </w:rPr>
        <w:t>段（《大会正式记录，第六十八届会议，补编第</w:t>
      </w:r>
      <w:r w:rsidRPr="00BB6462">
        <w:rPr>
          <w:rFonts w:hint="eastAsia"/>
        </w:rPr>
        <w:t>10</w:t>
      </w:r>
      <w:r w:rsidRPr="00BB6462">
        <w:rPr>
          <w:rFonts w:hint="eastAsia"/>
        </w:rPr>
        <w:t>号》（</w:t>
      </w:r>
      <w:r w:rsidRPr="00BB6462">
        <w:t>A/68/10</w:t>
      </w:r>
      <w:r w:rsidRPr="00BB6462">
        <w:rPr>
          <w:rFonts w:hint="eastAsia"/>
        </w:rPr>
        <w:t>），第</w:t>
      </w:r>
      <w:r w:rsidRPr="00BB6462">
        <w:rPr>
          <w:rFonts w:hint="eastAsia"/>
        </w:rPr>
        <w:t>168</w:t>
      </w:r>
      <w:r w:rsidRPr="00BB6462">
        <w:rPr>
          <w:rFonts w:hint="eastAsia"/>
        </w:rPr>
        <w:t>段），其措辞和位置将在委员会就这一专题开展工作的后期阶段进行审订。</w:t>
      </w:r>
    </w:p>
  </w:footnote>
  <w:footnote w:id="2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委员会以往一般是将工作结果交给大会，不带序言草案，后者留待会员国详细拟订。然而，也有过委员会拟就此种序言的先例。例如，这样的情况有：关于消除未来无国籍状态的两项公约草案</w:t>
      </w:r>
      <w:r w:rsidRPr="00BB6462">
        <w:rPr>
          <w:rFonts w:hint="eastAsia"/>
        </w:rPr>
        <w:t>(1954</w:t>
      </w:r>
      <w:r w:rsidRPr="00BB6462">
        <w:rPr>
          <w:rFonts w:hint="eastAsia"/>
        </w:rPr>
        <w:t>年</w:t>
      </w:r>
      <w:r w:rsidRPr="00BB6462">
        <w:rPr>
          <w:rFonts w:hint="eastAsia"/>
        </w:rPr>
        <w:t>)</w:t>
      </w:r>
      <w:r w:rsidRPr="00BB6462">
        <w:rPr>
          <w:rFonts w:hint="eastAsia"/>
        </w:rPr>
        <w:t>，《</w:t>
      </w:r>
      <w:r w:rsidRPr="00BB6462">
        <w:rPr>
          <w:rFonts w:hint="eastAsia"/>
        </w:rPr>
        <w:t>1954</w:t>
      </w:r>
      <w:r w:rsidRPr="00BB6462">
        <w:rPr>
          <w:rFonts w:hint="eastAsia"/>
        </w:rPr>
        <w:t>年……年鉴》，第二卷，第</w:t>
      </w:r>
      <w:r w:rsidRPr="00BB6462">
        <w:rPr>
          <w:rFonts w:hint="eastAsia"/>
        </w:rPr>
        <w:t>25</w:t>
      </w:r>
      <w:r w:rsidRPr="00BB6462">
        <w:rPr>
          <w:rFonts w:hint="eastAsia"/>
        </w:rPr>
        <w:t>段；关于减少未来无国籍状态的公约草案</w:t>
      </w:r>
      <w:r w:rsidRPr="00BB6462">
        <w:rPr>
          <w:rFonts w:hint="eastAsia"/>
        </w:rPr>
        <w:t>(1954</w:t>
      </w:r>
      <w:r w:rsidRPr="00BB6462">
        <w:rPr>
          <w:rFonts w:hint="eastAsia"/>
        </w:rPr>
        <w:t>年</w:t>
      </w:r>
      <w:r w:rsidRPr="00BB6462">
        <w:rPr>
          <w:rFonts w:hint="eastAsia"/>
        </w:rPr>
        <w:t>)</w:t>
      </w:r>
      <w:r w:rsidRPr="00BB6462">
        <w:rPr>
          <w:rFonts w:hint="eastAsia"/>
        </w:rPr>
        <w:t>，《</w:t>
      </w:r>
      <w:r w:rsidRPr="00BB6462">
        <w:rPr>
          <w:rFonts w:hint="eastAsia"/>
        </w:rPr>
        <w:t>1954</w:t>
      </w:r>
      <w:r w:rsidRPr="00BB6462">
        <w:rPr>
          <w:rFonts w:hint="eastAsia"/>
        </w:rPr>
        <w:t>年……年鉴》，第二卷，第</w:t>
      </w:r>
      <w:r w:rsidRPr="00BB6462">
        <w:rPr>
          <w:rFonts w:hint="eastAsia"/>
        </w:rPr>
        <w:t>25</w:t>
      </w:r>
      <w:r w:rsidRPr="00BB6462">
        <w:rPr>
          <w:rFonts w:hint="eastAsia"/>
        </w:rPr>
        <w:t>段；仲裁程序示范规则</w:t>
      </w:r>
      <w:r w:rsidRPr="00BB6462">
        <w:rPr>
          <w:rFonts w:hint="eastAsia"/>
        </w:rPr>
        <w:t>(1958</w:t>
      </w:r>
      <w:r w:rsidRPr="00BB6462">
        <w:rPr>
          <w:rFonts w:hint="eastAsia"/>
        </w:rPr>
        <w:t>年</w:t>
      </w:r>
      <w:r w:rsidRPr="00BB6462">
        <w:rPr>
          <w:rFonts w:hint="eastAsia"/>
        </w:rPr>
        <w:t>)</w:t>
      </w:r>
      <w:r w:rsidRPr="00BB6462">
        <w:rPr>
          <w:rFonts w:hint="eastAsia"/>
        </w:rPr>
        <w:t>，《</w:t>
      </w:r>
      <w:r w:rsidRPr="00BB6462">
        <w:rPr>
          <w:rFonts w:hint="eastAsia"/>
        </w:rPr>
        <w:t>1958</w:t>
      </w:r>
      <w:r w:rsidRPr="00BB6462">
        <w:rPr>
          <w:rFonts w:hint="eastAsia"/>
        </w:rPr>
        <w:t>年……年鉴》，第二卷，第</w:t>
      </w:r>
      <w:r w:rsidRPr="00BB6462">
        <w:rPr>
          <w:rFonts w:hint="eastAsia"/>
        </w:rPr>
        <w:t>22</w:t>
      </w:r>
      <w:r w:rsidRPr="00BB6462">
        <w:rPr>
          <w:rFonts w:hint="eastAsia"/>
        </w:rPr>
        <w:t>段（序言反映了进行仲裁的基本规则）；国家继承涉及的自然人国籍问题条款草案</w:t>
      </w:r>
      <w:r w:rsidRPr="00BB6462">
        <w:rPr>
          <w:rFonts w:hint="eastAsia"/>
        </w:rPr>
        <w:t>(1999</w:t>
      </w:r>
      <w:r w:rsidRPr="00BB6462">
        <w:rPr>
          <w:rFonts w:hint="eastAsia"/>
        </w:rPr>
        <w:t>年</w:t>
      </w:r>
      <w:r w:rsidRPr="00BB6462">
        <w:rPr>
          <w:rFonts w:hint="eastAsia"/>
        </w:rPr>
        <w:t>)</w:t>
      </w:r>
      <w:r w:rsidRPr="00BB6462">
        <w:rPr>
          <w:rFonts w:hint="eastAsia"/>
        </w:rPr>
        <w:t>，《</w:t>
      </w:r>
      <w:r w:rsidRPr="00BB6462">
        <w:rPr>
          <w:rFonts w:hint="eastAsia"/>
        </w:rPr>
        <w:t>1999</w:t>
      </w:r>
      <w:r w:rsidRPr="00BB6462">
        <w:rPr>
          <w:rFonts w:hint="eastAsia"/>
        </w:rPr>
        <w:t>年……年鉴》，第二卷，第二部分，第</w:t>
      </w:r>
      <w:r w:rsidRPr="00BB6462">
        <w:rPr>
          <w:rFonts w:hint="eastAsia"/>
        </w:rPr>
        <w:t>47</w:t>
      </w:r>
      <w:r w:rsidRPr="00BB6462">
        <w:rPr>
          <w:rFonts w:hint="eastAsia"/>
        </w:rPr>
        <w:t>段（案文也载于</w:t>
      </w:r>
      <w:r w:rsidRPr="00BB6462">
        <w:rPr>
          <w:rFonts w:hint="eastAsia"/>
        </w:rPr>
        <w:t>2000</w:t>
      </w:r>
      <w:r w:rsidRPr="00BB6462">
        <w:rPr>
          <w:rFonts w:hint="eastAsia"/>
        </w:rPr>
        <w:t>年</w:t>
      </w:r>
      <w:r w:rsidRPr="00BB6462">
        <w:rPr>
          <w:rFonts w:hint="eastAsia"/>
        </w:rPr>
        <w:t>12</w:t>
      </w:r>
      <w:r w:rsidRPr="00BB6462">
        <w:rPr>
          <w:rFonts w:hint="eastAsia"/>
        </w:rPr>
        <w:t>月</w:t>
      </w:r>
      <w:r w:rsidRPr="00BB6462">
        <w:rPr>
          <w:rFonts w:hint="eastAsia"/>
        </w:rPr>
        <w:t>12</w:t>
      </w:r>
      <w:r w:rsidRPr="00BB6462">
        <w:rPr>
          <w:rFonts w:hint="eastAsia"/>
        </w:rPr>
        <w:t>日大会第</w:t>
      </w:r>
      <w:r w:rsidRPr="00BB6462">
        <w:rPr>
          <w:rFonts w:hint="eastAsia"/>
        </w:rPr>
        <w:t>55/153</w:t>
      </w:r>
      <w:r w:rsidRPr="00BB6462">
        <w:rPr>
          <w:rFonts w:hint="eastAsia"/>
        </w:rPr>
        <w:t>号决议附件）；关于预防危险活动造成跨界损害的条款草案</w:t>
      </w:r>
      <w:r w:rsidRPr="00BB6462">
        <w:rPr>
          <w:rFonts w:hint="eastAsia"/>
        </w:rPr>
        <w:t>(2001</w:t>
      </w:r>
      <w:r w:rsidRPr="00BB6462">
        <w:rPr>
          <w:rFonts w:hint="eastAsia"/>
        </w:rPr>
        <w:t>年</w:t>
      </w:r>
      <w:r w:rsidRPr="00BB6462">
        <w:rPr>
          <w:rFonts w:hint="eastAsia"/>
        </w:rPr>
        <w:t>)</w:t>
      </w:r>
      <w:r w:rsidRPr="00BB6462">
        <w:rPr>
          <w:rFonts w:hint="eastAsia"/>
        </w:rPr>
        <w:t>，《</w:t>
      </w:r>
      <w:r w:rsidRPr="00BB6462">
        <w:rPr>
          <w:rFonts w:hint="eastAsia"/>
        </w:rPr>
        <w:t>2001</w:t>
      </w:r>
      <w:r w:rsidRPr="00BB6462">
        <w:rPr>
          <w:rFonts w:hint="eastAsia"/>
        </w:rPr>
        <w:t>年……年鉴》，第二卷，第二部分，第</w:t>
      </w:r>
      <w:r w:rsidRPr="00BB6462">
        <w:rPr>
          <w:rFonts w:hint="eastAsia"/>
        </w:rPr>
        <w:t>97</w:t>
      </w:r>
      <w:r w:rsidRPr="00BB6462">
        <w:rPr>
          <w:rFonts w:hint="eastAsia"/>
        </w:rPr>
        <w:t>段（案文也载于</w:t>
      </w:r>
      <w:r w:rsidRPr="00BB6462">
        <w:rPr>
          <w:rFonts w:hint="eastAsia"/>
        </w:rPr>
        <w:t>2007</w:t>
      </w:r>
      <w:r w:rsidRPr="00BB6462">
        <w:rPr>
          <w:rFonts w:hint="eastAsia"/>
        </w:rPr>
        <w:t>年</w:t>
      </w:r>
      <w:r w:rsidRPr="00BB6462">
        <w:rPr>
          <w:rFonts w:hint="eastAsia"/>
        </w:rPr>
        <w:t>12</w:t>
      </w:r>
      <w:r w:rsidRPr="00BB6462">
        <w:rPr>
          <w:rFonts w:hint="eastAsia"/>
        </w:rPr>
        <w:t>月</w:t>
      </w:r>
      <w:r w:rsidRPr="00BB6462">
        <w:rPr>
          <w:rFonts w:hint="eastAsia"/>
        </w:rPr>
        <w:t>6</w:t>
      </w:r>
      <w:r w:rsidRPr="00BB6462">
        <w:rPr>
          <w:rFonts w:hint="eastAsia"/>
        </w:rPr>
        <w:t>日大会第</w:t>
      </w:r>
      <w:r w:rsidRPr="00BB6462">
        <w:rPr>
          <w:rFonts w:hint="eastAsia"/>
        </w:rPr>
        <w:t>62/68</w:t>
      </w:r>
      <w:r w:rsidRPr="00BB6462">
        <w:rPr>
          <w:rFonts w:hint="eastAsia"/>
        </w:rPr>
        <w:t>号决议附件）；适用于能够产生法律义务的国家单方面声明的指导原则</w:t>
      </w:r>
      <w:r w:rsidRPr="00BB6462">
        <w:rPr>
          <w:rFonts w:hint="eastAsia"/>
        </w:rPr>
        <w:t>(2006</w:t>
      </w:r>
      <w:r w:rsidRPr="00BB6462">
        <w:rPr>
          <w:rFonts w:hint="eastAsia"/>
        </w:rPr>
        <w:t>年</w:t>
      </w:r>
      <w:r w:rsidRPr="00BB6462">
        <w:rPr>
          <w:rFonts w:hint="eastAsia"/>
        </w:rPr>
        <w:t>)</w:t>
      </w:r>
      <w:r w:rsidRPr="00BB6462">
        <w:rPr>
          <w:rFonts w:hint="eastAsia"/>
        </w:rPr>
        <w:t>，《</w:t>
      </w:r>
      <w:r w:rsidRPr="00BB6462">
        <w:rPr>
          <w:rFonts w:hint="eastAsia"/>
        </w:rPr>
        <w:t>2006</w:t>
      </w:r>
      <w:r w:rsidRPr="00BB6462">
        <w:rPr>
          <w:rFonts w:hint="eastAsia"/>
        </w:rPr>
        <w:t>年……年鉴》，第二卷，第二部分，第</w:t>
      </w:r>
      <w:r w:rsidRPr="00BB6462">
        <w:rPr>
          <w:rFonts w:hint="eastAsia"/>
        </w:rPr>
        <w:t>176</w:t>
      </w:r>
      <w:r w:rsidRPr="00BB6462">
        <w:rPr>
          <w:rFonts w:hint="eastAsia"/>
        </w:rPr>
        <w:t>段；关于有害活动引起跨界损害时的损失分配原则草案</w:t>
      </w:r>
      <w:r w:rsidRPr="00BB6462">
        <w:rPr>
          <w:rFonts w:hint="eastAsia"/>
        </w:rPr>
        <w:t>(2006)</w:t>
      </w:r>
      <w:r w:rsidRPr="00BB6462">
        <w:rPr>
          <w:rFonts w:hint="eastAsia"/>
        </w:rPr>
        <w:t>《</w:t>
      </w:r>
      <w:r w:rsidRPr="00BB6462">
        <w:rPr>
          <w:rFonts w:hint="eastAsia"/>
        </w:rPr>
        <w:t>2006</w:t>
      </w:r>
      <w:r w:rsidRPr="00BB6462">
        <w:rPr>
          <w:rFonts w:hint="eastAsia"/>
        </w:rPr>
        <w:t>年……年鉴》，第二卷，第二部分，第</w:t>
      </w:r>
      <w:r w:rsidRPr="00BB6462">
        <w:rPr>
          <w:rFonts w:hint="eastAsia"/>
        </w:rPr>
        <w:t>66</w:t>
      </w:r>
      <w:r w:rsidRPr="00BB6462">
        <w:rPr>
          <w:rFonts w:hint="eastAsia"/>
        </w:rPr>
        <w:t>段（案文也载于</w:t>
      </w:r>
      <w:r w:rsidRPr="00BB6462">
        <w:rPr>
          <w:rFonts w:hint="eastAsia"/>
        </w:rPr>
        <w:t>2006</w:t>
      </w:r>
      <w:r w:rsidRPr="00BB6462">
        <w:rPr>
          <w:rFonts w:hint="eastAsia"/>
        </w:rPr>
        <w:t>年</w:t>
      </w:r>
      <w:r w:rsidRPr="00BB6462">
        <w:rPr>
          <w:rFonts w:hint="eastAsia"/>
        </w:rPr>
        <w:t>12</w:t>
      </w:r>
      <w:r w:rsidRPr="00BB6462">
        <w:rPr>
          <w:rFonts w:hint="eastAsia"/>
        </w:rPr>
        <w:t>月</w:t>
      </w:r>
      <w:r w:rsidRPr="00BB6462">
        <w:rPr>
          <w:rFonts w:hint="eastAsia"/>
        </w:rPr>
        <w:t>6</w:t>
      </w:r>
      <w:r w:rsidRPr="00BB6462">
        <w:rPr>
          <w:rFonts w:hint="eastAsia"/>
        </w:rPr>
        <w:t>日大会第</w:t>
      </w:r>
      <w:r w:rsidRPr="00BB6462">
        <w:rPr>
          <w:rFonts w:hint="eastAsia"/>
        </w:rPr>
        <w:t>61/36</w:t>
      </w:r>
      <w:r w:rsidRPr="00BB6462">
        <w:rPr>
          <w:rFonts w:hint="eastAsia"/>
        </w:rPr>
        <w:t>号决议附件）；跨界含水层法条款草案</w:t>
      </w:r>
      <w:r w:rsidRPr="00BB6462">
        <w:rPr>
          <w:rFonts w:hint="eastAsia"/>
        </w:rPr>
        <w:t>(2008</w:t>
      </w:r>
      <w:r w:rsidRPr="00BB6462">
        <w:rPr>
          <w:rFonts w:hint="eastAsia"/>
        </w:rPr>
        <w:t>年</w:t>
      </w:r>
      <w:r w:rsidRPr="00BB6462">
        <w:rPr>
          <w:rFonts w:hint="eastAsia"/>
        </w:rPr>
        <w:t>)</w:t>
      </w:r>
      <w:r w:rsidRPr="00BB6462">
        <w:rPr>
          <w:rFonts w:hint="eastAsia"/>
        </w:rPr>
        <w:t>，《大会正式记录，第六十三届会议，补编第</w:t>
      </w:r>
      <w:r w:rsidRPr="00BB6462">
        <w:rPr>
          <w:rFonts w:hint="eastAsia"/>
        </w:rPr>
        <w:t>10</w:t>
      </w:r>
      <w:r w:rsidRPr="00BB6462">
        <w:rPr>
          <w:rFonts w:hint="eastAsia"/>
        </w:rPr>
        <w:t>号》</w:t>
      </w:r>
      <w:r w:rsidRPr="00BB6462">
        <w:rPr>
          <w:rFonts w:hint="eastAsia"/>
        </w:rPr>
        <w:t>(A/63/10)</w:t>
      </w:r>
      <w:r w:rsidRPr="00BB6462">
        <w:rPr>
          <w:rFonts w:hint="eastAsia"/>
        </w:rPr>
        <w:t>，第</w:t>
      </w:r>
      <w:r w:rsidRPr="00BB6462">
        <w:rPr>
          <w:rFonts w:hint="eastAsia"/>
        </w:rPr>
        <w:t>53</w:t>
      </w:r>
      <w:r w:rsidRPr="00BB6462">
        <w:rPr>
          <w:rFonts w:hint="eastAsia"/>
        </w:rPr>
        <w:t>和</w:t>
      </w:r>
      <w:r w:rsidRPr="00BB6462">
        <w:rPr>
          <w:rFonts w:hint="eastAsia"/>
        </w:rPr>
        <w:t>54</w:t>
      </w:r>
      <w:r w:rsidRPr="00BB6462">
        <w:rPr>
          <w:rFonts w:hint="eastAsia"/>
        </w:rPr>
        <w:t>段。</w:t>
      </w:r>
      <w:r w:rsidRPr="00BB6462">
        <w:t xml:space="preserve"> </w:t>
      </w:r>
    </w:p>
  </w:footnote>
  <w:footnote w:id="2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原联合国自然资源委员会将“大气资源”列为“其他自然资源”，最初提及是该委员会第一届会议报告</w:t>
      </w:r>
      <w:r w:rsidRPr="00BB6462">
        <w:rPr>
          <w:rFonts w:hint="eastAsia"/>
        </w:rPr>
        <w:t>(</w:t>
      </w:r>
      <w:r w:rsidRPr="00BB6462">
        <w:rPr>
          <w:rFonts w:hint="eastAsia"/>
        </w:rPr>
        <w:t>纽约，</w:t>
      </w:r>
      <w:r w:rsidRPr="00BB6462">
        <w:rPr>
          <w:rFonts w:hint="eastAsia"/>
        </w:rPr>
        <w:t>1971</w:t>
      </w:r>
      <w:r w:rsidRPr="00BB6462">
        <w:rPr>
          <w:rFonts w:hint="eastAsia"/>
        </w:rPr>
        <w:t>年</w:t>
      </w:r>
      <w:r w:rsidRPr="00BB6462">
        <w:rPr>
          <w:rFonts w:hint="eastAsia"/>
        </w:rPr>
        <w:t>3</w:t>
      </w:r>
      <w:r w:rsidRPr="00BB6462">
        <w:rPr>
          <w:rFonts w:hint="eastAsia"/>
        </w:rPr>
        <w:t>月</w:t>
      </w:r>
      <w:r w:rsidRPr="00BB6462">
        <w:rPr>
          <w:rFonts w:hint="eastAsia"/>
        </w:rPr>
        <w:t>10</w:t>
      </w:r>
      <w:r w:rsidRPr="00BB6462">
        <w:rPr>
          <w:rFonts w:hint="eastAsia"/>
        </w:rPr>
        <w:t>日</w:t>
      </w:r>
      <w:r w:rsidRPr="00BB6462">
        <w:rPr>
          <w:rFonts w:hint="eastAsia"/>
        </w:rPr>
        <w:t>)</w:t>
      </w:r>
      <w:r w:rsidRPr="00BB6462">
        <w:rPr>
          <w:rFonts w:hint="eastAsia"/>
        </w:rPr>
        <w:t>，第</w:t>
      </w:r>
      <w:r w:rsidRPr="00BB6462">
        <w:rPr>
          <w:rFonts w:hint="eastAsia"/>
        </w:rPr>
        <w:t>4</w:t>
      </w:r>
      <w:r w:rsidRPr="00BB6462">
        <w:rPr>
          <w:rFonts w:hint="eastAsia"/>
        </w:rPr>
        <w:t>节</w:t>
      </w:r>
      <w:r w:rsidRPr="00BB6462">
        <w:rPr>
          <w:rFonts w:hint="eastAsia"/>
        </w:rPr>
        <w:t>(</w:t>
      </w:r>
      <w:r w:rsidRPr="00BB6462">
        <w:rPr>
          <w:rFonts w:hint="eastAsia"/>
        </w:rPr>
        <w:t>“其他自然资源”</w:t>
      </w:r>
      <w:r w:rsidRPr="00BB6462">
        <w:rPr>
          <w:rFonts w:hint="eastAsia"/>
        </w:rPr>
        <w:t>)</w:t>
      </w:r>
      <w:r w:rsidRPr="00BB6462">
        <w:rPr>
          <w:rFonts w:hint="eastAsia"/>
        </w:rPr>
        <w:t>，第</w:t>
      </w:r>
      <w:r w:rsidRPr="00BB6462">
        <w:rPr>
          <w:rFonts w:hint="eastAsia"/>
        </w:rPr>
        <w:t>94 (d)</w:t>
      </w:r>
      <w:r w:rsidRPr="00BB6462">
        <w:rPr>
          <w:rFonts w:hint="eastAsia"/>
        </w:rPr>
        <w:t>段。该委员会</w:t>
      </w:r>
      <w:r w:rsidRPr="00BB6462">
        <w:rPr>
          <w:rFonts w:hint="eastAsia"/>
        </w:rPr>
        <w:t>(</w:t>
      </w:r>
      <w:r w:rsidRPr="00BB6462">
        <w:rPr>
          <w:rFonts w:hint="eastAsia"/>
        </w:rPr>
        <w:t>后改名为能源和自然资源促进发展委员会</w:t>
      </w:r>
      <w:r w:rsidRPr="00BB6462">
        <w:rPr>
          <w:rFonts w:hint="eastAsia"/>
        </w:rPr>
        <w:t>)</w:t>
      </w:r>
      <w:r w:rsidRPr="00BB6462">
        <w:rPr>
          <w:rFonts w:hint="eastAsia"/>
        </w:rPr>
        <w:t>的工作以后又转给可持续发展问题委员会。</w:t>
      </w:r>
    </w:p>
  </w:footnote>
  <w:footnote w:id="2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“地球上的自然资源，包括空气……，必须为今世后代的利益，酌量情形，通过仔细的设计或管理，加以保护。”（《联合国人类环境会议宣言》，联合国文件</w:t>
      </w:r>
      <w:r w:rsidRPr="00BB6462">
        <w:rPr>
          <w:rFonts w:hint="eastAsia"/>
        </w:rPr>
        <w:t>A/CONF.48/14/Rev.1</w:t>
      </w:r>
      <w:r w:rsidRPr="00BB6462">
        <w:rPr>
          <w:rFonts w:hint="eastAsia"/>
        </w:rPr>
        <w:t>，</w:t>
      </w:r>
      <w:r w:rsidRPr="00BB6462">
        <w:rPr>
          <w:rFonts w:hint="eastAsia"/>
        </w:rPr>
        <w:t>1972</w:t>
      </w:r>
      <w:r w:rsidRPr="00BB6462">
        <w:rPr>
          <w:rFonts w:hint="eastAsia"/>
        </w:rPr>
        <w:t>年</w:t>
      </w:r>
      <w:r w:rsidRPr="00BB6462">
        <w:rPr>
          <w:rFonts w:hint="eastAsia"/>
        </w:rPr>
        <w:t>6</w:t>
      </w:r>
      <w:r w:rsidRPr="00BB6462">
        <w:rPr>
          <w:rFonts w:hint="eastAsia"/>
        </w:rPr>
        <w:t>月</w:t>
      </w:r>
      <w:r w:rsidRPr="00BB6462">
        <w:rPr>
          <w:rFonts w:hint="eastAsia"/>
        </w:rPr>
        <w:t>1</w:t>
      </w:r>
      <w:r w:rsidRPr="00BB6462">
        <w:t>6</w:t>
      </w:r>
      <w:r w:rsidRPr="00BB6462">
        <w:rPr>
          <w:rFonts w:hint="eastAsia"/>
        </w:rPr>
        <w:t>日，原则</w:t>
      </w:r>
      <w:r w:rsidRPr="00BB6462">
        <w:rPr>
          <w:rFonts w:hint="eastAsia"/>
        </w:rPr>
        <w:t>2</w:t>
      </w:r>
      <w:r w:rsidRPr="00BB6462">
        <w:rPr>
          <w:rFonts w:hint="eastAsia"/>
        </w:rPr>
        <w:t>。）</w:t>
      </w:r>
    </w:p>
  </w:footnote>
  <w:footnote w:id="2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“对人类所利用的……大气资源，应设法使其达到并维持最适宜的持续生产率”（《世界自然宪章》，</w:t>
      </w:r>
      <w:r w:rsidRPr="00BB6462">
        <w:rPr>
          <w:rFonts w:hint="eastAsia"/>
        </w:rPr>
        <w:t>1982</w:t>
      </w:r>
      <w:r w:rsidRPr="00BB6462">
        <w:rPr>
          <w:rFonts w:hint="eastAsia"/>
        </w:rPr>
        <w:t>年</w:t>
      </w:r>
      <w:r w:rsidRPr="00BB6462">
        <w:rPr>
          <w:rFonts w:hint="eastAsia"/>
        </w:rPr>
        <w:t>10</w:t>
      </w:r>
      <w:r w:rsidRPr="00BB6462">
        <w:rPr>
          <w:rFonts w:hint="eastAsia"/>
        </w:rPr>
        <w:t>月</w:t>
      </w:r>
      <w:r w:rsidRPr="00BB6462">
        <w:rPr>
          <w:rFonts w:hint="eastAsia"/>
        </w:rPr>
        <w:t>28</w:t>
      </w:r>
      <w:r w:rsidRPr="00BB6462">
        <w:rPr>
          <w:rFonts w:hint="eastAsia"/>
        </w:rPr>
        <w:t>日大会第</w:t>
      </w:r>
      <w:r w:rsidRPr="00BB6462">
        <w:rPr>
          <w:rFonts w:hint="eastAsia"/>
        </w:rPr>
        <w:t>37/7</w:t>
      </w:r>
      <w:r w:rsidRPr="00BB6462">
        <w:rPr>
          <w:rFonts w:hint="eastAsia"/>
        </w:rPr>
        <w:t>号决议，一般原则，第</w:t>
      </w:r>
      <w:r w:rsidRPr="00BB6462">
        <w:rPr>
          <w:rFonts w:hint="eastAsia"/>
        </w:rPr>
        <w:t>4</w:t>
      </w:r>
      <w:r w:rsidRPr="00BB6462">
        <w:rPr>
          <w:rFonts w:hint="eastAsia"/>
        </w:rPr>
        <w:t>段）。</w:t>
      </w:r>
    </w:p>
  </w:footnote>
  <w:footnote w:id="2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世贸组织专题小组及上诉机构在</w:t>
      </w:r>
      <w:r w:rsidRPr="00BB6462">
        <w:rPr>
          <w:rFonts w:hint="eastAsia"/>
        </w:rPr>
        <w:t>1996</w:t>
      </w:r>
      <w:r w:rsidRPr="00BB6462">
        <w:rPr>
          <w:rFonts w:hint="eastAsia"/>
        </w:rPr>
        <w:t>年汽油案中确认</w:t>
      </w:r>
      <w:r w:rsidRPr="00BB6462">
        <w:rPr>
          <w:rFonts w:hint="eastAsia"/>
          <w:spacing w:val="-4"/>
        </w:rPr>
        <w:t>，空气是“可耗尽的自然资源”。</w:t>
      </w:r>
      <w:r w:rsidRPr="00BB6462">
        <w:rPr>
          <w:rFonts w:eastAsia="华文楷体"/>
        </w:rPr>
        <w:t>美国新配方汽油和常规汽油标准案</w:t>
      </w:r>
      <w:r w:rsidRPr="00BB6462">
        <w:rPr>
          <w:rFonts w:hint="eastAsia"/>
        </w:rPr>
        <w:t>(1996</w:t>
      </w:r>
      <w:r w:rsidRPr="00BB6462">
        <w:rPr>
          <w:rFonts w:hint="eastAsia"/>
        </w:rPr>
        <w:t>年</w:t>
      </w:r>
      <w:r w:rsidRPr="00BB6462">
        <w:rPr>
          <w:rFonts w:hint="eastAsia"/>
        </w:rPr>
        <w:t xml:space="preserve">), </w:t>
      </w:r>
      <w:r w:rsidRPr="00BB6462">
        <w:t>上诉机构报告</w:t>
      </w:r>
      <w:r w:rsidRPr="00BB6462">
        <w:rPr>
          <w:rFonts w:hint="eastAsia"/>
        </w:rPr>
        <w:t>：</w:t>
      </w:r>
      <w:r w:rsidRPr="00BB6462">
        <w:rPr>
          <w:rFonts w:hint="eastAsia"/>
        </w:rPr>
        <w:t>WT/DS2/AB/R (1996)</w:t>
      </w:r>
      <w:r w:rsidRPr="00BB6462">
        <w:rPr>
          <w:rFonts w:hint="eastAsia"/>
        </w:rPr>
        <w:t>。</w:t>
      </w:r>
    </w:p>
  </w:footnote>
  <w:footnote w:id="2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4D75FE">
        <w:rPr>
          <w:rStyle w:val="a3"/>
          <w:color w:val="0000CC"/>
          <w:szCs w:val="21"/>
        </w:rPr>
        <w:tab/>
      </w:r>
      <w:r w:rsidRPr="004D75FE">
        <w:rPr>
          <w:rStyle w:val="a3"/>
          <w:color w:val="0000CC"/>
          <w:szCs w:val="21"/>
        </w:rPr>
        <w:footnoteRef/>
      </w:r>
      <w:r w:rsidRPr="004D75FE">
        <w:rPr>
          <w:rStyle w:val="a3"/>
          <w:color w:val="0000CC"/>
          <w:szCs w:val="21"/>
        </w:rPr>
        <w:tab/>
      </w:r>
      <w:r w:rsidRPr="00BB6462">
        <w:rPr>
          <w:rFonts w:hint="eastAsia"/>
        </w:rPr>
        <w:t>见</w:t>
      </w:r>
      <w:r w:rsidRPr="00BB6462">
        <w:t>2001</w:t>
      </w:r>
      <w:r w:rsidRPr="00BB6462">
        <w:rPr>
          <w:rFonts w:hint="eastAsia"/>
        </w:rPr>
        <w:t>年《</w:t>
      </w:r>
      <w:r w:rsidRPr="00BB6462">
        <w:t>关于持久性有机污染物的斯德哥尔摩公约</w:t>
      </w:r>
      <w:r w:rsidRPr="00BB6462">
        <w:rPr>
          <w:rFonts w:hint="eastAsia"/>
        </w:rPr>
        <w:t>》</w:t>
      </w:r>
      <w:r w:rsidRPr="00BB6462">
        <w:t xml:space="preserve">, </w:t>
      </w:r>
      <w:r w:rsidRPr="00BB6462">
        <w:t>联合国，《条约汇编》</w:t>
      </w:r>
      <w:r>
        <w:rPr>
          <w:rFonts w:hint="eastAsia"/>
        </w:rPr>
        <w:t>，</w:t>
      </w:r>
      <w:r w:rsidRPr="00BB6462">
        <w:rPr>
          <w:rFonts w:hint="eastAsia"/>
        </w:rPr>
        <w:t>第</w:t>
      </w:r>
      <w:r w:rsidRPr="00BB6462">
        <w:t>2256</w:t>
      </w:r>
      <w:r w:rsidRPr="00BB6462">
        <w:rPr>
          <w:rFonts w:hint="eastAsia"/>
        </w:rPr>
        <w:t>卷，第</w:t>
      </w:r>
      <w:r w:rsidRPr="00BB6462">
        <w:t>119</w:t>
      </w:r>
      <w:r w:rsidRPr="00BB6462">
        <w:rPr>
          <w:rFonts w:hint="eastAsia"/>
        </w:rPr>
        <w:t>页</w:t>
      </w:r>
      <w:r w:rsidRPr="00BB6462">
        <w:t>(</w:t>
      </w:r>
      <w:r w:rsidRPr="00BB6462">
        <w:rPr>
          <w:rFonts w:hint="eastAsia"/>
        </w:rPr>
        <w:t>在序言里指出：“</w:t>
      </w:r>
      <w:r w:rsidRPr="00BB6462">
        <w:t>持久性有机污染物</w:t>
      </w:r>
      <w:r w:rsidRPr="00BB6462">
        <w:rPr>
          <w:rFonts w:hint="eastAsia"/>
        </w:rPr>
        <w:t>……</w:t>
      </w:r>
      <w:r w:rsidRPr="00BB6462">
        <w:t>通过空气</w:t>
      </w:r>
      <w:r w:rsidRPr="00BB6462">
        <w:rPr>
          <w:rFonts w:hint="eastAsia"/>
        </w:rPr>
        <w:t>……</w:t>
      </w:r>
      <w:r w:rsidRPr="00BB6462">
        <w:t>作跨越国际边界的迁移并沉积在远离其排放地点的地区，随后在那里的陆地生态系统和水域生态系统中蓄积起来</w:t>
      </w:r>
      <w:r w:rsidRPr="00BB6462">
        <w:rPr>
          <w:rFonts w:hint="eastAsia"/>
        </w:rPr>
        <w:t>”</w:t>
      </w:r>
      <w:r w:rsidRPr="00BB6462">
        <w:t>)</w:t>
      </w:r>
      <w:r w:rsidRPr="00BB6462">
        <w:rPr>
          <w:rFonts w:hint="eastAsia"/>
        </w:rPr>
        <w:t>。《</w:t>
      </w:r>
      <w:r w:rsidRPr="00BB6462">
        <w:t>1979</w:t>
      </w:r>
      <w:r w:rsidRPr="00BB6462">
        <w:t>年远距离越境空气污染公约减少酸化、富营养化和地面臭氧哥德堡议定书</w:t>
      </w:r>
      <w:r w:rsidRPr="00BB6462">
        <w:rPr>
          <w:rFonts w:hint="eastAsia"/>
        </w:rPr>
        <w:t>》</w:t>
      </w:r>
      <w:r w:rsidRPr="00BB6462">
        <w:rPr>
          <w:rFonts w:hint="eastAsia"/>
        </w:rPr>
        <w:t>2012</w:t>
      </w:r>
      <w:r w:rsidRPr="00BB6462">
        <w:rPr>
          <w:rFonts w:hint="eastAsia"/>
        </w:rPr>
        <w:t>年修正案</w:t>
      </w:r>
      <w:r w:rsidRPr="00BB6462">
        <w:t>(</w:t>
      </w:r>
      <w:r w:rsidRPr="00BB6462">
        <w:t>联合国，《条约汇编》</w:t>
      </w:r>
      <w:r w:rsidRPr="008F1257">
        <w:rPr>
          <w:rFonts w:hint="eastAsia"/>
          <w:spacing w:val="4"/>
        </w:rPr>
        <w:t>，第</w:t>
      </w:r>
      <w:r w:rsidRPr="008F1257">
        <w:rPr>
          <w:spacing w:val="4"/>
        </w:rPr>
        <w:t>2319</w:t>
      </w:r>
      <w:r w:rsidRPr="008F1257">
        <w:rPr>
          <w:rFonts w:hint="eastAsia"/>
          <w:spacing w:val="4"/>
        </w:rPr>
        <w:t>卷，第</w:t>
      </w:r>
      <w:r w:rsidRPr="008F1257">
        <w:rPr>
          <w:spacing w:val="4"/>
        </w:rPr>
        <w:t>81</w:t>
      </w:r>
      <w:r w:rsidRPr="008F1257">
        <w:rPr>
          <w:rFonts w:hint="eastAsia"/>
          <w:spacing w:val="4"/>
        </w:rPr>
        <w:t>页</w:t>
      </w:r>
      <w:r w:rsidRPr="008F1257">
        <w:rPr>
          <w:spacing w:val="4"/>
        </w:rPr>
        <w:t>)</w:t>
      </w:r>
      <w:r w:rsidRPr="008F1257">
        <w:rPr>
          <w:rFonts w:hint="eastAsia"/>
          <w:spacing w:val="4"/>
        </w:rPr>
        <w:t>在序言第三段里指出：</w:t>
      </w:r>
      <w:r w:rsidRPr="008F1257">
        <w:rPr>
          <w:spacing w:val="4"/>
        </w:rPr>
        <w:t>“</w:t>
      </w:r>
      <w:r w:rsidRPr="008F1257">
        <w:rPr>
          <w:rFonts w:hint="eastAsia"/>
          <w:spacing w:val="4"/>
        </w:rPr>
        <w:t>关注……排放的</w:t>
      </w:r>
      <w:r w:rsidRPr="008F1257">
        <w:rPr>
          <w:spacing w:val="4"/>
        </w:rPr>
        <w:t>[</w:t>
      </w:r>
      <w:r w:rsidRPr="008F1257">
        <w:rPr>
          <w:rFonts w:hint="eastAsia"/>
          <w:spacing w:val="4"/>
        </w:rPr>
        <w:t>化学物质</w:t>
      </w:r>
      <w:r w:rsidRPr="008F1257">
        <w:rPr>
          <w:spacing w:val="4"/>
        </w:rPr>
        <w:t>]</w:t>
      </w:r>
      <w:r w:rsidRPr="008F1257">
        <w:rPr>
          <w:rFonts w:hint="eastAsia"/>
          <w:spacing w:val="4"/>
        </w:rPr>
        <w:t>在大气层里长距离输送，可产生不利的跨界影响。</w:t>
      </w:r>
      <w:r w:rsidRPr="008F1257">
        <w:rPr>
          <w:spacing w:val="4"/>
        </w:rPr>
        <w:t>”</w:t>
      </w:r>
      <w:r w:rsidRPr="008F1257">
        <w:rPr>
          <w:rFonts w:hint="eastAsia"/>
          <w:spacing w:val="4"/>
        </w:rPr>
        <w:t xml:space="preserve"> </w:t>
      </w:r>
      <w:r w:rsidRPr="008F1257">
        <w:rPr>
          <w:spacing w:val="4"/>
        </w:rPr>
        <w:t xml:space="preserve">2013 </w:t>
      </w:r>
      <w:r w:rsidRPr="008F1257">
        <w:rPr>
          <w:rFonts w:hint="eastAsia"/>
          <w:spacing w:val="4"/>
        </w:rPr>
        <w:t>年《</w:t>
      </w:r>
      <w:r w:rsidRPr="008F1257">
        <w:rPr>
          <w:spacing w:val="4"/>
        </w:rPr>
        <w:t>汞问题水俣公约</w:t>
      </w:r>
      <w:r w:rsidRPr="008F1257">
        <w:rPr>
          <w:rFonts w:hint="eastAsia"/>
          <w:spacing w:val="4"/>
        </w:rPr>
        <w:t>》</w:t>
      </w:r>
      <w:r w:rsidRPr="008F1257">
        <w:rPr>
          <w:spacing w:val="4"/>
        </w:rPr>
        <w:t>(</w:t>
      </w:r>
      <w:r w:rsidRPr="008F1257">
        <w:rPr>
          <w:rFonts w:hint="eastAsia"/>
          <w:spacing w:val="4"/>
        </w:rPr>
        <w:t>201</w:t>
      </w:r>
      <w:r w:rsidRPr="00BB6462">
        <w:rPr>
          <w:rFonts w:hint="eastAsia"/>
        </w:rPr>
        <w:t>3</w:t>
      </w:r>
      <w:r w:rsidRPr="00BB6462">
        <w:rPr>
          <w:rFonts w:hint="eastAsia"/>
        </w:rPr>
        <w:t>年</w:t>
      </w:r>
      <w:r w:rsidRPr="00BB6462">
        <w:rPr>
          <w:rFonts w:hint="eastAsia"/>
        </w:rPr>
        <w:t>10</w:t>
      </w:r>
      <w:r w:rsidRPr="00BB6462">
        <w:rPr>
          <w:rFonts w:hint="eastAsia"/>
        </w:rPr>
        <w:t>月</w:t>
      </w:r>
      <w:r w:rsidRPr="00BB6462">
        <w:rPr>
          <w:rFonts w:hint="eastAsia"/>
        </w:rPr>
        <w:t>7</w:t>
      </w:r>
      <w:r w:rsidRPr="00BB6462">
        <w:rPr>
          <w:rFonts w:hint="eastAsia"/>
        </w:rPr>
        <w:t>日至</w:t>
      </w:r>
      <w:r w:rsidRPr="00BB6462">
        <w:rPr>
          <w:rFonts w:hint="eastAsia"/>
        </w:rPr>
        <w:t>11</w:t>
      </w:r>
      <w:r w:rsidRPr="00BB6462">
        <w:rPr>
          <w:rFonts w:hint="eastAsia"/>
        </w:rPr>
        <w:t>日</w:t>
      </w:r>
      <w:r w:rsidRPr="00BB6462">
        <w:t>在日本熊本县举行的《汞问题水俣公约》全权代表会议</w:t>
      </w:r>
      <w:r w:rsidRPr="00BB6462">
        <w:rPr>
          <w:rFonts w:hint="eastAsia"/>
        </w:rPr>
        <w:t>于</w:t>
      </w:r>
      <w:r w:rsidRPr="00BB6462">
        <w:rPr>
          <w:rFonts w:hint="eastAsia"/>
        </w:rPr>
        <w:t>2013</w:t>
      </w:r>
      <w:r w:rsidRPr="00BB6462">
        <w:rPr>
          <w:rFonts w:hint="eastAsia"/>
        </w:rPr>
        <w:t>年</w:t>
      </w:r>
      <w:r w:rsidRPr="00BB6462">
        <w:t>10</w:t>
      </w:r>
      <w:r w:rsidRPr="00BB6462">
        <w:t>月</w:t>
      </w:r>
      <w:r w:rsidRPr="00BB6462">
        <w:t>10</w:t>
      </w:r>
      <w:r w:rsidRPr="00BB6462">
        <w:t>日通过</w:t>
      </w:r>
      <w:r w:rsidRPr="00BB6462">
        <w:rPr>
          <w:rFonts w:hint="eastAsia"/>
        </w:rPr>
        <w:t>，公约案文可从下述网址查阅：</w:t>
      </w:r>
      <w:r w:rsidRPr="008F1257">
        <w:rPr>
          <w:spacing w:val="6"/>
        </w:rPr>
        <w:t>https://treaties.un.org/doc/Treaties/2013/10/20131010%2011-16%20AM/</w:t>
      </w:r>
      <w:r>
        <w:rPr>
          <w:rFonts w:hint="eastAsia"/>
        </w:rPr>
        <w:t xml:space="preserve"> </w:t>
      </w:r>
      <w:r>
        <w:t>CTC-XXVII-17.pdf</w:t>
      </w:r>
      <w:r w:rsidRPr="00BB6462">
        <w:t xml:space="preserve">), </w:t>
      </w:r>
      <w:r w:rsidRPr="00BB6462">
        <w:rPr>
          <w:rFonts w:hint="eastAsia"/>
        </w:rPr>
        <w:t>承认汞因其“可在大气中作远距离迁移”，因而“此种化学品已成为全球性关注问题”</w:t>
      </w:r>
      <w:r w:rsidRPr="00BB6462">
        <w:t xml:space="preserve"> (</w:t>
      </w:r>
      <w:r w:rsidRPr="00BB6462">
        <w:rPr>
          <w:rFonts w:hint="eastAsia"/>
        </w:rPr>
        <w:t>第一序言段</w:t>
      </w:r>
      <w:r w:rsidRPr="00BB6462">
        <w:t>)</w:t>
      </w:r>
      <w:r w:rsidRPr="00BB6462">
        <w:rPr>
          <w:rFonts w:hint="eastAsia"/>
        </w:rPr>
        <w:t>；见</w:t>
      </w:r>
      <w:r w:rsidRPr="00BB6462">
        <w:t xml:space="preserve"> J. S. Fuglesvedt, K. P. Shine, T. Berntsen, J. Cook, D. S. Lee, A. Stenke, R. B. Skeie, G. J. M Velders, I.A. Waitz, “Transport impacts on atmosphere and climate: metrics,” </w:t>
      </w:r>
      <w:r w:rsidRPr="00BB6462">
        <w:rPr>
          <w:i/>
        </w:rPr>
        <w:t>Atmospheric Environment</w:t>
      </w:r>
      <w:r w:rsidRPr="00BB6462">
        <w:t xml:space="preserve">, vol. 44:37 (2010), pp. 4648–4677; D. J. Wuebbles, H. Lei and J.-T Lin, “Inter-continental transport of aerosols and photochemical oxidants from Asia and its consequences,” </w:t>
      </w:r>
      <w:r w:rsidRPr="00BB6462">
        <w:rPr>
          <w:i/>
        </w:rPr>
        <w:t>Environmental Pollution</w:t>
      </w:r>
      <w:r w:rsidRPr="00BB6462">
        <w:t xml:space="preserve">, vol. 150 (2007), pp. 65–84; J.-T Lin, X.-Z Liang and D. J. Wuebbles, “Effects of inter-continental transport on surface ozone over the United States: Present and future assessment with a global model,” </w:t>
      </w:r>
      <w:r w:rsidRPr="00BB6462">
        <w:rPr>
          <w:i/>
        </w:rPr>
        <w:t>Geophysical Research Letters</w:t>
      </w:r>
      <w:r w:rsidRPr="00BB6462">
        <w:t>, vol. 35 (2008), L02805.</w:t>
      </w:r>
    </w:p>
  </w:footnote>
  <w:footnote w:id="2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现已认定了对北极环境的多种污染威胁，诸如持久性有机污染物和汞，主要源自北极地区以外。这些污染物随北向盛行风和海洋环流移动，从北极以南的欧洲和其他大陆最终沉积在北极地区。见</w:t>
      </w:r>
      <w:r w:rsidRPr="00BB6462">
        <w:t xml:space="preserve">Timo Koivurova, Paula Kankaanpää and Adam Stepien, “Innovative Environmental Protection: Lessons from the Arctic,” </w:t>
      </w:r>
      <w:r w:rsidRPr="00BB6462">
        <w:rPr>
          <w:i/>
        </w:rPr>
        <w:t>Journal of Environmental Law</w:t>
      </w:r>
      <w:r w:rsidRPr="00BB6462">
        <w:t xml:space="preserve">, vol. 27, (2015), pp. 1–27, at p. 13; </w:t>
      </w:r>
      <w:r w:rsidRPr="00BB6462">
        <w:rPr>
          <w:rFonts w:hint="eastAsia"/>
        </w:rPr>
        <w:t>可查阅</w:t>
      </w:r>
      <w:r w:rsidRPr="00BB6462">
        <w:t>&lt;http://jel.oxfordjournals.org/content/early/015/02/13/jel.equ037.</w:t>
      </w:r>
      <w:r w:rsidRPr="00BB6462">
        <w:br/>
        <w:t>full.pdf?key</w:t>
      </w:r>
      <w:r>
        <w:t>type=ref&amp;ijkey=BjgzEgqY2lZXodu&gt;</w:t>
      </w:r>
      <w:r w:rsidRPr="00BB6462">
        <w:rPr>
          <w:rFonts w:hint="eastAsia"/>
        </w:rPr>
        <w:t>。</w:t>
      </w:r>
    </w:p>
  </w:footnote>
  <w:footnote w:id="27">
    <w:p w:rsidR="00F60D83" w:rsidRPr="0086359C" w:rsidRDefault="00F60D83" w:rsidP="003F1277">
      <w:pPr>
        <w:pStyle w:val="a5"/>
        <w:tabs>
          <w:tab w:val="clear" w:pos="418"/>
          <w:tab w:val="right" w:pos="1195"/>
          <w:tab w:val="left" w:pos="1264"/>
          <w:tab w:val="left" w:pos="1695"/>
          <w:tab w:val="left" w:pos="2126"/>
          <w:tab w:val="left" w:pos="2557"/>
        </w:tabs>
        <w:ind w:left="1264" w:right="1264" w:hanging="432"/>
        <w:rPr>
          <w:spacing w:val="-4"/>
        </w:rPr>
      </w:pPr>
      <w:r w:rsidRPr="00BB6462">
        <w:tab/>
      </w:r>
      <w:r w:rsidRPr="004D75FE">
        <w:rPr>
          <w:rStyle w:val="a3"/>
          <w:color w:val="0000CC"/>
          <w:szCs w:val="21"/>
        </w:rPr>
        <w:footnoteRef/>
      </w:r>
      <w:r w:rsidRPr="00BB6462">
        <w:tab/>
      </w:r>
      <w:r w:rsidRPr="00BB6462">
        <w:rPr>
          <w:rFonts w:hint="eastAsia"/>
        </w:rPr>
        <w:t>1992</w:t>
      </w:r>
      <w:r w:rsidRPr="00BB6462">
        <w:rPr>
          <w:rFonts w:hint="eastAsia"/>
        </w:rPr>
        <w:t>年《联合国气候变化框架公约》</w:t>
      </w:r>
      <w:r w:rsidRPr="00BB6462">
        <w:rPr>
          <w:rFonts w:hint="eastAsia"/>
        </w:rPr>
        <w:t>(</w:t>
      </w:r>
      <w:r w:rsidRPr="00BB6462">
        <w:rPr>
          <w:rFonts w:hint="eastAsia"/>
        </w:rPr>
        <w:t>《气候公约》</w:t>
      </w:r>
      <w:r w:rsidRPr="00BB6462">
        <w:rPr>
          <w:rFonts w:hint="eastAsia"/>
        </w:rPr>
        <w:t>)</w:t>
      </w:r>
      <w:r w:rsidRPr="00BB6462">
        <w:rPr>
          <w:rFonts w:hint="eastAsia"/>
        </w:rPr>
        <w:t>序言第</w:t>
      </w:r>
      <w:r w:rsidRPr="00BB6462">
        <w:rPr>
          <w:rFonts w:hint="eastAsia"/>
        </w:rPr>
        <w:t>1</w:t>
      </w:r>
      <w:r w:rsidRPr="00BB6462">
        <w:rPr>
          <w:rFonts w:hint="eastAsia"/>
        </w:rPr>
        <w:t>段，联合国，《条约汇编》，第</w:t>
      </w:r>
      <w:r w:rsidRPr="00BB6462">
        <w:rPr>
          <w:rFonts w:hint="eastAsia"/>
        </w:rPr>
        <w:t>1771</w:t>
      </w:r>
      <w:r w:rsidRPr="00BB6462">
        <w:rPr>
          <w:rFonts w:hint="eastAsia"/>
        </w:rPr>
        <w:t>卷，第</w:t>
      </w:r>
      <w:r w:rsidRPr="00BB6462">
        <w:rPr>
          <w:rFonts w:hint="eastAsia"/>
        </w:rPr>
        <w:t>107</w:t>
      </w:r>
      <w:r w:rsidRPr="00BB6462">
        <w:rPr>
          <w:rFonts w:hint="eastAsia"/>
        </w:rPr>
        <w:t>页：承认“地球气候的变化及其不利影响是人类共同关心的问题”。同样，</w:t>
      </w:r>
      <w:r w:rsidRPr="00BB6462">
        <w:rPr>
          <w:rFonts w:hint="eastAsia"/>
        </w:rPr>
        <w:t>1992</w:t>
      </w:r>
      <w:r w:rsidRPr="00BB6462">
        <w:rPr>
          <w:rFonts w:hint="eastAsia"/>
        </w:rPr>
        <w:t>年《生物多样性公约》序言部分，联合国，《条约汇编》，第</w:t>
      </w:r>
      <w:r w:rsidRPr="00BB6462">
        <w:rPr>
          <w:rFonts w:hint="eastAsia"/>
        </w:rPr>
        <w:t>1760</w:t>
      </w:r>
      <w:r w:rsidRPr="00BB6462">
        <w:rPr>
          <w:rFonts w:hint="eastAsia"/>
        </w:rPr>
        <w:t>卷，第</w:t>
      </w:r>
      <w:r w:rsidRPr="00BB6462">
        <w:rPr>
          <w:rFonts w:hint="eastAsia"/>
        </w:rPr>
        <w:t>79</w:t>
      </w:r>
      <w:r w:rsidRPr="00BB6462">
        <w:rPr>
          <w:rFonts w:hint="eastAsia"/>
        </w:rPr>
        <w:t>页，表示缔约“意识到……生物多样性对进化和保持生物圈的生命维持系统的重要性”</w:t>
      </w:r>
      <w:r w:rsidRPr="00BB6462">
        <w:rPr>
          <w:rFonts w:hint="eastAsia"/>
        </w:rPr>
        <w:t>(</w:t>
      </w:r>
      <w:r w:rsidRPr="00BB6462">
        <w:rPr>
          <w:rFonts w:hint="eastAsia"/>
        </w:rPr>
        <w:t>第</w:t>
      </w:r>
      <w:r w:rsidRPr="00BB6462">
        <w:rPr>
          <w:rFonts w:hint="eastAsia"/>
        </w:rPr>
        <w:t>2</w:t>
      </w:r>
      <w:r w:rsidRPr="00BB6462">
        <w:rPr>
          <w:rFonts w:hint="eastAsia"/>
        </w:rPr>
        <w:t>段</w:t>
      </w:r>
      <w:r w:rsidRPr="00BB6462">
        <w:rPr>
          <w:rFonts w:hint="eastAsia"/>
        </w:rPr>
        <w:t>)</w:t>
      </w:r>
      <w:r w:rsidRPr="00BB6462">
        <w:rPr>
          <w:rFonts w:hint="eastAsia"/>
        </w:rPr>
        <w:t>，并确认“生物多样性的保护是全人类的共同关切事项”</w:t>
      </w:r>
      <w:r w:rsidRPr="00BB6462">
        <w:rPr>
          <w:rFonts w:hint="eastAsia"/>
        </w:rPr>
        <w:t>(</w:t>
      </w:r>
      <w:r w:rsidRPr="00BB6462">
        <w:rPr>
          <w:rFonts w:hint="eastAsia"/>
        </w:rPr>
        <w:t>第</w:t>
      </w:r>
      <w:r w:rsidRPr="00BB6462">
        <w:rPr>
          <w:rFonts w:hint="eastAsia"/>
        </w:rPr>
        <w:t>3</w:t>
      </w:r>
      <w:r w:rsidRPr="00BB6462">
        <w:rPr>
          <w:rFonts w:hint="eastAsia"/>
        </w:rPr>
        <w:t>段</w:t>
      </w:r>
      <w:r w:rsidRPr="00BB6462">
        <w:rPr>
          <w:rFonts w:hint="eastAsia"/>
        </w:rPr>
        <w:t>)</w:t>
      </w:r>
      <w:r w:rsidRPr="00BB6462">
        <w:rPr>
          <w:rFonts w:hint="eastAsia"/>
        </w:rPr>
        <w:t>。</w:t>
      </w:r>
      <w:r w:rsidRPr="00BB6462">
        <w:rPr>
          <w:rFonts w:hint="eastAsia"/>
        </w:rPr>
        <w:t>1994</w:t>
      </w:r>
      <w:r w:rsidRPr="00BB6462">
        <w:rPr>
          <w:rFonts w:hint="eastAsia"/>
        </w:rPr>
        <w:t>年《关于在发生严重干旱和</w:t>
      </w:r>
      <w:r w:rsidRPr="00BB6462">
        <w:rPr>
          <w:rFonts w:hint="eastAsia"/>
        </w:rPr>
        <w:t>/</w:t>
      </w:r>
      <w:r w:rsidRPr="00BB6462">
        <w:rPr>
          <w:rFonts w:hint="eastAsia"/>
        </w:rPr>
        <w:t>或荒漠化的国家特别是在非洲防治荒漠化的公约》，联合国，《条约汇编》，第</w:t>
      </w:r>
      <w:r w:rsidRPr="00BB6462">
        <w:rPr>
          <w:rFonts w:hint="eastAsia"/>
        </w:rPr>
        <w:t>1954</w:t>
      </w:r>
      <w:r w:rsidRPr="00BB6462">
        <w:rPr>
          <w:rFonts w:hint="eastAsia"/>
        </w:rPr>
        <w:t>卷，第</w:t>
      </w:r>
      <w:r w:rsidRPr="00BB6462">
        <w:rPr>
          <w:rFonts w:hint="eastAsia"/>
        </w:rPr>
        <w:t>3</w:t>
      </w:r>
      <w:r w:rsidRPr="00BB6462">
        <w:rPr>
          <w:rFonts w:hint="eastAsia"/>
        </w:rPr>
        <w:t>页在序言部分采用了与类似于共同关切的词语，包括：防治荒漠化是“受关注的中心”、“国际社会迫切关注，并且“是全球范围问题”。采用与共同关心的问题类似词语的还有另一些文书，</w:t>
      </w:r>
      <w:r w:rsidRPr="00BB6462">
        <w:rPr>
          <w:rFonts w:hint="eastAsia"/>
          <w:spacing w:val="-3"/>
        </w:rPr>
        <w:t>诸如《关于汞的水俣公约》、《关于持久性有机污染物的斯德哥尔摩公约》，以及</w:t>
      </w:r>
      <w:r w:rsidRPr="00BB6462">
        <w:rPr>
          <w:rFonts w:hint="eastAsia"/>
          <w:spacing w:val="-3"/>
        </w:rPr>
        <w:t>1979</w:t>
      </w:r>
      <w:r w:rsidRPr="00BB6462">
        <w:rPr>
          <w:rFonts w:hint="eastAsia"/>
          <w:spacing w:val="-3"/>
        </w:rPr>
        <w:t>年《远距离越境空气污染公约》的哥德堡议定书。见</w:t>
      </w:r>
      <w:r w:rsidRPr="00BB6462">
        <w:t xml:space="preserve">Alan E. Boyle, “International Law and the Protection of the Global Atmosphere: Concepts, </w:t>
      </w:r>
      <w:r w:rsidRPr="0086359C">
        <w:rPr>
          <w:spacing w:val="-4"/>
        </w:rPr>
        <w:t xml:space="preserve">Categories and Principles,” Robin Churchill and David Freestone, eds., </w:t>
      </w:r>
      <w:r w:rsidRPr="0086359C">
        <w:rPr>
          <w:i/>
          <w:spacing w:val="-4"/>
        </w:rPr>
        <w:t>International Law and Global Climate Change</w:t>
      </w:r>
      <w:r w:rsidRPr="0086359C">
        <w:rPr>
          <w:spacing w:val="-4"/>
        </w:rPr>
        <w:t xml:space="preserve">, (Leiden: Kluwer Academic Publishing, 1991), pp. 11–12; Duncan French, “Common Concern, Common Heritage and Other Global(-ising) Concepts: Rhetorical Devices, Legal Principles or a Fundamental Challenge?”, p. 13; Alexander Kiss, “The Common Concern of Mankind”, </w:t>
      </w:r>
      <w:r w:rsidRPr="0086359C">
        <w:rPr>
          <w:i/>
          <w:spacing w:val="-4"/>
        </w:rPr>
        <w:t>Environmental Policy and Law</w:t>
      </w:r>
      <w:r w:rsidRPr="0086359C">
        <w:rPr>
          <w:spacing w:val="-4"/>
        </w:rPr>
        <w:t xml:space="preserve">, vol. 27, (1997), p. 246; A.A. Cançado-Trindade and D.J. Attard, “The Implication of the “Common Concern of Mankind” Concept on Global Environmental Issues”, in Toru Iwama, ed., </w:t>
      </w:r>
      <w:r w:rsidRPr="0086359C">
        <w:rPr>
          <w:i/>
          <w:spacing w:val="-4"/>
        </w:rPr>
        <w:t>Policies and Laws on Global Warming: International and Comparative Analysis</w:t>
      </w:r>
      <w:r w:rsidRPr="0086359C">
        <w:rPr>
          <w:spacing w:val="-4"/>
        </w:rPr>
        <w:t xml:space="preserve"> (Tokyo: Environmental Research Center, 1991), pp. 7–13; Jutta Brunnée, “Common Areas, Common Heritage, and Common Concern”, </w:t>
      </w:r>
      <w:r w:rsidRPr="0086359C">
        <w:rPr>
          <w:i/>
          <w:spacing w:val="-4"/>
        </w:rPr>
        <w:t>The Oxford Handbook of International Environmental Law</w:t>
      </w:r>
      <w:r w:rsidRPr="0086359C">
        <w:rPr>
          <w:spacing w:val="-4"/>
        </w:rPr>
        <w:t xml:space="preserve">, Daniel Bodansky, Jutta Brunnee and Helen Hey, eds.,(Oxford: Oxford University Press, 2007), pp. 565–566. </w:t>
      </w:r>
      <w:r w:rsidRPr="0086359C">
        <w:rPr>
          <w:rFonts w:hint="eastAsia"/>
          <w:spacing w:val="-4"/>
        </w:rPr>
        <w:t>另见</w:t>
      </w:r>
      <w:r w:rsidRPr="0086359C">
        <w:rPr>
          <w:spacing w:val="-4"/>
        </w:rPr>
        <w:t xml:space="preserve">Charlotte Kreuter-Kirchhoff, “Atmosphere, International Protection”, </w:t>
      </w:r>
      <w:r w:rsidRPr="0086359C">
        <w:rPr>
          <w:i/>
          <w:spacing w:val="-4"/>
        </w:rPr>
        <w:t>Max Planck Encyclopedia of Public International Law</w:t>
      </w:r>
      <w:r w:rsidRPr="0086359C">
        <w:rPr>
          <w:spacing w:val="-4"/>
        </w:rPr>
        <w:t>, vol. I, Rüdiger Wolfrum, ed., (Oxford: Oxford University Press, 2012), pp. 737–744 (the atmosphere as a “common concern of mankind”)</w:t>
      </w:r>
      <w:r w:rsidRPr="0086359C">
        <w:rPr>
          <w:rFonts w:hint="eastAsia"/>
          <w:spacing w:val="-4"/>
        </w:rPr>
        <w:t>。</w:t>
      </w:r>
    </w:p>
  </w:footnote>
  <w:footnote w:id="2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w:t>
      </w:r>
      <w:r w:rsidRPr="00BB6462">
        <w:rPr>
          <w:rFonts w:hint="eastAsia"/>
        </w:rPr>
        <w:t>1997</w:t>
      </w:r>
      <w:r w:rsidRPr="00BB6462">
        <w:rPr>
          <w:rFonts w:hint="eastAsia"/>
        </w:rPr>
        <w:t>年……年鉴》，第二卷，第二部分，第</w:t>
      </w:r>
      <w:r w:rsidRPr="00BB6462">
        <w:rPr>
          <w:rFonts w:hint="eastAsia"/>
        </w:rPr>
        <w:t>238</w:t>
      </w:r>
      <w:r w:rsidRPr="00BB6462">
        <w:rPr>
          <w:rFonts w:hint="eastAsia"/>
        </w:rPr>
        <w:t>段；《</w:t>
      </w:r>
      <w:r w:rsidRPr="00BB6462">
        <w:rPr>
          <w:rFonts w:hint="eastAsia"/>
        </w:rPr>
        <w:t>1998</w:t>
      </w:r>
      <w:r w:rsidRPr="00BB6462">
        <w:rPr>
          <w:rFonts w:hint="eastAsia"/>
        </w:rPr>
        <w:t>年……年鉴》，第二卷，第二部分</w:t>
      </w:r>
      <w:r w:rsidRPr="00BB6462">
        <w:rPr>
          <w:rFonts w:hint="eastAsia"/>
        </w:rPr>
        <w:t xml:space="preserve">, </w:t>
      </w:r>
      <w:r w:rsidRPr="00BB6462">
        <w:rPr>
          <w:rFonts w:hint="eastAsia"/>
        </w:rPr>
        <w:t>第</w:t>
      </w:r>
      <w:r w:rsidRPr="00BB6462">
        <w:rPr>
          <w:rFonts w:hint="eastAsia"/>
        </w:rPr>
        <w:t>553</w:t>
      </w:r>
      <w:r w:rsidRPr="00BB6462">
        <w:rPr>
          <w:rFonts w:hint="eastAsia"/>
        </w:rPr>
        <w:t>段。另见《大会正式记录，第六十九届会议，补编第</w:t>
      </w:r>
      <w:r w:rsidRPr="00BB6462">
        <w:rPr>
          <w:rFonts w:hint="eastAsia"/>
        </w:rPr>
        <w:t>10</w:t>
      </w:r>
      <w:r w:rsidRPr="00BB6462">
        <w:rPr>
          <w:rFonts w:hint="eastAsia"/>
        </w:rPr>
        <w:t>号》</w:t>
      </w:r>
      <w:r w:rsidRPr="00BB6462">
        <w:rPr>
          <w:rFonts w:hint="eastAsia"/>
        </w:rPr>
        <w:t xml:space="preserve">(A/69/10), </w:t>
      </w:r>
      <w:r w:rsidRPr="00BB6462">
        <w:rPr>
          <w:rFonts w:hint="eastAsia"/>
        </w:rPr>
        <w:t>第</w:t>
      </w:r>
      <w:r w:rsidRPr="00BB6462">
        <w:rPr>
          <w:rFonts w:hint="eastAsia"/>
        </w:rPr>
        <w:t>269</w:t>
      </w:r>
      <w:r w:rsidRPr="00BB6462">
        <w:rPr>
          <w:rFonts w:hint="eastAsia"/>
        </w:rPr>
        <w:t>段。委员会一致认为不应局限于传统专题，也可考虑反映国际法的最新发展以及国际社会紧迫关切的专题。</w:t>
      </w:r>
    </w:p>
  </w:footnote>
  <w:footnote w:id="2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另见《大会正式记录，第六十九届会议，补编第</w:t>
      </w:r>
      <w:r w:rsidRPr="00BB6462">
        <w:rPr>
          <w:rFonts w:hint="eastAsia"/>
        </w:rPr>
        <w:t>10</w:t>
      </w:r>
      <w:r w:rsidRPr="00BB6462">
        <w:rPr>
          <w:rFonts w:hint="eastAsia"/>
        </w:rPr>
        <w:t>号》</w:t>
      </w:r>
      <w:r w:rsidRPr="00BB6462">
        <w:rPr>
          <w:rFonts w:hint="eastAsia"/>
        </w:rPr>
        <w:t>(A/6</w:t>
      </w:r>
      <w:r w:rsidRPr="00BB6462">
        <w:t>8</w:t>
      </w:r>
      <w:r w:rsidRPr="00BB6462">
        <w:rPr>
          <w:rFonts w:hint="eastAsia"/>
        </w:rPr>
        <w:t>/10)</w:t>
      </w:r>
      <w:r w:rsidRPr="00BB6462">
        <w:rPr>
          <w:rFonts w:hint="eastAsia"/>
        </w:rPr>
        <w:t>，第</w:t>
      </w:r>
      <w:r w:rsidRPr="00BB6462">
        <w:rPr>
          <w:rFonts w:hint="eastAsia"/>
        </w:rPr>
        <w:t>168</w:t>
      </w:r>
      <w:r w:rsidRPr="00BB6462">
        <w:rPr>
          <w:rFonts w:hint="eastAsia"/>
        </w:rPr>
        <w:t>段。</w:t>
      </w:r>
    </w:p>
  </w:footnote>
  <w:footnote w:id="3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《第五次评估报告》，第三工作组，附件一。</w:t>
      </w:r>
      <w:r w:rsidRPr="00BB6462">
        <w:t>IPCC</w:t>
      </w:r>
      <w:r w:rsidRPr="00BB6462">
        <w:rPr>
          <w:rFonts w:hint="eastAsia"/>
        </w:rPr>
        <w:t xml:space="preserve">, Climate Change 2014, </w:t>
      </w:r>
      <w:r w:rsidRPr="00BB6462">
        <w:rPr>
          <w:rFonts w:hint="eastAsia"/>
        </w:rPr>
        <w:t>可查阅</w:t>
      </w:r>
      <w:r w:rsidRPr="00BB6462">
        <w:t>&lt;http://www.ipcc.ch/</w:t>
      </w:r>
      <w:r>
        <w:rPr>
          <w:rFonts w:hint="eastAsia"/>
        </w:rPr>
        <w:t xml:space="preserve"> </w:t>
      </w:r>
      <w:r w:rsidRPr="00BB6462">
        <w:t>pdf/assessment-report/ar5/wg3/ ipcc_wg3_ar5_annex-i.pdf&gt;</w:t>
      </w:r>
      <w:r w:rsidRPr="00BB6462">
        <w:rPr>
          <w:rFonts w:hint="eastAsia"/>
        </w:rPr>
        <w:t>。</w:t>
      </w:r>
    </w:p>
  </w:footnote>
  <w:footnote w:id="3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美国气象学会将“大气壳层”</w:t>
      </w:r>
      <w:r w:rsidRPr="00BB6462">
        <w:rPr>
          <w:rFonts w:hint="eastAsia"/>
        </w:rPr>
        <w:t>(</w:t>
      </w:r>
      <w:r w:rsidRPr="00BB6462">
        <w:rPr>
          <w:rFonts w:hint="eastAsia"/>
        </w:rPr>
        <w:t>也称为大气层或大气区</w:t>
      </w:r>
      <w:r w:rsidRPr="00BB6462">
        <w:rPr>
          <w:rFonts w:hint="eastAsia"/>
        </w:rPr>
        <w:t>)</w:t>
      </w:r>
      <w:r w:rsidRPr="00BB6462">
        <w:rPr>
          <w:rFonts w:hint="eastAsia"/>
        </w:rPr>
        <w:t>界定为“地球大气不同层级中的任何一层或‘若干层’”</w:t>
      </w:r>
      <w:r w:rsidRPr="00BB6462">
        <w:rPr>
          <w:rFonts w:hint="eastAsia"/>
        </w:rPr>
        <w:t>(</w:t>
      </w:r>
      <w:r w:rsidRPr="00BB6462">
        <w:rPr>
          <w:rFonts w:hint="eastAsia"/>
        </w:rPr>
        <w:t>可查阅</w:t>
      </w:r>
      <w:r w:rsidRPr="00BB6462">
        <w:t>&lt;http://amsglossary.allenpress.com/glossary/search?id=atmospheric-shell1&gt;</w:t>
      </w:r>
      <w:r w:rsidRPr="00BB6462">
        <w:rPr>
          <w:rFonts w:hint="eastAsia"/>
        </w:rPr>
        <w:t>)</w:t>
      </w:r>
      <w:r w:rsidRPr="00BB6462">
        <w:rPr>
          <w:rFonts w:hint="eastAsia"/>
        </w:rPr>
        <w:t>。</w:t>
      </w:r>
    </w:p>
  </w:footnote>
  <w:footnote w:id="3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从物理角度而言，约占大气层质量</w:t>
      </w:r>
      <w:r w:rsidRPr="00BB6462">
        <w:rPr>
          <w:rFonts w:hint="eastAsia"/>
        </w:rPr>
        <w:t>0.25%</w:t>
      </w:r>
      <w:r w:rsidRPr="00BB6462">
        <w:rPr>
          <w:rFonts w:hint="eastAsia"/>
        </w:rPr>
        <w:t>的水蒸气是一个变化极为频繁的成分。在大气科学中，“因为空气中水蒸气浓度的大幅度变化，所以习惯做法是列出不同成分占干燥空气的比例”。臭氧的浓度也时常变化，大气中的臭氧浓度超过</w:t>
      </w:r>
      <w:r w:rsidRPr="00BB6462">
        <w:rPr>
          <w:rFonts w:hint="eastAsia"/>
        </w:rPr>
        <w:t>0.1ppmv</w:t>
      </w:r>
      <w:r w:rsidRPr="00BB6462">
        <w:rPr>
          <w:rFonts w:hint="eastAsia"/>
        </w:rPr>
        <w:t>（按体积计算百万分率），被视为对人体有害。见</w:t>
      </w:r>
      <w:r w:rsidRPr="00BB6462">
        <w:t xml:space="preserve">John M. Wallace and Peter V. Hobbs, </w:t>
      </w:r>
      <w:r w:rsidRPr="00BB6462">
        <w:rPr>
          <w:i/>
        </w:rPr>
        <w:t>Atmospheric Science: An Introductory Survey</w:t>
      </w:r>
      <w:r w:rsidRPr="00BB6462">
        <w:t>, 2nd ed. (Boston, Elsevier Academic Press, 2006), p. 8</w:t>
      </w:r>
      <w:r w:rsidRPr="00BB6462">
        <w:rPr>
          <w:rFonts w:hint="eastAsia"/>
        </w:rPr>
        <w:t>。</w:t>
      </w:r>
    </w:p>
  </w:footnote>
  <w:footnote w:id="3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同上。</w:t>
      </w:r>
    </w:p>
  </w:footnote>
  <w:footnote w:id="3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591DCA">
        <w:rPr>
          <w:rFonts w:hint="eastAsia"/>
        </w:rPr>
        <w:t>美国气象学会对“低层大气层”的界定是：“一般粗略而言，指的是大气层中发生大多数天气现</w:t>
      </w:r>
      <w:r>
        <w:rPr>
          <w:rFonts w:hint="eastAsia"/>
          <w:spacing w:val="-2"/>
        </w:rPr>
        <w:t>象的部分</w:t>
      </w:r>
      <w:r>
        <w:rPr>
          <w:rFonts w:hint="eastAsia"/>
          <w:spacing w:val="-2"/>
        </w:rPr>
        <w:t>(</w:t>
      </w:r>
      <w:r>
        <w:rPr>
          <w:rFonts w:hint="eastAsia"/>
          <w:spacing w:val="-2"/>
        </w:rPr>
        <w:t>即对流层和平流层下部</w:t>
      </w:r>
      <w:r>
        <w:rPr>
          <w:rFonts w:hint="eastAsia"/>
          <w:spacing w:val="-2"/>
        </w:rPr>
        <w:t>)</w:t>
      </w:r>
      <w:r w:rsidRPr="00BB6462">
        <w:rPr>
          <w:rFonts w:hint="eastAsia"/>
          <w:spacing w:val="-2"/>
        </w:rPr>
        <w:t>；因而用于与高层大气层的一般含义形成对照”</w:t>
      </w:r>
      <w:r>
        <w:rPr>
          <w:rFonts w:hint="eastAsia"/>
          <w:spacing w:val="-2"/>
        </w:rPr>
        <w:t>(</w:t>
      </w:r>
      <w:r w:rsidRPr="00BB6462">
        <w:rPr>
          <w:rFonts w:hint="eastAsia"/>
          <w:spacing w:val="-2"/>
        </w:rPr>
        <w:t>可查阅</w:t>
      </w:r>
      <w:r w:rsidRPr="00BB6462">
        <w:t>&lt;http://amsglossary.allenpress.com/glossary/search?p=1&amp;query=lower+atmosphere&amp;submit=Search&gt;</w:t>
      </w:r>
      <w:r w:rsidRPr="00BB6462">
        <w:rPr>
          <w:rFonts w:hint="eastAsia"/>
          <w:spacing w:val="-2"/>
        </w:rPr>
        <w:t>)</w:t>
      </w:r>
      <w:r w:rsidRPr="00BB6462">
        <w:rPr>
          <w:rFonts w:hint="eastAsia"/>
          <w:spacing w:val="-2"/>
        </w:rPr>
        <w:t>。</w:t>
      </w:r>
      <w:r w:rsidRPr="00591DCA">
        <w:rPr>
          <w:rFonts w:hint="eastAsia"/>
          <w:spacing w:val="-10"/>
        </w:rPr>
        <w:t>美国气象学会将“高层大气层”界定为剩余部分，即“用于指对流层以上的大气层的广义概念”</w:t>
      </w:r>
      <w:r w:rsidRPr="00591DCA">
        <w:rPr>
          <w:rFonts w:hint="eastAsia"/>
          <w:spacing w:val="-10"/>
        </w:rPr>
        <w:t>(</w:t>
      </w:r>
      <w:r w:rsidRPr="00591DCA">
        <w:rPr>
          <w:rFonts w:hint="eastAsia"/>
          <w:spacing w:val="-10"/>
        </w:rPr>
        <w:t>可查阅</w:t>
      </w:r>
      <w:r w:rsidRPr="00BB6462">
        <w:t>&lt;http://amsglossary.allenpress.com/glossary/search?p=1&amp;query=upper+atmosphere&amp;submit=Search&gt;</w:t>
      </w:r>
      <w:r w:rsidRPr="00BB6462">
        <w:rPr>
          <w:rFonts w:hint="eastAsia"/>
          <w:spacing w:val="-3"/>
        </w:rPr>
        <w:t>)</w:t>
      </w:r>
      <w:r w:rsidRPr="00BB6462">
        <w:rPr>
          <w:rFonts w:hint="eastAsia"/>
          <w:spacing w:val="-3"/>
        </w:rPr>
        <w:t>。</w:t>
      </w:r>
    </w:p>
  </w:footnote>
  <w:footnote w:id="3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对流层的厚度并非在所有地方都相同；该厚度取决于海拔与季节。赤道上空对流层顶的海拔约为</w:t>
      </w:r>
      <w:r w:rsidRPr="00BB6462">
        <w:rPr>
          <w:rFonts w:hint="eastAsia"/>
        </w:rPr>
        <w:t>17</w:t>
      </w:r>
      <w:r w:rsidRPr="00BB6462">
        <w:rPr>
          <w:rFonts w:hint="eastAsia"/>
        </w:rPr>
        <w:t>千米，但这一海拔在两极低得多。平均而言，对流层外边界的高度约为</w:t>
      </w:r>
      <w:r w:rsidRPr="00BB6462">
        <w:rPr>
          <w:rFonts w:hint="eastAsia"/>
        </w:rPr>
        <w:t>12</w:t>
      </w:r>
      <w:r w:rsidRPr="00BB6462">
        <w:rPr>
          <w:rFonts w:hint="eastAsia"/>
        </w:rPr>
        <w:t>千米。见</w:t>
      </w:r>
      <w:r w:rsidRPr="00BB6462">
        <w:t xml:space="preserve">Edward J. Tarbuck, Frederick K. Lutgens and Dennis Tasa, </w:t>
      </w:r>
      <w:r w:rsidRPr="00BB6462">
        <w:rPr>
          <w:i/>
        </w:rPr>
        <w:t>Earth Science</w:t>
      </w:r>
      <w:r w:rsidRPr="00BB6462">
        <w:t>, 13th ed. (Pearson, 2011), p. 466</w:t>
      </w:r>
      <w:r w:rsidRPr="00BB6462">
        <w:rPr>
          <w:rFonts w:hint="eastAsia"/>
        </w:rPr>
        <w:t>。</w:t>
      </w:r>
    </w:p>
  </w:footnote>
  <w:footnote w:id="3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严格说，平流层的温度到</w:t>
      </w:r>
      <w:r w:rsidRPr="00BB6462">
        <w:rPr>
          <w:rFonts w:hint="eastAsia"/>
        </w:rPr>
        <w:t>20-35</w:t>
      </w:r>
      <w:r w:rsidRPr="00BB6462">
        <w:rPr>
          <w:rFonts w:hint="eastAsia"/>
        </w:rPr>
        <w:t>千米高度时都一直保持恒定，然后开始逐渐上升。</w:t>
      </w:r>
    </w:p>
  </w:footnote>
  <w:footnote w:id="3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见</w:t>
      </w:r>
      <w:r w:rsidRPr="00BB6462">
        <w:t>Tarbuck</w:t>
      </w:r>
      <w:r w:rsidRPr="00BB6462">
        <w:rPr>
          <w:rFonts w:hint="eastAsia"/>
        </w:rPr>
        <w:t>、</w:t>
      </w:r>
      <w:r w:rsidRPr="00BB6462">
        <w:t>Lutgens</w:t>
      </w:r>
      <w:r w:rsidRPr="00BB6462">
        <w:rPr>
          <w:rFonts w:hint="eastAsia"/>
        </w:rPr>
        <w:t>和</w:t>
      </w:r>
      <w:r>
        <w:t>Tasa,</w:t>
      </w:r>
      <w:r>
        <w:rPr>
          <w:rFonts w:hint="eastAsia"/>
        </w:rPr>
        <w:t xml:space="preserve"> </w:t>
      </w:r>
      <w:r w:rsidRPr="00BB6462">
        <w:rPr>
          <w:rFonts w:hint="eastAsia"/>
        </w:rPr>
        <w:t>前注</w:t>
      </w:r>
      <w:r w:rsidRPr="00BB6462">
        <w:t>35</w:t>
      </w:r>
      <w:r w:rsidRPr="00BB6462">
        <w:rPr>
          <w:rFonts w:hint="eastAsia"/>
        </w:rPr>
        <w:t>，第</w:t>
      </w:r>
      <w:r w:rsidRPr="00BB6462">
        <w:t>467</w:t>
      </w:r>
      <w:r w:rsidRPr="00BB6462">
        <w:rPr>
          <w:rFonts w:hint="eastAsia"/>
        </w:rPr>
        <w:t>页。</w:t>
      </w:r>
    </w:p>
  </w:footnote>
  <w:footnote w:id="3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eastAsia="HGMinchoE"/>
        </w:rPr>
        <w:tab/>
      </w:r>
      <w:r w:rsidRPr="004D75FE">
        <w:rPr>
          <w:rStyle w:val="a3"/>
          <w:color w:val="0000CC"/>
          <w:szCs w:val="21"/>
        </w:rPr>
        <w:footnoteRef/>
      </w:r>
      <w:r w:rsidRPr="00BB6462">
        <w:rPr>
          <w:rFonts w:eastAsia="HGMinchoE"/>
        </w:rPr>
        <w:tab/>
      </w:r>
      <w:r w:rsidRPr="00BB6462">
        <w:rPr>
          <w:rFonts w:ascii="宋体" w:hAnsi="宋体" w:cs="宋体" w:hint="eastAsia"/>
        </w:rPr>
        <w:t>见</w:t>
      </w:r>
      <w:r w:rsidRPr="00BB6462">
        <w:rPr>
          <w:rFonts w:hint="eastAsia"/>
        </w:rPr>
        <w:t>上文序言</w:t>
      </w:r>
      <w:r w:rsidRPr="00BB6462">
        <w:rPr>
          <w:rFonts w:ascii="宋体" w:hAnsi="宋体" w:cs="宋体" w:hint="eastAsia"/>
        </w:rPr>
        <w:t>评</w:t>
      </w:r>
      <w:r w:rsidRPr="00BB6462">
        <w:rPr>
          <w:rFonts w:hint="eastAsia"/>
        </w:rPr>
        <w:t>注第</w:t>
      </w:r>
      <w:r>
        <w:t>(3)</w:t>
      </w:r>
      <w:r w:rsidRPr="00BB6462">
        <w:rPr>
          <w:rFonts w:hint="eastAsia"/>
        </w:rPr>
        <w:t>段。</w:t>
      </w:r>
    </w:p>
  </w:footnote>
  <w:footnote w:id="3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fr-CH"/>
        </w:rPr>
      </w:pPr>
      <w:r w:rsidRPr="00BB6462">
        <w:tab/>
      </w:r>
      <w:r w:rsidRPr="004D75FE">
        <w:rPr>
          <w:rStyle w:val="a3"/>
          <w:color w:val="0000CC"/>
          <w:szCs w:val="21"/>
        </w:rPr>
        <w:footnoteRef/>
      </w:r>
      <w:r w:rsidRPr="00BB6462">
        <w:tab/>
      </w:r>
      <w:r w:rsidRPr="00BB6462">
        <w:rPr>
          <w:rFonts w:hint="eastAsia"/>
        </w:rPr>
        <w:t>例如，国际法学会</w:t>
      </w:r>
      <w:r w:rsidRPr="00BB6462">
        <w:rPr>
          <w:rFonts w:hint="eastAsia"/>
        </w:rPr>
        <w:t>(Institut de droit international)</w:t>
      </w:r>
      <w:r w:rsidRPr="00BB6462">
        <w:rPr>
          <w:rFonts w:hint="eastAsia"/>
        </w:rPr>
        <w:t>关于“跨界空气污染”的开罗决议</w:t>
      </w:r>
      <w:r w:rsidRPr="00BB6462">
        <w:rPr>
          <w:rFonts w:hint="eastAsia"/>
        </w:rPr>
        <w:t>(1987</w:t>
      </w:r>
      <w:r w:rsidRPr="00BB6462">
        <w:rPr>
          <w:rFonts w:hint="eastAsia"/>
        </w:rPr>
        <w:t>年</w:t>
      </w:r>
      <w:r w:rsidRPr="00BB6462">
        <w:rPr>
          <w:rFonts w:hint="eastAsia"/>
        </w:rPr>
        <w:t>)</w:t>
      </w:r>
      <w:r w:rsidRPr="00BB6462">
        <w:rPr>
          <w:rFonts w:hint="eastAsia"/>
        </w:rPr>
        <w:t>第</w:t>
      </w:r>
      <w:r w:rsidRPr="00BB6462">
        <w:rPr>
          <w:rFonts w:hint="eastAsia"/>
        </w:rPr>
        <w:t>1</w:t>
      </w:r>
      <w:r w:rsidRPr="00BB6462">
        <w:rPr>
          <w:rFonts w:hint="eastAsia"/>
        </w:rPr>
        <w:t>条第</w:t>
      </w:r>
      <w:r w:rsidRPr="00BB6462">
        <w:rPr>
          <w:rFonts w:hint="eastAsia"/>
        </w:rPr>
        <w:t>1</w:t>
      </w:r>
      <w:r w:rsidRPr="00BB6462">
        <w:rPr>
          <w:rFonts w:hint="eastAsia"/>
        </w:rPr>
        <w:t>段规定，“为本决议的目的，‘跨界污染’指因为人类的直接或间接行为或疏忽、导致大气的组成或质量发生物理、化学或生物改变、对其他国家或对一国管辖权范围以外地带的环境产生伤害性或有害影响的现象。</w:t>
      </w:r>
      <w:r w:rsidRPr="00BB6462">
        <w:rPr>
          <w:rFonts w:hint="eastAsia"/>
          <w:lang w:val="fr-CH"/>
        </w:rPr>
        <w:t>”</w:t>
      </w:r>
      <w:r w:rsidRPr="00BB6462">
        <w:rPr>
          <w:rFonts w:hint="eastAsia"/>
          <w:lang w:val="fr-CH"/>
        </w:rPr>
        <w:t>(</w:t>
      </w:r>
      <w:r w:rsidRPr="00BB6462">
        <w:rPr>
          <w:rFonts w:hint="eastAsia"/>
        </w:rPr>
        <w:t>着重号为本文所加</w:t>
      </w:r>
      <w:r w:rsidRPr="00BB6462">
        <w:rPr>
          <w:rFonts w:hint="eastAsia"/>
          <w:lang w:val="fr-CH"/>
        </w:rPr>
        <w:t>)</w:t>
      </w:r>
      <w:r w:rsidRPr="00BB6462">
        <w:rPr>
          <w:rFonts w:hint="eastAsia"/>
        </w:rPr>
        <w:t>可查阅</w:t>
      </w:r>
      <w:r w:rsidRPr="00591DCA">
        <w:rPr>
          <w:rFonts w:eastAsia="HGMinchoE"/>
          <w:lang w:val="fr-FR"/>
        </w:rPr>
        <w:t>&lt;http://www.idi-iil.org/idiE/resolutionsE/</w:t>
      </w:r>
      <w:r>
        <w:rPr>
          <w:rFonts w:eastAsiaTheme="minorEastAsia" w:hint="eastAsia"/>
          <w:lang w:val="fr-FR"/>
        </w:rPr>
        <w:t xml:space="preserve"> </w:t>
      </w:r>
      <w:r w:rsidRPr="00591DCA">
        <w:rPr>
          <w:rFonts w:eastAsia="HGMinchoE"/>
          <w:lang w:val="fr-FR"/>
        </w:rPr>
        <w:t>1987_caire_03_en.PDF&gt;</w:t>
      </w:r>
      <w:r w:rsidRPr="00BB6462">
        <w:rPr>
          <w:rFonts w:hint="eastAsia"/>
        </w:rPr>
        <w:t>。</w:t>
      </w:r>
    </w:p>
  </w:footnote>
  <w:footnote w:id="4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lang w:val="fr-CH"/>
        </w:rPr>
        <w:tab/>
      </w:r>
      <w:r w:rsidRPr="004D75FE">
        <w:rPr>
          <w:rStyle w:val="a3"/>
          <w:color w:val="0000CC"/>
          <w:szCs w:val="21"/>
        </w:rPr>
        <w:footnoteRef/>
      </w:r>
      <w:r w:rsidRPr="00BB6462">
        <w:tab/>
      </w:r>
      <w:r w:rsidRPr="00BB6462">
        <w:rPr>
          <w:rFonts w:hint="eastAsia"/>
        </w:rPr>
        <w:t>联合国，《条约汇编》，第</w:t>
      </w:r>
      <w:r w:rsidRPr="00BB6462">
        <w:rPr>
          <w:rFonts w:hint="eastAsia"/>
        </w:rPr>
        <w:t>1302</w:t>
      </w:r>
      <w:r w:rsidRPr="00BB6462">
        <w:rPr>
          <w:rFonts w:hint="eastAsia"/>
        </w:rPr>
        <w:t>卷，第</w:t>
      </w:r>
      <w:r w:rsidRPr="00BB6462">
        <w:rPr>
          <w:rFonts w:hint="eastAsia"/>
        </w:rPr>
        <w:t>217</w:t>
      </w:r>
      <w:r w:rsidRPr="00BB6462">
        <w:rPr>
          <w:rFonts w:hint="eastAsia"/>
        </w:rPr>
        <w:t>页。《跨界污染公约》第</w:t>
      </w:r>
      <w:r w:rsidRPr="00BB6462">
        <w:rPr>
          <w:rFonts w:hint="eastAsia"/>
        </w:rPr>
        <w:t>1</w:t>
      </w:r>
      <w:r w:rsidRPr="00BB6462">
        <w:rPr>
          <w:rFonts w:hint="eastAsia"/>
        </w:rPr>
        <w:t>条</w:t>
      </w:r>
      <w:r w:rsidRPr="00BB6462">
        <w:rPr>
          <w:rFonts w:hint="eastAsia"/>
        </w:rPr>
        <w:t>(a)</w:t>
      </w:r>
      <w:r w:rsidRPr="00BB6462">
        <w:rPr>
          <w:rFonts w:hint="eastAsia"/>
        </w:rPr>
        <w:t>项措词的渊源在经济合作与发展组织</w:t>
      </w:r>
      <w:r w:rsidRPr="00BB6462">
        <w:rPr>
          <w:rFonts w:hint="eastAsia"/>
        </w:rPr>
        <w:t>(</w:t>
      </w:r>
      <w:r w:rsidRPr="00BB6462">
        <w:rPr>
          <w:rFonts w:hint="eastAsia"/>
        </w:rPr>
        <w:t>经合组织</w:t>
      </w:r>
      <w:r w:rsidRPr="00BB6462">
        <w:rPr>
          <w:rFonts w:hint="eastAsia"/>
        </w:rPr>
        <w:t>)</w:t>
      </w:r>
      <w:r w:rsidRPr="00BB6462">
        <w:rPr>
          <w:rFonts w:hint="eastAsia"/>
        </w:rPr>
        <w:t>理事会关于污染的定义，载于</w:t>
      </w:r>
      <w:r w:rsidRPr="00BB6462">
        <w:rPr>
          <w:rFonts w:hint="eastAsia"/>
        </w:rPr>
        <w:t>1974</w:t>
      </w:r>
      <w:r w:rsidRPr="00BB6462">
        <w:rPr>
          <w:rFonts w:hint="eastAsia"/>
        </w:rPr>
        <w:t>年</w:t>
      </w:r>
      <w:r w:rsidRPr="00BB6462">
        <w:rPr>
          <w:rFonts w:hint="eastAsia"/>
        </w:rPr>
        <w:t>11</w:t>
      </w:r>
      <w:r w:rsidRPr="00BB6462">
        <w:rPr>
          <w:rFonts w:hint="eastAsia"/>
        </w:rPr>
        <w:t>月</w:t>
      </w:r>
      <w:r w:rsidRPr="00BB6462">
        <w:rPr>
          <w:rFonts w:hint="eastAsia"/>
        </w:rPr>
        <w:t>14</w:t>
      </w:r>
      <w:r w:rsidRPr="00BB6462">
        <w:rPr>
          <w:rFonts w:hint="eastAsia"/>
        </w:rPr>
        <w:t>日的建议</w:t>
      </w:r>
      <w:r w:rsidRPr="00BB6462">
        <w:rPr>
          <w:rFonts w:hint="eastAsia"/>
        </w:rPr>
        <w:t>C</w:t>
      </w:r>
      <w:r>
        <w:rPr>
          <w:rFonts w:hint="eastAsia"/>
        </w:rPr>
        <w:t xml:space="preserve"> </w:t>
      </w:r>
      <w:r w:rsidRPr="00BB6462">
        <w:rPr>
          <w:rFonts w:hint="eastAsia"/>
        </w:rPr>
        <w:t>(74)224</w:t>
      </w:r>
      <w:r w:rsidRPr="00BB6462">
        <w:rPr>
          <w:rFonts w:hint="eastAsia"/>
        </w:rPr>
        <w:t>“有关跨界污染的原则”</w:t>
      </w:r>
      <w:r w:rsidRPr="00BB6462">
        <w:rPr>
          <w:rFonts w:hint="eastAsia"/>
        </w:rPr>
        <w:t xml:space="preserve">(International Legal Materials, vol. 14, p. 242), </w:t>
      </w:r>
      <w:r w:rsidRPr="00BB6462">
        <w:rPr>
          <w:rFonts w:hint="eastAsia"/>
        </w:rPr>
        <w:t>行文如下“为本原则的目的，污染指由人类直接或间接将物质或能量引入环境，所致有害影响的性质包括危害人的健康、破坏生命资源和生态系统，并损害或干扰舒适度及对环境的其他合理使用”。见</w:t>
      </w:r>
      <w:r w:rsidRPr="00BB6462">
        <w:rPr>
          <w:rFonts w:hint="eastAsia"/>
        </w:rPr>
        <w:t xml:space="preserve">H. van Edig (ed.), Legal Aspects of Transfrontier Pollution (Paris: OECD, 1977), p. 13; </w:t>
      </w:r>
      <w:r w:rsidRPr="00BB6462">
        <w:rPr>
          <w:rFonts w:hint="eastAsia"/>
        </w:rPr>
        <w:t>另见</w:t>
      </w:r>
      <w:r w:rsidRPr="00BB6462">
        <w:rPr>
          <w:rFonts w:hint="eastAsia"/>
        </w:rPr>
        <w:t xml:space="preserve">Patricia Birnie, Alan Boyle, Catherine Redgwell, International Law and the Environment (Oxford: Oxford University Press, 2009), pp. 188-189; A. Kiss and D. Shelton, International Environmental Law (London: Graham &amp; Trotman, 1991), </w:t>
      </w:r>
      <w:r w:rsidRPr="00BB6462">
        <w:rPr>
          <w:rFonts w:hint="eastAsia"/>
        </w:rPr>
        <w:t>第</w:t>
      </w:r>
      <w:r w:rsidRPr="00BB6462">
        <w:rPr>
          <w:rFonts w:hint="eastAsia"/>
        </w:rPr>
        <w:t>117</w:t>
      </w:r>
      <w:r w:rsidRPr="00BB6462">
        <w:rPr>
          <w:rFonts w:hint="eastAsia"/>
        </w:rPr>
        <w:t>页</w:t>
      </w:r>
      <w:r w:rsidRPr="00BB6462">
        <w:rPr>
          <w:rFonts w:hint="eastAsia"/>
        </w:rPr>
        <w:t>(</w:t>
      </w:r>
      <w:r w:rsidRPr="00BB6462">
        <w:rPr>
          <w:rFonts w:hint="eastAsia"/>
        </w:rPr>
        <w:t>污染的定义</w:t>
      </w:r>
      <w:r w:rsidRPr="00BB6462">
        <w:rPr>
          <w:rFonts w:hint="eastAsia"/>
        </w:rPr>
        <w:t>:</w:t>
      </w:r>
      <w:r w:rsidRPr="00BB6462">
        <w:rPr>
          <w:rFonts w:hint="eastAsia"/>
        </w:rPr>
        <w:t>“还包括各种能量形式，诸如噪音、振动、热、辐射”</w:t>
      </w:r>
      <w:r w:rsidRPr="00BB6462">
        <w:rPr>
          <w:rFonts w:hint="eastAsia"/>
        </w:rPr>
        <w:t>)</w:t>
      </w:r>
      <w:r w:rsidRPr="00BB6462">
        <w:rPr>
          <w:rFonts w:hint="eastAsia"/>
        </w:rPr>
        <w:t>。</w:t>
      </w:r>
    </w:p>
  </w:footnote>
  <w:footnote w:id="4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联合国，《条约汇编》，第</w:t>
      </w:r>
      <w:r w:rsidRPr="00BB6462">
        <w:rPr>
          <w:rFonts w:hint="eastAsia"/>
        </w:rPr>
        <w:t>1833</w:t>
      </w:r>
      <w:r w:rsidRPr="00BB6462">
        <w:rPr>
          <w:rFonts w:hint="eastAsia"/>
        </w:rPr>
        <w:t>卷，第</w:t>
      </w:r>
      <w:r w:rsidRPr="00BB6462">
        <w:rPr>
          <w:rFonts w:hint="eastAsia"/>
        </w:rPr>
        <w:t>3</w:t>
      </w:r>
      <w:r w:rsidRPr="00BB6462">
        <w:rPr>
          <w:rFonts w:hint="eastAsia"/>
        </w:rPr>
        <w:t>页。</w:t>
      </w:r>
    </w:p>
  </w:footnote>
  <w:footnote w:id="4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《海洋法公约》第</w:t>
      </w:r>
      <w:r w:rsidRPr="00BB6462">
        <w:t>二一二</w:t>
      </w:r>
      <w:r w:rsidRPr="00BB6462">
        <w:rPr>
          <w:rFonts w:hint="eastAsia"/>
        </w:rPr>
        <w:t>条规定了一项防止空气带来的海洋污染的义务，在这个意义上，该公约关于“污染”的定义具有对于大气污染的相关性。</w:t>
      </w:r>
    </w:p>
  </w:footnote>
  <w:footnote w:id="4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关于热，见</w:t>
      </w:r>
      <w:r w:rsidRPr="00BB6462">
        <w:rPr>
          <w:rFonts w:hint="eastAsia"/>
        </w:rPr>
        <w:t xml:space="preserve">WMO/IGAC Report: Impact of Megacities on Air Pollution and Climate, GAW Report No. 205, WMO, (September 2012); David Simon and Hayley Leck, </w:t>
      </w:r>
      <w:r w:rsidRPr="00BB6462">
        <w:rPr>
          <w:rFonts w:hint="eastAsia"/>
        </w:rPr>
        <w:t>“</w:t>
      </w:r>
      <w:r w:rsidRPr="00BB6462">
        <w:rPr>
          <w:rFonts w:hint="eastAsia"/>
        </w:rPr>
        <w:t>Urban Adaptation to Climate/Environmental Change: Governance, Policy and Planning</w:t>
      </w:r>
      <w:r w:rsidRPr="00BB6462">
        <w:rPr>
          <w:rFonts w:hint="eastAsia"/>
        </w:rPr>
        <w:t>”</w:t>
      </w:r>
      <w:r w:rsidRPr="00BB6462">
        <w:rPr>
          <w:rFonts w:hint="eastAsia"/>
        </w:rPr>
        <w:t>. Special Issue, Urban Clima</w:t>
      </w:r>
      <w:r w:rsidRPr="00BB6462">
        <w:t>te, vol. 7, (2014) pp 1-134; John A. Arnfield, "Two decades of urban climate research: a review of turbulence, exchanges of energy and water, and the urban heat island," International Journal of Climatology, vol. 23, pp.1–26; Lisa Gartland, Heat Islands: U</w:t>
      </w:r>
      <w:r w:rsidRPr="00BB6462">
        <w:rPr>
          <w:rFonts w:hint="eastAsia"/>
        </w:rPr>
        <w:t xml:space="preserve">nderstanding and Mitigating Heat in Urban Areas, (London: Earthscan. 2008); </w:t>
      </w:r>
      <w:r w:rsidRPr="00BB6462">
        <w:rPr>
          <w:rFonts w:hint="eastAsia"/>
        </w:rPr>
        <w:t>一般参看：</w:t>
      </w:r>
      <w:r w:rsidRPr="00BB6462">
        <w:rPr>
          <w:rFonts w:hint="eastAsia"/>
        </w:rPr>
        <w:t>Brian Stone Jr., The City and the Changing Climate: Climate Change in the Places We Live, (Cambridge, MA: Cambridge University Press, 2012)</w:t>
      </w:r>
      <w:r w:rsidRPr="00BB6462">
        <w:rPr>
          <w:rFonts w:hint="eastAsia"/>
        </w:rPr>
        <w:t>。关于光污染，见</w:t>
      </w:r>
      <w:r w:rsidRPr="00BB6462">
        <w:rPr>
          <w:rFonts w:hint="eastAsia"/>
        </w:rPr>
        <w:t>Catherine Rich and Travis L</w:t>
      </w:r>
      <w:r w:rsidRPr="00BB6462">
        <w:t>ongcore, eds., Ecological Consequences of Artificial Night Lighting, (Washington DC: Island Press, 2006); Pierantonio Cinzano and Fabio Falchi, “The propagation of light pollution in the atmosphere”, Monthly Notices of the Royal Astronomic Society, vol. 42</w:t>
      </w:r>
      <w:r w:rsidRPr="00BB6462">
        <w:rPr>
          <w:rFonts w:hint="eastAsia"/>
        </w:rPr>
        <w:t xml:space="preserve">7 (2012), pp. 3337-3357; Fereshteh Bashiri and Che Rosmani Che Hassan, </w:t>
      </w:r>
      <w:r w:rsidRPr="00BB6462">
        <w:rPr>
          <w:rFonts w:hint="eastAsia"/>
        </w:rPr>
        <w:t>“</w:t>
      </w:r>
      <w:r w:rsidRPr="00BB6462">
        <w:rPr>
          <w:rFonts w:hint="eastAsia"/>
        </w:rPr>
        <w:t>Light pollution and its effects on the environment</w:t>
      </w:r>
      <w:r w:rsidRPr="00BB6462">
        <w:rPr>
          <w:rFonts w:hint="eastAsia"/>
        </w:rPr>
        <w:t>”</w:t>
      </w:r>
      <w:r w:rsidRPr="00BB6462">
        <w:rPr>
          <w:rFonts w:hint="eastAsia"/>
        </w:rPr>
        <w:t>, International Journal of Fundamental Physical Sciences, vol. 4 (2014), pp. 8-12</w:t>
      </w:r>
      <w:r w:rsidRPr="00BB6462">
        <w:rPr>
          <w:rFonts w:hint="eastAsia"/>
        </w:rPr>
        <w:t>。关于声</w:t>
      </w:r>
      <w:r w:rsidRPr="00BB6462">
        <w:rPr>
          <w:rFonts w:hint="eastAsia"/>
        </w:rPr>
        <w:t>/</w:t>
      </w:r>
      <w:r w:rsidRPr="00BB6462">
        <w:rPr>
          <w:rFonts w:hint="eastAsia"/>
        </w:rPr>
        <w:t>噪音污染，可参看：</w:t>
      </w:r>
      <w:r w:rsidRPr="00BB6462">
        <w:rPr>
          <w:rFonts w:hint="eastAsia"/>
        </w:rPr>
        <w:t>1944</w:t>
      </w:r>
      <w:r w:rsidRPr="00BB6462">
        <w:rPr>
          <w:rFonts w:hint="eastAsia"/>
        </w:rPr>
        <w:t>年《关于国际民用航空公约》附件</w:t>
      </w:r>
      <w:r w:rsidRPr="00BB6462">
        <w:rPr>
          <w:rFonts w:hint="eastAsia"/>
        </w:rPr>
        <w:t>16 (</w:t>
      </w:r>
      <w:r w:rsidRPr="00BB6462">
        <w:rPr>
          <w:rFonts w:hint="eastAsia"/>
        </w:rPr>
        <w:t>联合国，《条约汇编》，第</w:t>
      </w:r>
      <w:r w:rsidRPr="00BB6462">
        <w:rPr>
          <w:rFonts w:hint="eastAsia"/>
        </w:rPr>
        <w:t>15</w:t>
      </w:r>
      <w:r w:rsidRPr="00BB6462">
        <w:rPr>
          <w:rFonts w:hint="eastAsia"/>
        </w:rPr>
        <w:t>卷，第</w:t>
      </w:r>
      <w:r w:rsidRPr="00BB6462">
        <w:rPr>
          <w:rFonts w:hint="eastAsia"/>
        </w:rPr>
        <w:t>295</w:t>
      </w:r>
      <w:r w:rsidRPr="00BB6462">
        <w:rPr>
          <w:rFonts w:hint="eastAsia"/>
        </w:rPr>
        <w:t>页</w:t>
      </w:r>
      <w:r w:rsidRPr="00BB6462">
        <w:rPr>
          <w:rFonts w:hint="eastAsia"/>
        </w:rPr>
        <w:t>)</w:t>
      </w:r>
      <w:r w:rsidRPr="00BB6462">
        <w:rPr>
          <w:rFonts w:hint="eastAsia"/>
        </w:rPr>
        <w:t>，第一卷：航空器噪声，第</w:t>
      </w:r>
      <w:r w:rsidRPr="00BB6462">
        <w:rPr>
          <w:rFonts w:hint="eastAsia"/>
        </w:rPr>
        <w:t>5</w:t>
      </w:r>
      <w:r w:rsidRPr="00BB6462">
        <w:rPr>
          <w:rFonts w:hint="eastAsia"/>
        </w:rPr>
        <w:t>编辑版，</w:t>
      </w:r>
      <w:r w:rsidRPr="00BB6462">
        <w:rPr>
          <w:rFonts w:hint="eastAsia"/>
        </w:rPr>
        <w:t>2008</w:t>
      </w:r>
      <w:r w:rsidRPr="00BB6462">
        <w:rPr>
          <w:rFonts w:hint="eastAsia"/>
        </w:rPr>
        <w:t>；见</w:t>
      </w:r>
      <w:r w:rsidRPr="00BB6462">
        <w:rPr>
          <w:rFonts w:hint="eastAsia"/>
        </w:rPr>
        <w:t>P. Davies and J. Goh,</w:t>
      </w:r>
      <w:r w:rsidRPr="00BB6462">
        <w:rPr>
          <w:rFonts w:hint="eastAsia"/>
        </w:rPr>
        <w:t>“</w:t>
      </w:r>
      <w:r w:rsidRPr="00BB6462">
        <w:rPr>
          <w:rFonts w:hint="eastAsia"/>
        </w:rPr>
        <w:t>Air Transport and the Environment: Regulating Aircraft Noise</w:t>
      </w:r>
      <w:r w:rsidRPr="00BB6462">
        <w:rPr>
          <w:rFonts w:hint="eastAsia"/>
        </w:rPr>
        <w:t>”</w:t>
      </w:r>
      <w:r w:rsidRPr="00BB6462">
        <w:rPr>
          <w:rFonts w:hint="eastAsia"/>
        </w:rPr>
        <w:t>, Air and Space Law, vol. 18 (1993), pp. 123-135</w:t>
      </w:r>
      <w:r w:rsidRPr="00BB6462">
        <w:rPr>
          <w:rFonts w:hint="eastAsia"/>
        </w:rPr>
        <w:t>。关于放射性排放，见</w:t>
      </w:r>
      <w:r w:rsidRPr="00BB6462">
        <w:rPr>
          <w:rFonts w:hint="eastAsia"/>
        </w:rPr>
        <w:t>Dietrich Rauschning,</w:t>
      </w:r>
      <w:r w:rsidRPr="00BB6462">
        <w:rPr>
          <w:rFonts w:hint="eastAsia"/>
        </w:rPr>
        <w:t>“</w:t>
      </w:r>
      <w:r w:rsidRPr="00BB6462">
        <w:rPr>
          <w:rFonts w:hint="eastAsia"/>
        </w:rPr>
        <w:t>Legal Problems of Continuous and Instantaneous Long-Distance Air Pollution: Interim Report,</w:t>
      </w:r>
      <w:r w:rsidRPr="00BB6462">
        <w:rPr>
          <w:rFonts w:hint="eastAsia"/>
        </w:rPr>
        <w:t>”</w:t>
      </w:r>
      <w:r w:rsidRPr="00BB6462">
        <w:rPr>
          <w:rFonts w:hint="eastAsia"/>
        </w:rPr>
        <w:t>Report of the Sixty-Second Conference of the International Law Association (Seoul,</w:t>
      </w:r>
      <w:r w:rsidRPr="00BB6462">
        <w:t xml:space="preserve"> 1986), pp. 198-223, at 219; and IAEA, Environmental Consequences of the Chernobyl Accident and their Remediation: Twenty Years of Experience., Report of the Chernobyl Forum Expert Group ‘Environment’ (Radiological Assessment Report Series), IAEA, April 20</w:t>
      </w:r>
      <w:r w:rsidRPr="00BB6462">
        <w:rPr>
          <w:rFonts w:hint="eastAsia"/>
        </w:rPr>
        <w:t>06, STI/PUB/1239</w:t>
      </w:r>
      <w:r w:rsidRPr="00BB6462">
        <w:rPr>
          <w:rFonts w:hint="eastAsia"/>
        </w:rPr>
        <w:t>；另见联合国原子辐射影响问题科学委员会</w:t>
      </w:r>
      <w:r w:rsidRPr="00BB6462">
        <w:rPr>
          <w:rFonts w:hint="eastAsia"/>
        </w:rPr>
        <w:t>2013</w:t>
      </w:r>
      <w:r w:rsidRPr="00BB6462">
        <w:rPr>
          <w:rFonts w:hint="eastAsia"/>
        </w:rPr>
        <w:t>年提交大会的报告，科学附件</w:t>
      </w:r>
      <w:r w:rsidRPr="00BB6462">
        <w:rPr>
          <w:rFonts w:hint="eastAsia"/>
        </w:rPr>
        <w:t>A</w:t>
      </w:r>
      <w:r w:rsidRPr="00BB6462">
        <w:rPr>
          <w:rFonts w:hint="eastAsia"/>
        </w:rPr>
        <w:t>：</w:t>
      </w:r>
      <w:r w:rsidRPr="00BB6462">
        <w:rPr>
          <w:rFonts w:hint="eastAsia"/>
        </w:rPr>
        <w:t>2011</w:t>
      </w:r>
      <w:r w:rsidRPr="00BB6462">
        <w:rPr>
          <w:rFonts w:hint="eastAsia"/>
        </w:rPr>
        <w:t>年日本东部大地震和海啸后核事故所致的辐射照射水平和影响，</w:t>
      </w:r>
      <w:r w:rsidRPr="00BB6462">
        <w:rPr>
          <w:rFonts w:hint="eastAsia"/>
        </w:rPr>
        <w:t>2014</w:t>
      </w:r>
      <w:r w:rsidRPr="00BB6462">
        <w:rPr>
          <w:rFonts w:hint="eastAsia"/>
        </w:rPr>
        <w:t>年，联合国出版物，出售品编号</w:t>
      </w:r>
      <w:r w:rsidRPr="00BB6462">
        <w:rPr>
          <w:rFonts w:hint="eastAsia"/>
        </w:rPr>
        <w:t>E14.IX.1</w:t>
      </w:r>
      <w:r w:rsidRPr="00BB6462">
        <w:rPr>
          <w:rFonts w:hint="eastAsia"/>
        </w:rPr>
        <w:t>，可查阅</w:t>
      </w:r>
      <w:r w:rsidRPr="00BB6462">
        <w:t>&lt;</w:t>
      </w:r>
      <w:r w:rsidRPr="00BB6462">
        <w:rPr>
          <w:rFonts w:hint="eastAsia"/>
        </w:rPr>
        <w:t>http://www.unscear.org/docs/reports/2013/13-85418_Report_2013_Annex.A.pdf</w:t>
      </w:r>
      <w:r w:rsidRPr="00BB6462">
        <w:t>&gt;</w:t>
      </w:r>
      <w:r w:rsidRPr="00BB6462">
        <w:rPr>
          <w:rFonts w:hint="eastAsia"/>
        </w:rPr>
        <w:t>。在尤其涉及气候变化问题时，这并不妨碍核能的和平利用</w:t>
      </w:r>
      <w:r w:rsidRPr="00BB6462">
        <w:t>(</w:t>
      </w:r>
      <w:r w:rsidRPr="00BB6462">
        <w:rPr>
          <w:rFonts w:hint="eastAsia"/>
        </w:rPr>
        <w:t>见</w:t>
      </w:r>
      <w:r w:rsidRPr="00BB6462">
        <w:rPr>
          <w:i/>
        </w:rPr>
        <w:t>Climate Change and Nuclear Power</w:t>
      </w:r>
      <w:r w:rsidRPr="00BB6462">
        <w:t xml:space="preserve">, IAEA (2014), </w:t>
      </w:r>
      <w:r w:rsidRPr="00BB6462">
        <w:rPr>
          <w:rFonts w:hint="eastAsia"/>
        </w:rPr>
        <w:t>第</w:t>
      </w:r>
      <w:r w:rsidRPr="00BB6462">
        <w:t>7</w:t>
      </w:r>
      <w:r w:rsidRPr="00BB6462">
        <w:rPr>
          <w:rFonts w:hint="eastAsia"/>
        </w:rPr>
        <w:t>页</w:t>
      </w:r>
      <w:r w:rsidRPr="00BB6462">
        <w:t>)</w:t>
      </w:r>
      <w:r w:rsidRPr="00BB6462">
        <w:rPr>
          <w:rFonts w:hint="eastAsia"/>
        </w:rPr>
        <w:t>。</w:t>
      </w:r>
    </w:p>
  </w:footnote>
  <w:footnote w:id="4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联合国，《条约汇编》，第</w:t>
      </w:r>
      <w:r w:rsidRPr="00BB6462">
        <w:rPr>
          <w:rFonts w:hint="eastAsia"/>
        </w:rPr>
        <w:t>1513</w:t>
      </w:r>
      <w:r w:rsidRPr="00BB6462">
        <w:rPr>
          <w:rFonts w:hint="eastAsia"/>
        </w:rPr>
        <w:t>卷</w:t>
      </w:r>
      <w:r w:rsidRPr="00BB6462">
        <w:rPr>
          <w:rFonts w:hint="eastAsia"/>
        </w:rPr>
        <w:t xml:space="preserve">, </w:t>
      </w:r>
      <w:r w:rsidRPr="00BB6462">
        <w:rPr>
          <w:rFonts w:hint="eastAsia"/>
        </w:rPr>
        <w:t>第</w:t>
      </w:r>
      <w:r w:rsidRPr="00BB6462">
        <w:rPr>
          <w:rFonts w:hint="eastAsia"/>
        </w:rPr>
        <w:t>293</w:t>
      </w:r>
      <w:r w:rsidRPr="00BB6462">
        <w:rPr>
          <w:rFonts w:hint="eastAsia"/>
        </w:rPr>
        <w:t>页。</w:t>
      </w:r>
    </w:p>
  </w:footnote>
  <w:footnote w:id="4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例如，见《国际水道非航行使用法公约》</w:t>
      </w:r>
      <w:r w:rsidRPr="00BB6462">
        <w:rPr>
          <w:rFonts w:hint="eastAsia"/>
        </w:rPr>
        <w:t>(1997</w:t>
      </w:r>
      <w:r w:rsidRPr="00BB6462">
        <w:rPr>
          <w:rFonts w:hint="eastAsia"/>
        </w:rPr>
        <w:t>年</w:t>
      </w:r>
      <w:r w:rsidRPr="00BB6462">
        <w:rPr>
          <w:rFonts w:hint="eastAsia"/>
        </w:rPr>
        <w:t>)</w:t>
      </w:r>
      <w:r w:rsidRPr="00BB6462">
        <w:rPr>
          <w:rFonts w:hint="eastAsia"/>
        </w:rPr>
        <w:t>第</w:t>
      </w:r>
      <w:r w:rsidRPr="00BB6462">
        <w:rPr>
          <w:rFonts w:hint="eastAsia"/>
        </w:rPr>
        <w:t>7</w:t>
      </w:r>
      <w:r w:rsidRPr="00BB6462">
        <w:rPr>
          <w:rFonts w:hint="eastAsia"/>
        </w:rPr>
        <w:t>条；关于预防跨界损害的条款草案</w:t>
      </w:r>
      <w:r w:rsidRPr="00BB6462">
        <w:rPr>
          <w:rFonts w:hint="eastAsia"/>
        </w:rPr>
        <w:t>(2001</w:t>
      </w:r>
      <w:r w:rsidRPr="00BB6462">
        <w:rPr>
          <w:rFonts w:hint="eastAsia"/>
        </w:rPr>
        <w:t>年</w:t>
      </w:r>
      <w:r w:rsidRPr="00BB6462">
        <w:rPr>
          <w:rFonts w:hint="eastAsia"/>
        </w:rPr>
        <w:t>)</w:t>
      </w:r>
      <w:r w:rsidRPr="00BB6462">
        <w:rPr>
          <w:rFonts w:hint="eastAsia"/>
        </w:rPr>
        <w:t>第</w:t>
      </w:r>
      <w:r w:rsidRPr="00BB6462">
        <w:rPr>
          <w:rFonts w:hint="eastAsia"/>
        </w:rPr>
        <w:t>1</w:t>
      </w:r>
      <w:r w:rsidRPr="00BB6462">
        <w:rPr>
          <w:rFonts w:hint="eastAsia"/>
        </w:rPr>
        <w:t>条</w:t>
      </w:r>
      <w:r w:rsidRPr="00BB6462">
        <w:rPr>
          <w:rFonts w:hint="eastAsia"/>
        </w:rPr>
        <w:t>(</w:t>
      </w:r>
      <w:r w:rsidRPr="00BB6462">
        <w:rPr>
          <w:rFonts w:hint="eastAsia"/>
        </w:rPr>
        <w:t>大会第</w:t>
      </w:r>
      <w:r w:rsidRPr="00BB6462">
        <w:rPr>
          <w:rFonts w:hint="eastAsia"/>
        </w:rPr>
        <w:t>62/68</w:t>
      </w:r>
      <w:r w:rsidRPr="00BB6462">
        <w:rPr>
          <w:rFonts w:hint="eastAsia"/>
        </w:rPr>
        <w:t>号决议，附件</w:t>
      </w:r>
      <w:r w:rsidRPr="00BB6462">
        <w:rPr>
          <w:rFonts w:hint="eastAsia"/>
        </w:rPr>
        <w:t>)</w:t>
      </w:r>
      <w:r w:rsidRPr="00BB6462">
        <w:rPr>
          <w:rFonts w:hint="eastAsia"/>
        </w:rPr>
        <w:t>；关于有害活动引起跨界损害时的损失分配原则草案</w:t>
      </w:r>
      <w:r w:rsidRPr="00BB6462">
        <w:rPr>
          <w:rFonts w:hint="eastAsia"/>
        </w:rPr>
        <w:t>(2006</w:t>
      </w:r>
      <w:r w:rsidRPr="00BB6462">
        <w:rPr>
          <w:rFonts w:hint="eastAsia"/>
        </w:rPr>
        <w:t>年</w:t>
      </w:r>
      <w:r w:rsidRPr="00BB6462">
        <w:rPr>
          <w:rFonts w:hint="eastAsia"/>
        </w:rPr>
        <w:t>)</w:t>
      </w:r>
      <w:r w:rsidRPr="00BB6462">
        <w:rPr>
          <w:rFonts w:hint="eastAsia"/>
        </w:rPr>
        <w:t>原则草案</w:t>
      </w:r>
      <w:r w:rsidRPr="00BB6462">
        <w:rPr>
          <w:rFonts w:hint="eastAsia"/>
        </w:rPr>
        <w:t>2(</w:t>
      </w:r>
      <w:r w:rsidRPr="00BB6462">
        <w:rPr>
          <w:rFonts w:hint="eastAsia"/>
        </w:rPr>
        <w:t>大会第</w:t>
      </w:r>
      <w:r w:rsidRPr="00BB6462">
        <w:rPr>
          <w:rFonts w:hint="eastAsia"/>
        </w:rPr>
        <w:t>61/36</w:t>
      </w:r>
      <w:r w:rsidRPr="00BB6462">
        <w:rPr>
          <w:rFonts w:hint="eastAsia"/>
        </w:rPr>
        <w:t>号决议，附件</w:t>
      </w:r>
      <w:r w:rsidRPr="00BB6462">
        <w:rPr>
          <w:rFonts w:hint="eastAsia"/>
        </w:rPr>
        <w:t>)</w:t>
      </w:r>
      <w:r w:rsidRPr="00BB6462">
        <w:rPr>
          <w:rFonts w:hint="eastAsia"/>
        </w:rPr>
        <w:t>；跨界含水层法条款草案</w:t>
      </w:r>
      <w:r w:rsidRPr="00BB6462">
        <w:rPr>
          <w:rFonts w:hint="eastAsia"/>
        </w:rPr>
        <w:t>(2008</w:t>
      </w:r>
      <w:r w:rsidRPr="00BB6462">
        <w:rPr>
          <w:rFonts w:hint="eastAsia"/>
        </w:rPr>
        <w:t>年</w:t>
      </w:r>
      <w:r w:rsidRPr="00BB6462">
        <w:rPr>
          <w:rFonts w:hint="eastAsia"/>
        </w:rPr>
        <w:t>)</w:t>
      </w:r>
      <w:r w:rsidRPr="00BB6462">
        <w:rPr>
          <w:rFonts w:hint="eastAsia"/>
        </w:rPr>
        <w:t>条款草案</w:t>
      </w:r>
      <w:r w:rsidRPr="00BB6462">
        <w:rPr>
          <w:rFonts w:hint="eastAsia"/>
        </w:rPr>
        <w:t>6(</w:t>
      </w:r>
      <w:r w:rsidRPr="00BB6462">
        <w:rPr>
          <w:rFonts w:hint="eastAsia"/>
        </w:rPr>
        <w:t>大会第</w:t>
      </w:r>
      <w:r w:rsidRPr="00BB6462">
        <w:rPr>
          <w:rFonts w:hint="eastAsia"/>
        </w:rPr>
        <w:t>63/124</w:t>
      </w:r>
      <w:r w:rsidRPr="00BB6462">
        <w:rPr>
          <w:rFonts w:hint="eastAsia"/>
        </w:rPr>
        <w:t>号决议，附件</w:t>
      </w:r>
      <w:r w:rsidRPr="00BB6462">
        <w:rPr>
          <w:rFonts w:hint="eastAsia"/>
        </w:rPr>
        <w:t>)</w:t>
      </w:r>
      <w:r w:rsidRPr="00BB6462">
        <w:rPr>
          <w:rFonts w:hint="eastAsia"/>
        </w:rPr>
        <w:t>。</w:t>
      </w:r>
    </w:p>
  </w:footnote>
  <w:footnote w:id="4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2001</w:t>
      </w:r>
      <w:r w:rsidRPr="00BB6462">
        <w:rPr>
          <w:rFonts w:hint="eastAsia"/>
        </w:rPr>
        <w:t>年预防危险活动造成跨界损害的条款草案第</w:t>
      </w:r>
      <w:r w:rsidRPr="00BB6462">
        <w:rPr>
          <w:rFonts w:hint="eastAsia"/>
        </w:rPr>
        <w:t>2</w:t>
      </w:r>
      <w:r w:rsidRPr="00BB6462">
        <w:rPr>
          <w:rFonts w:hint="eastAsia"/>
        </w:rPr>
        <w:t>条草案评注第</w:t>
      </w:r>
      <w:r w:rsidRPr="00BB6462">
        <w:t>(4)</w:t>
      </w:r>
      <w:r w:rsidRPr="00BB6462">
        <w:rPr>
          <w:rFonts w:hint="eastAsia"/>
        </w:rPr>
        <w:t>段。《</w:t>
      </w:r>
      <w:r w:rsidRPr="00BB6462">
        <w:rPr>
          <w:rFonts w:hint="eastAsia"/>
        </w:rPr>
        <w:t>2001</w:t>
      </w:r>
      <w:r w:rsidRPr="00BB6462">
        <w:rPr>
          <w:rFonts w:hint="eastAsia"/>
        </w:rPr>
        <w:t>年……年鉴》，第二卷（第二部分），第</w:t>
      </w:r>
      <w:r w:rsidRPr="00BB6462">
        <w:rPr>
          <w:rFonts w:hint="eastAsia"/>
        </w:rPr>
        <w:t>1</w:t>
      </w:r>
      <w:r w:rsidRPr="00BB6462">
        <w:t>52</w:t>
      </w:r>
      <w:r w:rsidRPr="00BB6462">
        <w:rPr>
          <w:rFonts w:hint="eastAsia"/>
        </w:rPr>
        <w:t>页，见第</w:t>
      </w:r>
      <w:r w:rsidRPr="00BB6462">
        <w:t>98</w:t>
      </w:r>
      <w:r w:rsidRPr="00BB6462">
        <w:rPr>
          <w:rFonts w:hint="eastAsia"/>
        </w:rPr>
        <w:t>段。</w:t>
      </w:r>
    </w:p>
  </w:footnote>
  <w:footnote w:id="4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例如，见关于预防危险活动跨界损害的条款草案评注</w:t>
      </w:r>
      <w:r w:rsidRPr="00BB6462">
        <w:rPr>
          <w:rFonts w:hint="eastAsia"/>
        </w:rPr>
        <w:t>(</w:t>
      </w:r>
      <w:r w:rsidRPr="00BB6462">
        <w:rPr>
          <w:rFonts w:hint="eastAsia"/>
        </w:rPr>
        <w:t>第</w:t>
      </w:r>
      <w:r w:rsidRPr="00BB6462">
        <w:rPr>
          <w:rFonts w:hint="eastAsia"/>
        </w:rPr>
        <w:t>2</w:t>
      </w:r>
      <w:r w:rsidRPr="00BB6462">
        <w:rPr>
          <w:rFonts w:hint="eastAsia"/>
        </w:rPr>
        <w:t>条评注第</w:t>
      </w:r>
      <w:r w:rsidRPr="00BB6462">
        <w:t>(</w:t>
      </w:r>
      <w:r w:rsidRPr="00BB6462">
        <w:rPr>
          <w:rFonts w:hint="eastAsia"/>
        </w:rPr>
        <w:t>4</w:t>
      </w:r>
      <w:r w:rsidRPr="00BB6462">
        <w:t>)</w:t>
      </w:r>
      <w:r w:rsidRPr="00BB6462">
        <w:rPr>
          <w:rFonts w:hint="eastAsia"/>
        </w:rPr>
        <w:t>和第</w:t>
      </w:r>
      <w:r w:rsidRPr="00BB6462">
        <w:t>(</w:t>
      </w:r>
      <w:r w:rsidRPr="00BB6462">
        <w:rPr>
          <w:rFonts w:hint="eastAsia"/>
        </w:rPr>
        <w:t>7</w:t>
      </w:r>
      <w:r w:rsidRPr="00BB6462">
        <w:t>)</w:t>
      </w:r>
      <w:r w:rsidRPr="00BB6462">
        <w:rPr>
          <w:rFonts w:hint="eastAsia"/>
        </w:rPr>
        <w:t>段</w:t>
      </w:r>
      <w:r w:rsidRPr="00BB6462">
        <w:rPr>
          <w:rFonts w:hint="eastAsia"/>
        </w:rPr>
        <w:t>)</w:t>
      </w:r>
      <w:r w:rsidRPr="00BB6462">
        <w:rPr>
          <w:rFonts w:hint="eastAsia"/>
        </w:rPr>
        <w:t>。另见《关于有害活动引起跨界损害时的损失分配原则草案》评注</w:t>
      </w:r>
      <w:r w:rsidRPr="00BB6462">
        <w:rPr>
          <w:rFonts w:hint="eastAsia"/>
        </w:rPr>
        <w:t>(</w:t>
      </w:r>
      <w:r w:rsidRPr="00BB6462">
        <w:rPr>
          <w:rFonts w:hint="eastAsia"/>
        </w:rPr>
        <w:t>原则</w:t>
      </w:r>
      <w:r w:rsidRPr="00BB6462">
        <w:rPr>
          <w:rFonts w:hint="eastAsia"/>
        </w:rPr>
        <w:t>2</w:t>
      </w:r>
      <w:r w:rsidRPr="00BB6462">
        <w:rPr>
          <w:rFonts w:hint="eastAsia"/>
        </w:rPr>
        <w:t>草案评注第</w:t>
      </w:r>
      <w:r w:rsidRPr="00BB6462">
        <w:t>(</w:t>
      </w:r>
      <w:r w:rsidRPr="00BB6462">
        <w:rPr>
          <w:rFonts w:hint="eastAsia"/>
        </w:rPr>
        <w:t>1</w:t>
      </w:r>
      <w:r w:rsidRPr="00BB6462">
        <w:t>)</w:t>
      </w:r>
      <w:r w:rsidRPr="00BB6462">
        <w:rPr>
          <w:rFonts w:hint="eastAsia"/>
        </w:rPr>
        <w:t>至</w:t>
      </w:r>
      <w:r w:rsidRPr="00BB6462">
        <w:t>(</w:t>
      </w:r>
      <w:r w:rsidRPr="00BB6462">
        <w:rPr>
          <w:rFonts w:hint="eastAsia"/>
        </w:rPr>
        <w:t>3</w:t>
      </w:r>
      <w:r w:rsidRPr="00BB6462">
        <w:t>)</w:t>
      </w:r>
      <w:r w:rsidRPr="00BB6462">
        <w:rPr>
          <w:rFonts w:hint="eastAsia"/>
        </w:rPr>
        <w:t>段</w:t>
      </w:r>
      <w:r w:rsidRPr="00BB6462">
        <w:rPr>
          <w:rFonts w:hint="eastAsia"/>
        </w:rPr>
        <w:t>)</w:t>
      </w:r>
      <w:r w:rsidRPr="00BB6462">
        <w:rPr>
          <w:rFonts w:hint="eastAsia"/>
        </w:rPr>
        <w:t>。</w:t>
      </w:r>
    </w:p>
  </w:footnote>
  <w:footnote w:id="4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联合国，《条约汇编》，第</w:t>
      </w:r>
      <w:r w:rsidRPr="00BB6462">
        <w:rPr>
          <w:rFonts w:hint="eastAsia"/>
        </w:rPr>
        <w:t>1513</w:t>
      </w:r>
      <w:r w:rsidRPr="00BB6462">
        <w:rPr>
          <w:rFonts w:hint="eastAsia"/>
        </w:rPr>
        <w:t>卷，第</w:t>
      </w:r>
      <w:r w:rsidRPr="00BB6462">
        <w:rPr>
          <w:rFonts w:hint="eastAsia"/>
        </w:rPr>
        <w:t>293</w:t>
      </w:r>
      <w:r w:rsidRPr="00BB6462">
        <w:rPr>
          <w:rFonts w:hint="eastAsia"/>
        </w:rPr>
        <w:t>页。</w:t>
      </w:r>
    </w:p>
  </w:footnote>
  <w:footnote w:id="4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一般参看：气专委</w:t>
      </w:r>
      <w:r w:rsidRPr="00BB6462">
        <w:rPr>
          <w:rFonts w:hint="eastAsia"/>
        </w:rPr>
        <w:t xml:space="preserve"> </w:t>
      </w:r>
      <w:r w:rsidRPr="00BB6462">
        <w:rPr>
          <w:rFonts w:hint="eastAsia"/>
        </w:rPr>
        <w:t>“</w:t>
      </w:r>
      <w:r w:rsidRPr="00BB6462">
        <w:rPr>
          <w:rFonts w:hint="eastAsia"/>
          <w:i/>
        </w:rPr>
        <w:t>Climate Change 2013: The Physical Science Basis</w:t>
      </w:r>
      <w:r w:rsidRPr="00BB6462">
        <w:rPr>
          <w:rFonts w:hint="eastAsia"/>
        </w:rPr>
        <w:t>”</w:t>
      </w:r>
      <w:r w:rsidRPr="00BB6462">
        <w:rPr>
          <w:rFonts w:hint="eastAsia"/>
        </w:rPr>
        <w:t xml:space="preserve">, </w:t>
      </w:r>
      <w:r w:rsidRPr="00BB6462">
        <w:rPr>
          <w:rFonts w:hint="eastAsia"/>
          <w:i/>
        </w:rPr>
        <w:t>Summary for Policy makers</w:t>
      </w:r>
      <w:r w:rsidRPr="00BB6462">
        <w:rPr>
          <w:rFonts w:hint="eastAsia"/>
        </w:rPr>
        <w:t xml:space="preserve">, </w:t>
      </w:r>
      <w:r w:rsidRPr="00BB6462">
        <w:rPr>
          <w:rFonts w:hint="eastAsia"/>
        </w:rPr>
        <w:t>可查阅</w:t>
      </w:r>
      <w:r w:rsidRPr="00BB6462">
        <w:rPr>
          <w:rFonts w:hint="eastAsia"/>
        </w:rPr>
        <w:t>&lt;http://www.ipcc.ch/pdf/assessment-report/ar5/wg1/WG1AR5_SummaryVolume_FINAL.pdf&gt;</w:t>
      </w:r>
      <w:r w:rsidRPr="00BB6462">
        <w:rPr>
          <w:rFonts w:hint="eastAsia"/>
        </w:rPr>
        <w:t>。</w:t>
      </w:r>
    </w:p>
  </w:footnote>
  <w:footnote w:id="5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同上。</w:t>
      </w:r>
    </w:p>
  </w:footnote>
  <w:footnote w:id="5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同上。</w:t>
      </w:r>
    </w:p>
  </w:footnote>
  <w:footnote w:id="5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t>Birnie</w:t>
      </w:r>
      <w:r w:rsidRPr="00BB6462">
        <w:rPr>
          <w:rFonts w:hint="eastAsia"/>
        </w:rPr>
        <w:t>、</w:t>
      </w:r>
      <w:r w:rsidRPr="00BB6462">
        <w:t>Boyle</w:t>
      </w:r>
      <w:r w:rsidRPr="00BB6462">
        <w:rPr>
          <w:rFonts w:hint="eastAsia"/>
        </w:rPr>
        <w:t>、</w:t>
      </w:r>
      <w:r w:rsidRPr="00BB6462">
        <w:t xml:space="preserve">Redgwell, </w:t>
      </w:r>
      <w:r w:rsidRPr="00BB6462">
        <w:rPr>
          <w:iCs/>
        </w:rPr>
        <w:t>前注</w:t>
      </w:r>
      <w:r w:rsidRPr="00BB6462">
        <w:t xml:space="preserve"> 40</w:t>
      </w:r>
      <w:r w:rsidRPr="00BB6462">
        <w:rPr>
          <w:rFonts w:hint="eastAsia"/>
        </w:rPr>
        <w:t>，第</w:t>
      </w:r>
      <w:r w:rsidRPr="00BB6462">
        <w:t>342</w:t>
      </w:r>
      <w:r w:rsidRPr="00BB6462">
        <w:rPr>
          <w:rFonts w:hint="eastAsia"/>
        </w:rPr>
        <w:t>页。</w:t>
      </w:r>
    </w:p>
  </w:footnote>
  <w:footnote w:id="5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同上，第</w:t>
      </w:r>
      <w:r w:rsidRPr="00BB6462">
        <w:rPr>
          <w:rFonts w:hint="eastAsia"/>
        </w:rPr>
        <w:t>336</w:t>
      </w:r>
      <w:r w:rsidRPr="00BB6462">
        <w:rPr>
          <w:rFonts w:hint="eastAsia"/>
        </w:rPr>
        <w:t>页。气候变化与臭氧消耗的联系在《气候变化公约》序言及第</w:t>
      </w:r>
      <w:r w:rsidRPr="00BB6462">
        <w:rPr>
          <w:rFonts w:hint="eastAsia"/>
        </w:rPr>
        <w:t>4</w:t>
      </w:r>
      <w:r w:rsidRPr="00BB6462">
        <w:rPr>
          <w:rFonts w:hint="eastAsia"/>
        </w:rPr>
        <w:t>条里得到过处理。跨界大气污染与气候变化的联在</w:t>
      </w:r>
      <w:r w:rsidRPr="00BB6462">
        <w:rPr>
          <w:rFonts w:hint="eastAsia"/>
        </w:rPr>
        <w:t>2012</w:t>
      </w:r>
      <w:r w:rsidRPr="00BB6462">
        <w:rPr>
          <w:rFonts w:hint="eastAsia"/>
        </w:rPr>
        <w:t>年哥德堡议定书序言及第</w:t>
      </w:r>
      <w:r w:rsidRPr="00BB6462">
        <w:rPr>
          <w:rFonts w:hint="eastAsia"/>
        </w:rPr>
        <w:t>2</w:t>
      </w:r>
      <w:r w:rsidRPr="00BB6462">
        <w:rPr>
          <w:rFonts w:hint="eastAsia"/>
        </w:rPr>
        <w:t>条第</w:t>
      </w:r>
      <w:r w:rsidRPr="00BB6462">
        <w:rPr>
          <w:rFonts w:hint="eastAsia"/>
        </w:rPr>
        <w:t>1</w:t>
      </w:r>
      <w:r w:rsidRPr="00BB6462">
        <w:rPr>
          <w:rFonts w:hint="eastAsia"/>
        </w:rPr>
        <w:t>款里得到过处理。</w:t>
      </w:r>
    </w:p>
  </w:footnote>
  <w:footnote w:id="5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同上。</w:t>
      </w:r>
    </w:p>
  </w:footnote>
  <w:footnote w:id="5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《大会正式记录，第六十八届会议，补编第</w:t>
      </w:r>
      <w:r w:rsidRPr="00BB6462">
        <w:rPr>
          <w:rFonts w:hint="eastAsia"/>
        </w:rPr>
        <w:t>10</w:t>
      </w:r>
      <w:r w:rsidRPr="00BB6462">
        <w:rPr>
          <w:rFonts w:hint="eastAsia"/>
        </w:rPr>
        <w:t>号》</w:t>
      </w:r>
      <w:r w:rsidRPr="00BB6462">
        <w:rPr>
          <w:rFonts w:hint="eastAsia"/>
        </w:rPr>
        <w:t>(A/68/10)</w:t>
      </w:r>
      <w:r w:rsidRPr="00BB6462">
        <w:rPr>
          <w:rFonts w:hint="eastAsia"/>
        </w:rPr>
        <w:t>，第</w:t>
      </w:r>
      <w:r w:rsidRPr="00BB6462">
        <w:rPr>
          <w:rFonts w:hint="eastAsia"/>
        </w:rPr>
        <w:t>168</w:t>
      </w:r>
      <w:r w:rsidRPr="00BB6462">
        <w:rPr>
          <w:rFonts w:hint="eastAsia"/>
        </w:rPr>
        <w:t>段。</w:t>
      </w:r>
    </w:p>
  </w:footnote>
  <w:footnote w:id="5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联合国，《条约汇编》，第</w:t>
      </w:r>
      <w:r w:rsidRPr="00BB6462">
        <w:rPr>
          <w:rFonts w:hint="eastAsia"/>
        </w:rPr>
        <w:t>15</w:t>
      </w:r>
      <w:r w:rsidRPr="00BB6462">
        <w:rPr>
          <w:rFonts w:hint="eastAsia"/>
        </w:rPr>
        <w:t>卷，第</w:t>
      </w:r>
      <w:r w:rsidRPr="00BB6462">
        <w:rPr>
          <w:rFonts w:hint="eastAsia"/>
        </w:rPr>
        <w:t>295</w:t>
      </w:r>
      <w:r w:rsidRPr="00BB6462">
        <w:rPr>
          <w:rFonts w:hint="eastAsia"/>
        </w:rPr>
        <w:t>页。</w:t>
      </w:r>
    </w:p>
  </w:footnote>
  <w:footnote w:id="5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4D75FE">
        <w:rPr>
          <w:rStyle w:val="a3"/>
          <w:color w:val="0000CC"/>
          <w:szCs w:val="21"/>
        </w:rPr>
        <w:footnoteRef/>
      </w:r>
      <w:r>
        <w:rPr>
          <w:rFonts w:hint="eastAsia"/>
        </w:rPr>
        <w:tab/>
      </w:r>
      <w:r w:rsidRPr="00BB6462">
        <w:rPr>
          <w:rFonts w:hint="eastAsia"/>
        </w:rPr>
        <w:t>见《联合国海洋法公约》第</w:t>
      </w:r>
      <w:r w:rsidRPr="00BB6462">
        <w:t>2</w:t>
      </w:r>
      <w:r w:rsidRPr="00BB6462">
        <w:rPr>
          <w:rFonts w:hint="eastAsia"/>
        </w:rPr>
        <w:t>条第</w:t>
      </w:r>
      <w:r w:rsidRPr="00BB6462">
        <w:rPr>
          <w:rFonts w:hint="eastAsia"/>
        </w:rPr>
        <w:t>2</w:t>
      </w:r>
      <w:r w:rsidRPr="00BB6462">
        <w:rPr>
          <w:rFonts w:hint="eastAsia"/>
        </w:rPr>
        <w:t>款</w:t>
      </w:r>
      <w:r w:rsidRPr="00BB6462">
        <w:t xml:space="preserve"> (</w:t>
      </w:r>
      <w:r w:rsidRPr="00BB6462">
        <w:t>蒙特哥湾</w:t>
      </w:r>
      <w:r w:rsidRPr="00BB6462">
        <w:rPr>
          <w:rFonts w:hint="eastAsia"/>
        </w:rPr>
        <w:t>，</w:t>
      </w:r>
      <w:r w:rsidRPr="00BB6462">
        <w:rPr>
          <w:rFonts w:hint="eastAsia"/>
        </w:rPr>
        <w:t>1982</w:t>
      </w:r>
      <w:r w:rsidRPr="00BB6462">
        <w:rPr>
          <w:rFonts w:hint="eastAsia"/>
        </w:rPr>
        <w:t>年</w:t>
      </w:r>
      <w:r w:rsidRPr="00BB6462">
        <w:rPr>
          <w:rFonts w:hint="eastAsia"/>
        </w:rPr>
        <w:t>12</w:t>
      </w:r>
      <w:r w:rsidRPr="00BB6462">
        <w:rPr>
          <w:rFonts w:hint="eastAsia"/>
        </w:rPr>
        <w:t>月</w:t>
      </w:r>
      <w:r w:rsidRPr="00BB6462">
        <w:rPr>
          <w:rFonts w:hint="eastAsia"/>
        </w:rPr>
        <w:t>10</w:t>
      </w:r>
      <w:r w:rsidRPr="00BB6462">
        <w:rPr>
          <w:rFonts w:hint="eastAsia"/>
        </w:rPr>
        <w:t>日</w:t>
      </w:r>
      <w:r w:rsidRPr="00BB6462">
        <w:t xml:space="preserve">), </w:t>
      </w:r>
      <w:r w:rsidRPr="00BB6462">
        <w:rPr>
          <w:rFonts w:hint="eastAsia"/>
        </w:rPr>
        <w:t>该款规定：“……主权及于领海的上空及其海床和底土。</w:t>
      </w:r>
      <w:r w:rsidRPr="00BB6462">
        <w:t>”(</w:t>
      </w:r>
      <w:r w:rsidRPr="00BB6462">
        <w:rPr>
          <w:rFonts w:hint="eastAsia"/>
        </w:rPr>
        <w:t>联合国，《条约汇编》，第</w:t>
      </w:r>
      <w:r w:rsidRPr="00BB6462">
        <w:t>1833</w:t>
      </w:r>
      <w:r w:rsidRPr="00BB6462">
        <w:rPr>
          <w:rFonts w:hint="eastAsia"/>
        </w:rPr>
        <w:t>卷，第</w:t>
      </w:r>
      <w:r w:rsidRPr="00BB6462">
        <w:rPr>
          <w:rFonts w:hint="eastAsia"/>
        </w:rPr>
        <w:t>3</w:t>
      </w:r>
      <w:r w:rsidRPr="00BB6462">
        <w:rPr>
          <w:rFonts w:hint="eastAsia"/>
        </w:rPr>
        <w:t>页</w:t>
      </w:r>
      <w:r w:rsidRPr="00BB6462">
        <w:t>)</w:t>
      </w:r>
      <w:r w:rsidRPr="00BB6462">
        <w:rPr>
          <w:rFonts w:hint="eastAsia"/>
        </w:rPr>
        <w:t>。</w:t>
      </w:r>
    </w:p>
  </w:footnote>
  <w:footnote w:id="5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一般参看</w:t>
      </w:r>
      <w:r w:rsidRPr="00BB6462">
        <w:t>Birnie</w:t>
      </w:r>
      <w:r w:rsidRPr="00BB6462">
        <w:rPr>
          <w:rFonts w:hint="eastAsia"/>
        </w:rPr>
        <w:t>、</w:t>
      </w:r>
      <w:r w:rsidRPr="00BB6462">
        <w:t>Boyle</w:t>
      </w:r>
      <w:r w:rsidRPr="00BB6462">
        <w:rPr>
          <w:rFonts w:hint="eastAsia"/>
        </w:rPr>
        <w:t>、</w:t>
      </w:r>
      <w:r w:rsidRPr="00BB6462">
        <w:t xml:space="preserve">Redgwell, </w:t>
      </w:r>
      <w:r w:rsidRPr="00BB6462">
        <w:rPr>
          <w:iCs/>
        </w:rPr>
        <w:t>前注</w:t>
      </w:r>
      <w:r w:rsidRPr="00BB6462">
        <w:rPr>
          <w:rFonts w:hint="eastAsia"/>
          <w:iCs/>
        </w:rPr>
        <w:t>4</w:t>
      </w:r>
      <w:r w:rsidRPr="00BB6462">
        <w:t>0</w:t>
      </w:r>
      <w:r w:rsidRPr="00BB6462">
        <w:rPr>
          <w:rFonts w:hint="eastAsia"/>
        </w:rPr>
        <w:t>，第</w:t>
      </w:r>
      <w:r w:rsidRPr="00BB6462">
        <w:rPr>
          <w:rFonts w:hint="eastAsia"/>
        </w:rPr>
        <w:t>6</w:t>
      </w:r>
      <w:r w:rsidRPr="00BB6462">
        <w:rPr>
          <w:rFonts w:hint="eastAsia"/>
        </w:rPr>
        <w:t>章。</w:t>
      </w:r>
    </w:p>
  </w:footnote>
  <w:footnote w:id="5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t>Tarbuck</w:t>
      </w:r>
      <w:r w:rsidRPr="00BB6462">
        <w:rPr>
          <w:rFonts w:hint="eastAsia"/>
        </w:rPr>
        <w:t>、</w:t>
      </w:r>
      <w:r w:rsidRPr="00BB6462">
        <w:t xml:space="preserve">Lutgens </w:t>
      </w:r>
      <w:r w:rsidRPr="00BB6462">
        <w:rPr>
          <w:rFonts w:hint="eastAsia"/>
        </w:rPr>
        <w:t>和</w:t>
      </w:r>
      <w:r w:rsidRPr="00BB6462">
        <w:t xml:space="preserve"> Tasa</w:t>
      </w:r>
      <w:r w:rsidRPr="00BB6462">
        <w:rPr>
          <w:rFonts w:hint="eastAsia"/>
        </w:rPr>
        <w:t>，</w:t>
      </w:r>
      <w:r w:rsidRPr="00BB6462">
        <w:t>前注</w:t>
      </w:r>
      <w:r w:rsidRPr="00BB6462">
        <w:t>35</w:t>
      </w:r>
      <w:r w:rsidRPr="00BB6462">
        <w:rPr>
          <w:rFonts w:hint="eastAsia"/>
        </w:rPr>
        <w:t>，第</w:t>
      </w:r>
      <w:r w:rsidRPr="00BB6462">
        <w:t>465</w:t>
      </w:r>
      <w:r w:rsidRPr="00BB6462">
        <w:rPr>
          <w:rFonts w:hint="eastAsia"/>
        </w:rPr>
        <w:t>和第</w:t>
      </w:r>
      <w:r w:rsidRPr="00BB6462">
        <w:t>466</w:t>
      </w:r>
      <w:r w:rsidRPr="00BB6462">
        <w:rPr>
          <w:rFonts w:hint="eastAsia"/>
        </w:rPr>
        <w:t>页。</w:t>
      </w:r>
    </w:p>
  </w:footnote>
  <w:footnote w:id="6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联合国，《条约汇编》，第</w:t>
      </w:r>
      <w:r w:rsidRPr="00BB6462">
        <w:rPr>
          <w:rFonts w:hint="eastAsia"/>
        </w:rPr>
        <w:t>610</w:t>
      </w:r>
      <w:r w:rsidRPr="00BB6462">
        <w:rPr>
          <w:rFonts w:hint="eastAsia"/>
        </w:rPr>
        <w:t>卷，第</w:t>
      </w:r>
      <w:r w:rsidRPr="00BB6462">
        <w:rPr>
          <w:rFonts w:hint="eastAsia"/>
        </w:rPr>
        <w:t>205</w:t>
      </w:r>
      <w:r w:rsidRPr="00BB6462">
        <w:rPr>
          <w:rFonts w:hint="eastAsia"/>
        </w:rPr>
        <w:t>页。</w:t>
      </w:r>
    </w:p>
  </w:footnote>
  <w:footnote w:id="6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一般参看</w:t>
      </w:r>
      <w:r w:rsidRPr="00BB6462">
        <w:rPr>
          <w:rFonts w:hint="eastAsia"/>
        </w:rPr>
        <w:t>Bhupendra Jasani (ed), Peaceful and Non-Peaceful uses of Space: Problems of Definition for the Prevention of an Arms Race, United Nations Institute for Disarmament Research, (New York, Philadelphia, Washington DC, London, Taylor and Francis, 1991)</w:t>
      </w:r>
      <w:r w:rsidRPr="00BB6462">
        <w:rPr>
          <w:rFonts w:hint="eastAsia"/>
        </w:rPr>
        <w:t>，特别是第</w:t>
      </w:r>
      <w:r w:rsidRPr="00BB6462">
        <w:rPr>
          <w:rFonts w:hint="eastAsia"/>
        </w:rPr>
        <w:t>2</w:t>
      </w:r>
      <w:r w:rsidRPr="00BB6462">
        <w:rPr>
          <w:rFonts w:hint="eastAsia"/>
        </w:rPr>
        <w:t>和第</w:t>
      </w:r>
      <w:r w:rsidRPr="00BB6462">
        <w:rPr>
          <w:rFonts w:hint="eastAsia"/>
        </w:rPr>
        <w:t>3</w:t>
      </w:r>
      <w:r w:rsidRPr="00BB6462">
        <w:rPr>
          <w:rFonts w:hint="eastAsia"/>
        </w:rPr>
        <w:t>章。</w:t>
      </w:r>
    </w:p>
  </w:footnote>
  <w:footnote w:id="6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t xml:space="preserve">W. Friedmann, </w:t>
      </w:r>
      <w:r w:rsidRPr="00BB6462">
        <w:rPr>
          <w:i/>
        </w:rPr>
        <w:t>The Changing Structure of International Law</w:t>
      </w:r>
      <w:r w:rsidRPr="00BB6462">
        <w:t xml:space="preserve"> (London: Stevens &amp; Sons, 1964), pp. 60–71; Charles Leben, “The Changing Structure of International Law Revisited by Way of Introduction”, </w:t>
      </w:r>
      <w:r w:rsidRPr="00BB6462">
        <w:rPr>
          <w:i/>
        </w:rPr>
        <w:t>European Journal of International Law,</w:t>
      </w:r>
      <w:r w:rsidRPr="00BB6462">
        <w:t xml:space="preserve"> vol. 3 (1997), pp. 399–408. </w:t>
      </w:r>
      <w:r>
        <w:rPr>
          <w:rFonts w:hint="eastAsia"/>
        </w:rPr>
        <w:t>另见</w:t>
      </w:r>
      <w:r w:rsidRPr="00BB6462">
        <w:t xml:space="preserve">Jost Delbrück, “The International Obligation to Cooperate — An Empty Shell or a Hard Law Principle of International Law? — A Critical Look at a Much Debated Paradigm of Modern International Law”, H. P. Hestermeyer, </w:t>
      </w:r>
      <w:r w:rsidRPr="00BB6462">
        <w:rPr>
          <w:i/>
        </w:rPr>
        <w:t>et al.</w:t>
      </w:r>
      <w:r w:rsidRPr="00BB6462">
        <w:t xml:space="preserve">, eds., </w:t>
      </w:r>
      <w:r w:rsidRPr="00BB6462">
        <w:rPr>
          <w:i/>
        </w:rPr>
        <w:t>Coexistence, Cooperation and Solidarity</w:t>
      </w:r>
      <w:r w:rsidRPr="00BB6462">
        <w:t xml:space="preserve"> (Liber Amicorum Rüdiger Wolfrum), vol. 1 (Leiden: Ma</w:t>
      </w:r>
      <w:r>
        <w:t>rtinus Njihoff, 2012), pp. 3–16</w:t>
      </w:r>
      <w:r>
        <w:rPr>
          <w:rFonts w:hint="eastAsia"/>
        </w:rPr>
        <w:t>。</w:t>
      </w:r>
    </w:p>
  </w:footnote>
  <w:footnote w:id="6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t xml:space="preserve">Bruno Simma, “From Bilateralism to Community Interests in International Law”, The Hague Academy of International Law, </w:t>
      </w:r>
      <w:r w:rsidRPr="00BB6462">
        <w:rPr>
          <w:i/>
          <w:iCs/>
        </w:rPr>
        <w:t>Recueil des cours</w:t>
      </w:r>
      <w:r w:rsidRPr="00BB6462">
        <w:t xml:space="preserve">, vol. 250, 1994, pp. 217-384; Naoya Okuwaki, “On Compliance with the Obligation to Cooperate: New Developments of ‘International Law for Cooperation’”, in Jun’ichi Eto, ed., </w:t>
      </w:r>
      <w:r w:rsidRPr="00BB6462">
        <w:rPr>
          <w:i/>
        </w:rPr>
        <w:t>Aspects of International Law Studies</w:t>
      </w:r>
      <w:r w:rsidRPr="00BB6462">
        <w:t xml:space="preserve"> (Festschrift for Shinya Murase) (Tokyo: Shinzansha, 2015), pp. 5–46, at pp. 16–17 (in Japanese).</w:t>
      </w:r>
    </w:p>
  </w:footnote>
  <w:footnote w:id="6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《斯德哥尔摩人类环境宣言》原则</w:t>
      </w:r>
      <w:r w:rsidRPr="00BB6462">
        <w:rPr>
          <w:rFonts w:hint="eastAsia"/>
        </w:rPr>
        <w:t>24</w:t>
      </w:r>
      <w:r w:rsidRPr="00BB6462">
        <w:rPr>
          <w:rFonts w:hint="eastAsia"/>
        </w:rPr>
        <w:t>写明：</w:t>
      </w:r>
    </w:p>
    <w:p w:rsidR="00F60D83" w:rsidRPr="00BB6462" w:rsidRDefault="00F60D83" w:rsidP="004E49EA">
      <w:pPr>
        <w:pStyle w:val="a5"/>
        <w:tabs>
          <w:tab w:val="clear" w:pos="418"/>
          <w:tab w:val="left" w:pos="1695"/>
          <w:tab w:val="left" w:pos="2126"/>
          <w:tab w:val="left" w:pos="2557"/>
        </w:tabs>
        <w:ind w:left="1264" w:right="1264" w:firstLine="346"/>
      </w:pPr>
      <w:r w:rsidRPr="00BB6462">
        <w:rPr>
          <w:rFonts w:hint="eastAsia"/>
        </w:rPr>
        <w:t>“有关保护和改善环境的国际问题应当由所有的国家，不论大小，在平等的基础上本着合作精神加以处理，必须通过多边或双边的安排或其它合适途径的合作，在正当地考虑所有国家的主权和利益的情况下，防止、消灭或减少和有效地控制各方面的行动所造成的对环境的有害影响。”</w:t>
      </w:r>
    </w:p>
    <w:p w:rsidR="00F60D83" w:rsidRPr="00BB6462" w:rsidRDefault="00F60D83" w:rsidP="004E49EA">
      <w:pPr>
        <w:pStyle w:val="a5"/>
        <w:tabs>
          <w:tab w:val="clear" w:pos="418"/>
          <w:tab w:val="left" w:pos="1695"/>
          <w:tab w:val="left" w:pos="2126"/>
          <w:tab w:val="left" w:pos="2557"/>
        </w:tabs>
        <w:ind w:left="1264" w:right="1264" w:hanging="4"/>
      </w:pPr>
      <w:r w:rsidRPr="00BB6462">
        <w:rPr>
          <w:rFonts w:hint="eastAsia"/>
        </w:rPr>
        <w:t>《联合国人类环境会议报告》，联合国文件</w:t>
      </w:r>
      <w:r w:rsidRPr="00BB6462">
        <w:rPr>
          <w:rFonts w:hint="eastAsia"/>
        </w:rPr>
        <w:t>A/CONF.48/14, 2</w:t>
      </w:r>
      <w:r w:rsidRPr="00BB6462">
        <w:rPr>
          <w:rFonts w:hint="eastAsia"/>
        </w:rPr>
        <w:t>和</w:t>
      </w:r>
      <w:r w:rsidRPr="00BB6462">
        <w:rPr>
          <w:rFonts w:hint="eastAsia"/>
        </w:rPr>
        <w:t>Corr.1 (1972</w:t>
      </w:r>
      <w:r w:rsidRPr="00BB6462">
        <w:rPr>
          <w:rFonts w:hint="eastAsia"/>
        </w:rPr>
        <w:t>年</w:t>
      </w:r>
      <w:r w:rsidRPr="00BB6462">
        <w:rPr>
          <w:rFonts w:hint="eastAsia"/>
        </w:rPr>
        <w:t>)</w:t>
      </w:r>
      <w:r w:rsidRPr="00BB6462">
        <w:rPr>
          <w:rFonts w:hint="eastAsia"/>
        </w:rPr>
        <w:t>。</w:t>
      </w:r>
    </w:p>
    <w:p w:rsidR="00F60D83" w:rsidRPr="00BB6462" w:rsidRDefault="00F60D83" w:rsidP="004E49EA">
      <w:pPr>
        <w:pStyle w:val="a5"/>
        <w:tabs>
          <w:tab w:val="clear" w:pos="418"/>
          <w:tab w:val="left" w:pos="1695"/>
          <w:tab w:val="left" w:pos="2126"/>
          <w:tab w:val="left" w:pos="2557"/>
        </w:tabs>
        <w:ind w:left="1264" w:right="1264" w:hanging="4"/>
      </w:pPr>
      <w:r w:rsidRPr="00BB6462">
        <w:rPr>
          <w:rFonts w:hint="eastAsia"/>
        </w:rPr>
        <w:t>《里约宣言》原则</w:t>
      </w:r>
      <w:r w:rsidRPr="00BB6462">
        <w:rPr>
          <w:rFonts w:hint="eastAsia"/>
        </w:rPr>
        <w:t>2</w:t>
      </w:r>
      <w:r w:rsidRPr="00BB6462">
        <w:t>4</w:t>
      </w:r>
      <w:r w:rsidRPr="00BB6462">
        <w:rPr>
          <w:rFonts w:hint="eastAsia"/>
        </w:rPr>
        <w:t>写明：</w:t>
      </w:r>
    </w:p>
    <w:p w:rsidR="00F60D83" w:rsidRPr="00BB6462" w:rsidRDefault="00F60D83" w:rsidP="004E49EA">
      <w:pPr>
        <w:pStyle w:val="a5"/>
        <w:tabs>
          <w:tab w:val="clear" w:pos="418"/>
          <w:tab w:val="left" w:pos="1695"/>
          <w:tab w:val="left" w:pos="2126"/>
          <w:tab w:val="left" w:pos="2557"/>
        </w:tabs>
        <w:ind w:left="1264" w:right="1264" w:firstLine="346"/>
      </w:pPr>
      <w:r w:rsidRPr="00BB6462">
        <w:rPr>
          <w:rFonts w:hint="eastAsia"/>
        </w:rPr>
        <w:t>“各国和人民应诚意地一本伙伴精神、合作实现本宣言所体现的各项原则，并促进持久发展方面国际法的进一步发展”。</w:t>
      </w:r>
    </w:p>
    <w:p w:rsidR="00F60D83" w:rsidRPr="00BB6462" w:rsidRDefault="00F60D83" w:rsidP="004E49EA">
      <w:pPr>
        <w:pStyle w:val="a5"/>
        <w:tabs>
          <w:tab w:val="clear" w:pos="418"/>
          <w:tab w:val="left" w:pos="1695"/>
          <w:tab w:val="left" w:pos="2126"/>
          <w:tab w:val="left" w:pos="2557"/>
        </w:tabs>
        <w:ind w:left="1264" w:right="1264" w:hanging="4"/>
      </w:pPr>
      <w:r w:rsidRPr="00BB6462">
        <w:rPr>
          <w:rFonts w:hint="eastAsia"/>
        </w:rPr>
        <w:t>联合国人类环境会议报告，斯德哥尔摩，</w:t>
      </w:r>
      <w:r w:rsidRPr="00BB6462">
        <w:rPr>
          <w:rFonts w:hint="eastAsia"/>
        </w:rPr>
        <w:t>1972</w:t>
      </w:r>
      <w:r w:rsidRPr="00BB6462">
        <w:rPr>
          <w:rFonts w:hint="eastAsia"/>
        </w:rPr>
        <w:t>年</w:t>
      </w:r>
      <w:r w:rsidRPr="00BB6462">
        <w:rPr>
          <w:rFonts w:hint="eastAsia"/>
        </w:rPr>
        <w:t>6</w:t>
      </w:r>
      <w:r w:rsidRPr="00BB6462">
        <w:rPr>
          <w:rFonts w:hint="eastAsia"/>
        </w:rPr>
        <w:t>月</w:t>
      </w:r>
      <w:r w:rsidRPr="00BB6462">
        <w:rPr>
          <w:rFonts w:hint="eastAsia"/>
        </w:rPr>
        <w:t>5-16</w:t>
      </w:r>
      <w:r w:rsidRPr="00BB6462">
        <w:rPr>
          <w:rFonts w:hint="eastAsia"/>
        </w:rPr>
        <w:t>日，联合国出版物，出售品编号</w:t>
      </w:r>
      <w:r w:rsidRPr="00BB6462">
        <w:rPr>
          <w:rFonts w:hint="eastAsia"/>
        </w:rPr>
        <w:t>E.73.II.A.14</w:t>
      </w:r>
      <w:r w:rsidRPr="00BB6462">
        <w:rPr>
          <w:rFonts w:hint="eastAsia"/>
        </w:rPr>
        <w:t>和更正</w:t>
      </w:r>
      <w:r w:rsidRPr="00BB6462">
        <w:rPr>
          <w:rFonts w:hint="eastAsia"/>
        </w:rPr>
        <w:t>)</w:t>
      </w:r>
      <w:r w:rsidRPr="00BB6462">
        <w:rPr>
          <w:rFonts w:hint="eastAsia"/>
        </w:rPr>
        <w:t>，第一章。</w:t>
      </w:r>
    </w:p>
  </w:footnote>
  <w:footnote w:id="6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i/>
        </w:rPr>
        <w:tab/>
      </w:r>
      <w:r w:rsidRPr="004D75FE">
        <w:rPr>
          <w:rStyle w:val="a3"/>
          <w:color w:val="0000CC"/>
          <w:szCs w:val="21"/>
        </w:rPr>
        <w:footnoteRef/>
      </w:r>
      <w:r w:rsidRPr="00BB6462">
        <w:rPr>
          <w:i/>
        </w:rPr>
        <w:tab/>
      </w:r>
      <w:r w:rsidRPr="00BB6462">
        <w:t>乌拉圭</w:t>
      </w:r>
      <w:r w:rsidRPr="00BB6462">
        <w:rPr>
          <w:rFonts w:hint="eastAsia"/>
        </w:rPr>
        <w:t>河纸浆厂案</w:t>
      </w:r>
      <w:r w:rsidRPr="00BB6462">
        <w:t>(</w:t>
      </w:r>
      <w:r w:rsidRPr="00BB6462">
        <w:t>阿根廷</w:t>
      </w:r>
      <w:r w:rsidRPr="00BB6462">
        <w:rPr>
          <w:rFonts w:hint="eastAsia"/>
        </w:rPr>
        <w:t>诉</w:t>
      </w:r>
      <w:r w:rsidRPr="00BB6462">
        <w:t>乌拉圭</w:t>
      </w:r>
      <w:r w:rsidRPr="00BB6462">
        <w:t>)</w:t>
      </w:r>
      <w:r w:rsidRPr="00BB6462">
        <w:t>，</w:t>
      </w:r>
      <w:r w:rsidRPr="00BB6462">
        <w:rPr>
          <w:rFonts w:hint="eastAsia"/>
        </w:rPr>
        <w:t>判决，</w:t>
      </w:r>
      <w:r w:rsidRPr="00BB6462">
        <w:t>《</w:t>
      </w:r>
      <w:r w:rsidRPr="00BB6462">
        <w:t>2010</w:t>
      </w:r>
      <w:r w:rsidRPr="00BB6462">
        <w:t>年国际法院案例汇编》，</w:t>
      </w:r>
      <w:r w:rsidRPr="00BB6462">
        <w:rPr>
          <w:rFonts w:hint="eastAsia"/>
        </w:rPr>
        <w:t>第</w:t>
      </w:r>
      <w:r w:rsidRPr="00BB6462">
        <w:rPr>
          <w:rFonts w:hint="eastAsia"/>
        </w:rPr>
        <w:t>49</w:t>
      </w:r>
      <w:r w:rsidRPr="00BB6462">
        <w:rPr>
          <w:rFonts w:hint="eastAsia"/>
        </w:rPr>
        <w:t>页，</w:t>
      </w:r>
      <w:r w:rsidRPr="00BB6462">
        <w:t>第</w:t>
      </w:r>
      <w:r w:rsidRPr="00BB6462">
        <w:rPr>
          <w:rFonts w:hint="eastAsia"/>
        </w:rPr>
        <w:t>77</w:t>
      </w:r>
      <w:r w:rsidRPr="00BB6462">
        <w:t>段。</w:t>
      </w:r>
    </w:p>
  </w:footnote>
  <w:footnote w:id="6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sz w:val="21"/>
          <w:szCs w:val="21"/>
        </w:rPr>
      </w:pPr>
      <w:r>
        <w:rPr>
          <w:rFonts w:hint="eastAsia"/>
        </w:rPr>
        <w:tab/>
      </w:r>
      <w:r w:rsidRPr="004D75FE">
        <w:rPr>
          <w:rStyle w:val="a3"/>
          <w:color w:val="0000CC"/>
          <w:szCs w:val="21"/>
        </w:rPr>
        <w:footnoteRef/>
      </w:r>
      <w:r>
        <w:rPr>
          <w:rFonts w:hint="eastAsia"/>
        </w:rPr>
        <w:tab/>
      </w:r>
      <w:r w:rsidRPr="004D75FE">
        <w:rPr>
          <w:rFonts w:hint="eastAsia"/>
        </w:rPr>
        <w:t>另见《联合国海洋法公约》（蒙特哥湾，</w:t>
      </w:r>
      <w:r w:rsidRPr="004D75FE">
        <w:rPr>
          <w:rFonts w:hint="eastAsia"/>
        </w:rPr>
        <w:t>1982</w:t>
      </w:r>
      <w:r w:rsidRPr="004D75FE">
        <w:rPr>
          <w:rFonts w:hint="eastAsia"/>
        </w:rPr>
        <w:t>年</w:t>
      </w:r>
      <w:r w:rsidRPr="004D75FE">
        <w:rPr>
          <w:rFonts w:hint="eastAsia"/>
        </w:rPr>
        <w:t>12</w:t>
      </w:r>
      <w:r w:rsidRPr="004D75FE">
        <w:rPr>
          <w:rFonts w:hint="eastAsia"/>
        </w:rPr>
        <w:t>月</w:t>
      </w:r>
      <w:r w:rsidRPr="004D75FE">
        <w:rPr>
          <w:rFonts w:hint="eastAsia"/>
        </w:rPr>
        <w:t>10</w:t>
      </w:r>
      <w:r w:rsidRPr="004D75FE">
        <w:rPr>
          <w:rFonts w:hint="eastAsia"/>
        </w:rPr>
        <w:t>日）关于“全球性和区域性合作”的第十二部分第二节。该节规定了“在全球性或区域性的基础上的合作”</w:t>
      </w:r>
      <w:r w:rsidRPr="004D75FE">
        <w:t>(</w:t>
      </w:r>
      <w:r w:rsidRPr="004D75FE">
        <w:rPr>
          <w:rFonts w:hint="eastAsia"/>
        </w:rPr>
        <w:t>第一百九十七条</w:t>
      </w:r>
      <w:r w:rsidRPr="004D75FE">
        <w:t>)</w:t>
      </w:r>
      <w:r w:rsidRPr="004D75FE">
        <w:rPr>
          <w:rFonts w:hint="eastAsia"/>
        </w:rPr>
        <w:t>、</w:t>
      </w:r>
      <w:r>
        <w:rPr>
          <w:rFonts w:hint="eastAsia"/>
        </w:rPr>
        <w:t>“</w:t>
      </w:r>
      <w:r w:rsidRPr="004D75FE">
        <w:rPr>
          <w:rFonts w:hint="eastAsia"/>
        </w:rPr>
        <w:t>即将发生的损害或实际损害的通知</w:t>
      </w:r>
      <w:r>
        <w:rPr>
          <w:rFonts w:hint="eastAsia"/>
        </w:rPr>
        <w:t>”</w:t>
      </w:r>
      <w:r w:rsidRPr="004D75FE">
        <w:t>(</w:t>
      </w:r>
      <w:r w:rsidRPr="004D75FE">
        <w:rPr>
          <w:rFonts w:hint="eastAsia"/>
        </w:rPr>
        <w:t>第一百九十八条</w:t>
      </w:r>
      <w:r w:rsidRPr="004D75FE">
        <w:t>)</w:t>
      </w:r>
      <w:r w:rsidRPr="004D75FE">
        <w:rPr>
          <w:rFonts w:hint="eastAsia"/>
        </w:rPr>
        <w:t>、</w:t>
      </w:r>
      <w:r>
        <w:rPr>
          <w:rFonts w:hint="eastAsia"/>
        </w:rPr>
        <w:t xml:space="preserve"> </w:t>
      </w:r>
      <w:r w:rsidRPr="004D75FE">
        <w:rPr>
          <w:rFonts w:hint="eastAsia"/>
        </w:rPr>
        <w:t>“对污染的应急计划”</w:t>
      </w:r>
      <w:r w:rsidRPr="004D75FE">
        <w:t>(</w:t>
      </w:r>
      <w:r w:rsidRPr="004D75FE">
        <w:rPr>
          <w:rFonts w:hint="eastAsia"/>
        </w:rPr>
        <w:t>第一百九十九条</w:t>
      </w:r>
      <w:r w:rsidRPr="004D75FE">
        <w:t>)</w:t>
      </w:r>
      <w:r>
        <w:rPr>
          <w:rFonts w:hint="eastAsia"/>
        </w:rPr>
        <w:t>，</w:t>
      </w:r>
      <w:r w:rsidRPr="004D75FE">
        <w:rPr>
          <w:rFonts w:hint="eastAsia"/>
        </w:rPr>
        <w:t>“研究、研究方案及情报和资料的交换”</w:t>
      </w:r>
      <w:r w:rsidRPr="004D75FE">
        <w:t>(</w:t>
      </w:r>
      <w:r w:rsidRPr="004D75FE">
        <w:rPr>
          <w:rFonts w:hint="eastAsia"/>
        </w:rPr>
        <w:t>第二百条</w:t>
      </w:r>
      <w:r w:rsidRPr="004D75FE">
        <w:t>)</w:t>
      </w:r>
      <w:r w:rsidRPr="004D75FE">
        <w:rPr>
          <w:rFonts w:hint="eastAsia"/>
        </w:rPr>
        <w:t>以及</w:t>
      </w:r>
      <w:r w:rsidRPr="004D75FE">
        <w:t xml:space="preserve"> </w:t>
      </w:r>
      <w:r w:rsidRPr="004D75FE">
        <w:rPr>
          <w:rFonts w:hint="eastAsia"/>
        </w:rPr>
        <w:t>“规章的科学标准”</w:t>
      </w:r>
      <w:r w:rsidRPr="004D75FE">
        <w:t xml:space="preserve"> (</w:t>
      </w:r>
      <w:r w:rsidRPr="004D75FE">
        <w:rPr>
          <w:rFonts w:hint="eastAsia"/>
        </w:rPr>
        <w:t>第二百零一条</w:t>
      </w:r>
      <w:r w:rsidRPr="004D75FE">
        <w:t>)</w:t>
      </w:r>
      <w:r w:rsidRPr="004D75FE">
        <w:rPr>
          <w:rFonts w:hint="eastAsia"/>
        </w:rPr>
        <w:t>。《海洋法公约》关于海洋科学研究的第十三部分第二节规定了“国际合作”，写明了“国际合作的促进”</w:t>
      </w:r>
      <w:r w:rsidRPr="004D75FE">
        <w:t>(</w:t>
      </w:r>
      <w:r w:rsidRPr="004D75FE">
        <w:rPr>
          <w:rFonts w:hint="eastAsia"/>
        </w:rPr>
        <w:t>第二百四十二条</w:t>
      </w:r>
      <w:r w:rsidRPr="004D75FE">
        <w:t>)</w:t>
      </w:r>
      <w:r w:rsidRPr="004D75FE">
        <w:rPr>
          <w:rFonts w:hint="eastAsia"/>
        </w:rPr>
        <w:t>、“有利条件的创造”</w:t>
      </w:r>
      <w:r w:rsidRPr="004D75FE">
        <w:t>(</w:t>
      </w:r>
      <w:r w:rsidRPr="004D75FE">
        <w:rPr>
          <w:rFonts w:hint="eastAsia"/>
        </w:rPr>
        <w:t>第二百四十三条</w:t>
      </w:r>
      <w:r>
        <w:t>)</w:t>
      </w:r>
      <w:r w:rsidRPr="004D75FE">
        <w:rPr>
          <w:rFonts w:hint="eastAsia"/>
        </w:rPr>
        <w:t>和“情报和知识的公布和传播”</w:t>
      </w:r>
      <w:r w:rsidRPr="004D75FE">
        <w:t>(</w:t>
      </w:r>
      <w:r w:rsidRPr="004D75FE">
        <w:rPr>
          <w:rFonts w:hint="eastAsia"/>
        </w:rPr>
        <w:t>第二百四十四条</w:t>
      </w:r>
      <w:r w:rsidRPr="004D75FE">
        <w:t xml:space="preserve">) </w:t>
      </w:r>
      <w:r w:rsidRPr="004D75FE">
        <w:rPr>
          <w:rFonts w:hint="eastAsia"/>
        </w:rPr>
        <w:t>等内容</w:t>
      </w:r>
      <w:r w:rsidRPr="004D75FE">
        <w:t>(</w:t>
      </w:r>
      <w:r w:rsidRPr="004D75FE">
        <w:t>联合国，《条约汇编》，</w:t>
      </w:r>
      <w:r w:rsidRPr="004D75FE">
        <w:rPr>
          <w:rFonts w:hint="eastAsia"/>
        </w:rPr>
        <w:t>第</w:t>
      </w:r>
      <w:r w:rsidRPr="004D75FE">
        <w:t>1833</w:t>
      </w:r>
      <w:r w:rsidRPr="004D75FE">
        <w:rPr>
          <w:rFonts w:hint="eastAsia"/>
        </w:rPr>
        <w:t>卷，第</w:t>
      </w:r>
      <w:r w:rsidRPr="004D75FE">
        <w:t>3</w:t>
      </w:r>
      <w:r w:rsidRPr="004D75FE">
        <w:rPr>
          <w:rFonts w:hint="eastAsia"/>
        </w:rPr>
        <w:t>页</w:t>
      </w:r>
      <w:r w:rsidRPr="004D75FE">
        <w:t>)</w:t>
      </w:r>
      <w:r w:rsidRPr="004D75FE">
        <w:rPr>
          <w:rFonts w:hint="eastAsia"/>
        </w:rPr>
        <w:t>。</w:t>
      </w:r>
    </w:p>
  </w:footnote>
  <w:footnote w:id="6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BB6462">
        <w:tab/>
      </w:r>
      <w:r w:rsidRPr="00BB6462">
        <w:rPr>
          <w:rFonts w:hint="eastAsia"/>
        </w:rPr>
        <w:t>第</w:t>
      </w:r>
      <w:r w:rsidRPr="00BB6462">
        <w:rPr>
          <w:rFonts w:hint="eastAsia"/>
        </w:rPr>
        <w:t>8</w:t>
      </w:r>
      <w:r w:rsidRPr="00BB6462">
        <w:rPr>
          <w:rFonts w:hint="eastAsia"/>
        </w:rPr>
        <w:t>条草案规定：“按照本条款草案，各国应酌情相互合作，并与联合国和其他主管政府间组织、红十字会与红新月会国际联合会和红十字国际委员会，以及与有关非政府组织合作。”</w:t>
      </w:r>
    </w:p>
  </w:footnote>
  <w:footnote w:id="68">
    <w:p w:rsidR="00F60D83" w:rsidRPr="00D11FBB"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4D75FE">
        <w:rPr>
          <w:rStyle w:val="a3"/>
          <w:color w:val="0000CC"/>
          <w:szCs w:val="21"/>
        </w:rPr>
        <w:footnoteRef/>
      </w:r>
      <w:r w:rsidRPr="00D11FBB">
        <w:tab/>
      </w:r>
      <w:r w:rsidRPr="00D11FBB">
        <w:rPr>
          <w:rFonts w:hint="eastAsia"/>
        </w:rPr>
        <w:t>11</w:t>
      </w:r>
      <w:r w:rsidRPr="00BB6462">
        <w:rPr>
          <w:rFonts w:hint="eastAsia"/>
        </w:rPr>
        <w:t>个国家即布隆迪、刚果民主共和国、吉布提、厄立特里亚、埃塞俄比亚、肯尼亚、卢旺达、索</w:t>
      </w:r>
      <w:r w:rsidRPr="00D11FBB">
        <w:rPr>
          <w:rFonts w:hint="eastAsia"/>
          <w:spacing w:val="-4"/>
        </w:rPr>
        <w:t>马里、苏丹、坦桑尼亚、乌干达达成了这个框架协定，可查阅</w:t>
      </w:r>
      <w:r w:rsidRPr="00D11FBB">
        <w:rPr>
          <w:spacing w:val="-4"/>
        </w:rPr>
        <w:t>http://www.unep.org/urban_environment/</w:t>
      </w:r>
      <w:r>
        <w:rPr>
          <w:rFonts w:hint="eastAsia"/>
        </w:rPr>
        <w:t xml:space="preserve"> </w:t>
      </w:r>
      <w:r w:rsidRPr="00D11FBB">
        <w:t>PDFs/EABAQ2008-AirPollutionAgreement.pdf</w:t>
      </w:r>
      <w:r w:rsidRPr="00BB6462">
        <w:rPr>
          <w:rFonts w:hint="eastAsia"/>
        </w:rPr>
        <w:t>。</w:t>
      </w:r>
    </w:p>
  </w:footnote>
  <w:footnote w:id="6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D11FBB">
        <w:tab/>
      </w:r>
      <w:r w:rsidRPr="004D75FE">
        <w:rPr>
          <w:rStyle w:val="a3"/>
          <w:color w:val="0000CC"/>
          <w:szCs w:val="21"/>
        </w:rPr>
        <w:footnoteRef/>
      </w:r>
      <w:r w:rsidRPr="00BB6462">
        <w:tab/>
      </w:r>
      <w:r w:rsidRPr="00BB6462">
        <w:rPr>
          <w:rFonts w:hint="eastAsia"/>
        </w:rPr>
        <w:t>21</w:t>
      </w:r>
      <w:r w:rsidRPr="00BB6462">
        <w:rPr>
          <w:rFonts w:hint="eastAsia"/>
        </w:rPr>
        <w:t>个国家即安哥拉、贝宁、布基纳法索、喀麦隆、佛得角、乍得、布拉柴维尔刚果、科特迪瓦、刚果民主共和国、赤道几内亚、冈比亚、加纳、几内亚、几内亚比绍</w:t>
      </w:r>
      <w:r w:rsidRPr="00BB6462">
        <w:rPr>
          <w:rFonts w:hint="eastAsia"/>
        </w:rPr>
        <w:t xml:space="preserve">, </w:t>
      </w:r>
      <w:r w:rsidRPr="00BB6462">
        <w:rPr>
          <w:rFonts w:hint="eastAsia"/>
        </w:rPr>
        <w:t>利比里亚、马里、尼日尔、</w:t>
      </w:r>
      <w:r w:rsidRPr="00D11FBB">
        <w:rPr>
          <w:rFonts w:hint="eastAsia"/>
          <w:spacing w:val="-6"/>
        </w:rPr>
        <w:t>尼日利亚、塞内加尔、塞拉利昂、多哥达成了这个协定，可查阅</w:t>
      </w:r>
      <w:r w:rsidRPr="00BB6462">
        <w:t>&lt;</w:t>
      </w:r>
      <w:r w:rsidRPr="00D11FBB">
        <w:rPr>
          <w:spacing w:val="-4"/>
        </w:rPr>
        <w:t>http://www.unep.org/urban_environmen</w:t>
      </w:r>
      <w:r w:rsidRPr="00BB6462">
        <w:t>t/</w:t>
      </w:r>
      <w:r>
        <w:rPr>
          <w:rFonts w:hint="eastAsia"/>
        </w:rPr>
        <w:t xml:space="preserve"> </w:t>
      </w:r>
      <w:r w:rsidRPr="00BB6462">
        <w:t>PDFs/BAQ09_AgreementEn.Pdf&gt;</w:t>
      </w:r>
      <w:r w:rsidRPr="00BB6462">
        <w:rPr>
          <w:rFonts w:hint="eastAsia"/>
        </w:rPr>
        <w:t>。</w:t>
      </w:r>
    </w:p>
  </w:footnote>
  <w:footnote w:id="7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en-GB"/>
        </w:rPr>
      </w:pPr>
      <w:r w:rsidRPr="00BB6462">
        <w:rPr>
          <w:rFonts w:hint="eastAsia"/>
          <w:lang w:val="en-GB"/>
        </w:rPr>
        <w:tab/>
      </w:r>
      <w:r w:rsidRPr="00BB6462">
        <w:rPr>
          <w:rStyle w:val="a3"/>
          <w:szCs w:val="21"/>
          <w:lang w:val="en-GB"/>
        </w:rPr>
        <w:footnoteRef/>
      </w:r>
      <w:r w:rsidRPr="00BB6462">
        <w:rPr>
          <w:rFonts w:hint="eastAsia"/>
          <w:lang w:val="en-GB"/>
        </w:rPr>
        <w:tab/>
      </w:r>
      <w:r w:rsidRPr="00BB6462">
        <w:rPr>
          <w:rFonts w:hint="eastAsia"/>
          <w:lang w:val="en-GB"/>
        </w:rPr>
        <w:t>在</w:t>
      </w:r>
      <w:r w:rsidRPr="00BB6462">
        <w:rPr>
          <w:lang w:val="en-GB"/>
        </w:rPr>
        <w:t>2012</w:t>
      </w:r>
      <w:r w:rsidRPr="00BB6462">
        <w:rPr>
          <w:rFonts w:hint="eastAsia"/>
          <w:lang w:val="en-GB"/>
        </w:rPr>
        <w:t>年</w:t>
      </w:r>
      <w:r w:rsidRPr="00BB6462">
        <w:rPr>
          <w:lang w:val="en-GB"/>
        </w:rPr>
        <w:t>5</w:t>
      </w:r>
      <w:r w:rsidRPr="00BB6462">
        <w:rPr>
          <w:rFonts w:hint="eastAsia"/>
          <w:lang w:val="en-GB"/>
        </w:rPr>
        <w:t>月</w:t>
      </w:r>
      <w:r w:rsidRPr="00BB6462">
        <w:rPr>
          <w:lang w:val="en-GB"/>
        </w:rPr>
        <w:t>22</w:t>
      </w:r>
      <w:r w:rsidRPr="00BB6462">
        <w:rPr>
          <w:rFonts w:hint="eastAsia"/>
          <w:lang w:val="en-GB"/>
        </w:rPr>
        <w:t>日举行的第</w:t>
      </w:r>
      <w:r w:rsidRPr="00BB6462">
        <w:rPr>
          <w:lang w:val="en-GB"/>
        </w:rPr>
        <w:t>3132</w:t>
      </w:r>
      <w:r w:rsidRPr="00BB6462">
        <w:rPr>
          <w:rFonts w:hint="eastAsia"/>
          <w:lang w:val="en-GB"/>
        </w:rPr>
        <w:t>次会议上</w:t>
      </w:r>
      <w:r w:rsidRPr="00BB6462">
        <w:rPr>
          <w:lang w:val="en-GB"/>
        </w:rPr>
        <w:t>(</w:t>
      </w:r>
      <w:r w:rsidRPr="00BB6462">
        <w:rPr>
          <w:rFonts w:hint="eastAsia"/>
          <w:lang w:val="en-GB"/>
        </w:rPr>
        <w:t>《大会正式记录，第六十七届会议，补编第</w:t>
      </w:r>
      <w:r w:rsidRPr="00BB6462">
        <w:rPr>
          <w:lang w:val="en-GB"/>
        </w:rPr>
        <w:t>10</w:t>
      </w:r>
      <w:r w:rsidRPr="00BB6462">
        <w:rPr>
          <w:rFonts w:hint="eastAsia"/>
          <w:lang w:val="en-GB"/>
        </w:rPr>
        <w:t>号》</w:t>
      </w:r>
      <w:r w:rsidRPr="00BB6462">
        <w:rPr>
          <w:lang w:val="en-GB"/>
        </w:rPr>
        <w:t>(A/67/10)</w:t>
      </w:r>
      <w:r w:rsidRPr="00BB6462">
        <w:rPr>
          <w:rFonts w:hint="eastAsia"/>
          <w:lang w:val="en-GB"/>
        </w:rPr>
        <w:t>，第</w:t>
      </w:r>
      <w:r w:rsidRPr="00BB6462">
        <w:rPr>
          <w:lang w:val="en-GB"/>
        </w:rPr>
        <w:t>157</w:t>
      </w:r>
      <w:r w:rsidRPr="00BB6462">
        <w:rPr>
          <w:rFonts w:hint="eastAsia"/>
          <w:lang w:val="en-GB"/>
        </w:rPr>
        <w:t>段</w:t>
      </w:r>
      <w:r w:rsidRPr="00BB6462">
        <w:rPr>
          <w:lang w:val="en-GB"/>
        </w:rPr>
        <w:t>)</w:t>
      </w:r>
      <w:r w:rsidRPr="00BB6462">
        <w:rPr>
          <w:rFonts w:hint="eastAsia"/>
          <w:lang w:val="en-GB"/>
        </w:rPr>
        <w:t>。大会在</w:t>
      </w:r>
      <w:r w:rsidRPr="00BB6462">
        <w:rPr>
          <w:lang w:val="en-GB"/>
        </w:rPr>
        <w:t>2012</w:t>
      </w:r>
      <w:r w:rsidRPr="00BB6462">
        <w:rPr>
          <w:rFonts w:hint="eastAsia"/>
          <w:lang w:val="en-GB"/>
        </w:rPr>
        <w:t>年</w:t>
      </w:r>
      <w:r w:rsidRPr="00BB6462">
        <w:rPr>
          <w:lang w:val="en-GB"/>
        </w:rPr>
        <w:t>12</w:t>
      </w:r>
      <w:r w:rsidRPr="00BB6462">
        <w:rPr>
          <w:rFonts w:hint="eastAsia"/>
          <w:lang w:val="en-GB"/>
        </w:rPr>
        <w:t>月</w:t>
      </w:r>
      <w:r w:rsidRPr="00BB6462">
        <w:rPr>
          <w:lang w:val="en-GB"/>
        </w:rPr>
        <w:t>14</w:t>
      </w:r>
      <w:r w:rsidRPr="00BB6462">
        <w:rPr>
          <w:rFonts w:hint="eastAsia"/>
          <w:lang w:val="en-GB"/>
        </w:rPr>
        <w:t>日第</w:t>
      </w:r>
      <w:r w:rsidRPr="00BB6462">
        <w:rPr>
          <w:lang w:val="en-GB"/>
        </w:rPr>
        <w:t>67/92</w:t>
      </w:r>
      <w:r w:rsidRPr="00BB6462">
        <w:rPr>
          <w:rFonts w:hint="eastAsia"/>
          <w:lang w:val="en-GB"/>
        </w:rPr>
        <w:t>号决议第</w:t>
      </w:r>
      <w:r w:rsidRPr="00BB6462">
        <w:rPr>
          <w:lang w:val="en-GB"/>
        </w:rPr>
        <w:t>7</w:t>
      </w:r>
      <w:r w:rsidRPr="00BB6462">
        <w:rPr>
          <w:rFonts w:hint="eastAsia"/>
          <w:lang w:val="en-GB"/>
        </w:rPr>
        <w:t>段中赞赏地注意到委员会决定将该专题列入</w:t>
      </w:r>
      <w:r w:rsidRPr="00BB6462">
        <w:rPr>
          <w:lang w:val="en-GB"/>
        </w:rPr>
        <w:t>工作方案</w:t>
      </w:r>
      <w:r w:rsidRPr="00BB6462">
        <w:rPr>
          <w:rFonts w:hint="eastAsia"/>
          <w:lang w:val="en-GB"/>
        </w:rPr>
        <w:t>。委员会第六十三届会议</w:t>
      </w:r>
      <w:r w:rsidRPr="00BB6462">
        <w:rPr>
          <w:lang w:val="en-GB"/>
        </w:rPr>
        <w:t>(2011</w:t>
      </w:r>
      <w:r w:rsidRPr="00BB6462">
        <w:rPr>
          <w:rFonts w:hint="eastAsia"/>
          <w:lang w:val="en-GB"/>
        </w:rPr>
        <w:t>年</w:t>
      </w:r>
      <w:r w:rsidRPr="00BB6462">
        <w:rPr>
          <w:lang w:val="en-GB"/>
        </w:rPr>
        <w:t>)</w:t>
      </w:r>
      <w:r w:rsidRPr="00BB6462">
        <w:rPr>
          <w:rFonts w:hint="eastAsia"/>
          <w:lang w:val="en-GB"/>
        </w:rPr>
        <w:t>按照委员会报告附件</w:t>
      </w:r>
      <w:r w:rsidRPr="00BB6462">
        <w:rPr>
          <w:lang w:val="en-GB"/>
        </w:rPr>
        <w:t>A</w:t>
      </w:r>
      <w:r w:rsidRPr="00BB6462">
        <w:rPr>
          <w:rFonts w:hint="eastAsia"/>
          <w:lang w:val="en-GB"/>
        </w:rPr>
        <w:t>所载的建议</w:t>
      </w:r>
      <w:r w:rsidRPr="00BB6462">
        <w:rPr>
          <w:lang w:val="en-GB"/>
        </w:rPr>
        <w:t>(</w:t>
      </w:r>
      <w:r w:rsidRPr="00BB6462">
        <w:rPr>
          <w:rFonts w:hint="eastAsia"/>
          <w:lang w:val="en-GB"/>
        </w:rPr>
        <w:t>《大会正式记录，第六十六届会议，补编第</w:t>
      </w:r>
      <w:r w:rsidRPr="00BB6462">
        <w:rPr>
          <w:lang w:val="en-GB"/>
        </w:rPr>
        <w:t>10</w:t>
      </w:r>
      <w:r w:rsidRPr="00BB6462">
        <w:rPr>
          <w:rFonts w:hint="eastAsia"/>
          <w:lang w:val="en-GB"/>
        </w:rPr>
        <w:t>号》</w:t>
      </w:r>
      <w:r w:rsidRPr="00BB6462">
        <w:rPr>
          <w:lang w:val="en-GB"/>
        </w:rPr>
        <w:t>(A/66/10)</w:t>
      </w:r>
      <w:r w:rsidRPr="00BB6462">
        <w:rPr>
          <w:rFonts w:hint="eastAsia"/>
          <w:lang w:val="en-GB"/>
        </w:rPr>
        <w:t>，第</w:t>
      </w:r>
      <w:r w:rsidRPr="00BB6462">
        <w:rPr>
          <w:lang w:val="en-GB"/>
        </w:rPr>
        <w:t>305</w:t>
      </w:r>
      <w:r w:rsidRPr="00BB6462">
        <w:rPr>
          <w:rFonts w:hint="eastAsia"/>
          <w:lang w:val="en-GB"/>
        </w:rPr>
        <w:t>-</w:t>
      </w:r>
      <w:r w:rsidRPr="00BB6462">
        <w:rPr>
          <w:lang w:val="en-GB"/>
        </w:rPr>
        <w:t>314</w:t>
      </w:r>
      <w:r w:rsidRPr="00BB6462">
        <w:rPr>
          <w:rFonts w:hint="eastAsia"/>
          <w:lang w:val="en-GB"/>
        </w:rPr>
        <w:t>段</w:t>
      </w:r>
      <w:r w:rsidRPr="00BB6462">
        <w:rPr>
          <w:lang w:val="en-GB"/>
        </w:rPr>
        <w:t>)</w:t>
      </w:r>
      <w:r w:rsidRPr="00BB6462">
        <w:rPr>
          <w:rFonts w:hint="eastAsia"/>
          <w:lang w:val="en-GB"/>
        </w:rPr>
        <w:t>将该专题列入长期</w:t>
      </w:r>
      <w:r w:rsidRPr="00BB6462">
        <w:rPr>
          <w:lang w:val="en-GB"/>
        </w:rPr>
        <w:t>工作方案</w:t>
      </w:r>
      <w:r w:rsidRPr="00BB6462">
        <w:rPr>
          <w:rFonts w:hint="eastAsia"/>
          <w:lang w:val="en-GB"/>
        </w:rPr>
        <w:t>。</w:t>
      </w:r>
    </w:p>
  </w:footnote>
  <w:footnote w:id="7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en-GB"/>
        </w:rPr>
      </w:pPr>
      <w:r w:rsidRPr="00BB6462">
        <w:rPr>
          <w:rFonts w:hint="eastAsia"/>
          <w:lang w:val="en-GB"/>
        </w:rPr>
        <w:tab/>
      </w:r>
      <w:r w:rsidRPr="00BB6462">
        <w:rPr>
          <w:rStyle w:val="a3"/>
          <w:szCs w:val="21"/>
          <w:lang w:val="en-GB"/>
        </w:rPr>
        <w:footnoteRef/>
      </w:r>
      <w:r w:rsidRPr="00BB6462">
        <w:rPr>
          <w:rFonts w:hint="eastAsia"/>
          <w:lang w:val="en-GB"/>
        </w:rPr>
        <w:tab/>
      </w:r>
      <w:r w:rsidRPr="00BB6462">
        <w:rPr>
          <w:rFonts w:hint="eastAsia"/>
          <w:lang w:val="en-GB"/>
        </w:rPr>
        <w:t>《大会正式记录，第六十七届会议，补编第</w:t>
      </w:r>
      <w:r w:rsidRPr="00BB6462">
        <w:rPr>
          <w:lang w:val="en-GB"/>
        </w:rPr>
        <w:t>10</w:t>
      </w:r>
      <w:r w:rsidRPr="00BB6462">
        <w:rPr>
          <w:rFonts w:hint="eastAsia"/>
          <w:lang w:val="en-GB"/>
        </w:rPr>
        <w:t>号》</w:t>
      </w:r>
      <w:r w:rsidRPr="00BB6462">
        <w:rPr>
          <w:lang w:val="en-GB"/>
        </w:rPr>
        <w:t>(A/67/10)</w:t>
      </w:r>
      <w:r w:rsidRPr="00BB6462">
        <w:rPr>
          <w:rFonts w:hint="eastAsia"/>
          <w:lang w:val="en-GB"/>
        </w:rPr>
        <w:t>，第</w:t>
      </w:r>
      <w:r w:rsidRPr="00BB6462">
        <w:rPr>
          <w:lang w:val="en-GB"/>
        </w:rPr>
        <w:t>157</w:t>
      </w:r>
      <w:r w:rsidRPr="00BB6462">
        <w:rPr>
          <w:rFonts w:hint="eastAsia"/>
          <w:lang w:val="en-GB"/>
        </w:rPr>
        <w:t>-</w:t>
      </w:r>
      <w:r w:rsidRPr="00BB6462">
        <w:rPr>
          <w:lang w:val="en-GB"/>
        </w:rPr>
        <w:t>202</w:t>
      </w:r>
      <w:r w:rsidRPr="00BB6462">
        <w:rPr>
          <w:rFonts w:hint="eastAsia"/>
          <w:lang w:val="en-GB"/>
        </w:rPr>
        <w:t>段。</w:t>
      </w:r>
    </w:p>
  </w:footnote>
  <w:footnote w:id="7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en-GB"/>
        </w:rPr>
      </w:pPr>
      <w:r w:rsidRPr="00BB6462">
        <w:rPr>
          <w:rFonts w:hint="eastAsia"/>
          <w:i/>
          <w:lang w:val="en-GB"/>
        </w:rPr>
        <w:tab/>
      </w:r>
      <w:r w:rsidRPr="00BB6462">
        <w:rPr>
          <w:rStyle w:val="a3"/>
          <w:szCs w:val="21"/>
          <w:lang w:val="en-GB"/>
        </w:rPr>
        <w:footnoteRef/>
      </w:r>
      <w:r w:rsidRPr="00BB6462">
        <w:rPr>
          <w:rFonts w:hint="eastAsia"/>
          <w:i/>
          <w:lang w:val="en-GB"/>
        </w:rPr>
        <w:tab/>
      </w:r>
      <w:r w:rsidRPr="00BB6462">
        <w:rPr>
          <w:rFonts w:hint="eastAsia"/>
          <w:lang w:val="en-GB"/>
        </w:rPr>
        <w:t>同上，第</w:t>
      </w:r>
      <w:r w:rsidRPr="00BB6462">
        <w:rPr>
          <w:lang w:val="en-GB"/>
        </w:rPr>
        <w:t>159</w:t>
      </w:r>
      <w:r w:rsidRPr="00BB6462">
        <w:rPr>
          <w:rFonts w:hint="eastAsia"/>
          <w:lang w:val="en-GB"/>
        </w:rPr>
        <w:t>段。</w:t>
      </w:r>
    </w:p>
  </w:footnote>
  <w:footnote w:id="7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en-GB"/>
        </w:rPr>
      </w:pPr>
      <w:r w:rsidRPr="00BB6462">
        <w:rPr>
          <w:rFonts w:hint="eastAsia"/>
          <w:lang w:val="en-GB"/>
        </w:rPr>
        <w:tab/>
      </w:r>
      <w:r w:rsidRPr="00BB6462">
        <w:rPr>
          <w:rStyle w:val="a3"/>
          <w:szCs w:val="21"/>
          <w:lang w:val="en-GB"/>
        </w:rPr>
        <w:footnoteRef/>
      </w:r>
      <w:r w:rsidRPr="00BB6462">
        <w:rPr>
          <w:rFonts w:hint="eastAsia"/>
          <w:lang w:val="en-GB"/>
        </w:rPr>
        <w:tab/>
      </w:r>
      <w:r w:rsidRPr="00BB6462">
        <w:rPr>
          <w:rFonts w:hint="eastAsia"/>
          <w:lang w:val="en-GB"/>
        </w:rPr>
        <w:t>《大会正式记录，第六十八届会议，补编第</w:t>
      </w:r>
      <w:r w:rsidRPr="00BB6462">
        <w:rPr>
          <w:lang w:val="en-GB"/>
        </w:rPr>
        <w:t>10</w:t>
      </w:r>
      <w:r w:rsidRPr="00BB6462">
        <w:rPr>
          <w:rFonts w:hint="eastAsia"/>
          <w:lang w:val="en-GB"/>
        </w:rPr>
        <w:t>号》</w:t>
      </w:r>
      <w:r w:rsidRPr="00BB6462">
        <w:rPr>
          <w:lang w:val="en-GB"/>
        </w:rPr>
        <w:t>(A/68/10)</w:t>
      </w:r>
      <w:r w:rsidRPr="00BB6462">
        <w:rPr>
          <w:rFonts w:hint="eastAsia"/>
          <w:lang w:val="en-GB"/>
        </w:rPr>
        <w:t>，第</w:t>
      </w:r>
      <w:r w:rsidRPr="00BB6462">
        <w:rPr>
          <w:lang w:val="en-GB"/>
        </w:rPr>
        <w:t>64</w:t>
      </w:r>
      <w:r w:rsidRPr="00BB6462">
        <w:rPr>
          <w:rFonts w:hint="eastAsia"/>
          <w:lang w:val="en-GB"/>
        </w:rPr>
        <w:t>段。</w:t>
      </w:r>
    </w:p>
  </w:footnote>
  <w:footnote w:id="7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lang w:val="en-GB"/>
        </w:rPr>
        <w:tab/>
      </w:r>
      <w:r w:rsidRPr="00BB6462">
        <w:rPr>
          <w:rStyle w:val="a3"/>
          <w:szCs w:val="21"/>
        </w:rPr>
        <w:footnoteRef/>
      </w:r>
      <w:r w:rsidRPr="00BB6462">
        <w:rPr>
          <w:rFonts w:hint="eastAsia"/>
          <w:lang w:val="en-GB"/>
        </w:rPr>
        <w:tab/>
      </w:r>
      <w:r w:rsidRPr="00BB6462">
        <w:rPr>
          <w:rFonts w:hint="eastAsia"/>
          <w:lang w:val="en-GB"/>
        </w:rPr>
        <w:t>《大会正式记录，第六十九届会议，补编第</w:t>
      </w:r>
      <w:r w:rsidRPr="00BB6462">
        <w:rPr>
          <w:lang w:val="en-GB"/>
        </w:rPr>
        <w:t>10</w:t>
      </w:r>
      <w:r w:rsidRPr="00BB6462">
        <w:rPr>
          <w:rFonts w:hint="eastAsia"/>
          <w:lang w:val="en-GB"/>
        </w:rPr>
        <w:t>号》</w:t>
      </w:r>
      <w:r w:rsidRPr="00BB6462">
        <w:rPr>
          <w:lang w:val="en-GB"/>
        </w:rPr>
        <w:t>(A/6</w:t>
      </w:r>
      <w:r w:rsidRPr="00BB6462">
        <w:rPr>
          <w:rFonts w:hint="eastAsia"/>
          <w:lang w:val="en-GB"/>
        </w:rPr>
        <w:t>9</w:t>
      </w:r>
      <w:r w:rsidRPr="00BB6462">
        <w:rPr>
          <w:lang w:val="en-GB"/>
        </w:rPr>
        <w:t>/10)</w:t>
      </w:r>
      <w:r w:rsidRPr="00BB6462">
        <w:rPr>
          <w:rFonts w:hint="eastAsia"/>
          <w:lang w:val="en-GB"/>
        </w:rPr>
        <w:t>，第</w:t>
      </w:r>
      <w:r w:rsidRPr="00BB6462">
        <w:rPr>
          <w:rFonts w:hint="eastAsia"/>
          <w:lang w:val="en-GB"/>
        </w:rPr>
        <w:t>135</w:t>
      </w:r>
      <w:r w:rsidRPr="00BB6462">
        <w:rPr>
          <w:rFonts w:hint="eastAsia"/>
          <w:lang w:val="en-GB"/>
        </w:rPr>
        <w:t>段。</w:t>
      </w:r>
    </w:p>
  </w:footnote>
  <w:footnote w:id="7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BB6462">
        <w:rPr>
          <w:rStyle w:val="a3"/>
          <w:szCs w:val="21"/>
        </w:rPr>
        <w:footnoteRef/>
      </w:r>
      <w:r>
        <w:rPr>
          <w:rFonts w:hint="eastAsia"/>
        </w:rPr>
        <w:tab/>
      </w:r>
      <w:r w:rsidRPr="00BB6462">
        <w:rPr>
          <w:rFonts w:hint="eastAsia"/>
        </w:rPr>
        <w:t>特别报告员在其第三次报告</w:t>
      </w:r>
      <w:r w:rsidRPr="00BB6462">
        <w:t>(A/CN.4/682)</w:t>
      </w:r>
      <w:r w:rsidRPr="00BB6462">
        <w:rPr>
          <w:rFonts w:hint="eastAsia"/>
        </w:rPr>
        <w:t>中提议的结论草案案文读作如下：</w:t>
      </w:r>
    </w:p>
    <w:p w:rsidR="00F60D83" w:rsidRPr="001F36D8"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1F36D8">
        <w:rPr>
          <w:rFonts w:ascii="黑体" w:eastAsia="黑体" w:hAnsi="Kaiti SC Black" w:cs="Kaiti SC Black" w:hint="eastAsia"/>
        </w:rPr>
        <w:tab/>
      </w:r>
      <w:r w:rsidRPr="001F36D8">
        <w:rPr>
          <w:rFonts w:ascii="黑体" w:eastAsia="黑体" w:hAnsi="Songti SC Regular" w:cs="Kaiti SC Black"/>
        </w:rPr>
        <w:t>结论草案</w:t>
      </w:r>
      <w:r w:rsidRPr="001F36D8">
        <w:rPr>
          <w:rFonts w:ascii="黑体" w:eastAsia="黑体" w:hAnsi="Songti SC Regular" w:hint="eastAsia"/>
        </w:rPr>
        <w:t>3[4]</w:t>
      </w:r>
    </w:p>
    <w:p w:rsidR="00F60D83" w:rsidRPr="00366F7A" w:rsidRDefault="00F60D83" w:rsidP="00366F7A">
      <w:pPr>
        <w:pStyle w:val="a5"/>
        <w:tabs>
          <w:tab w:val="clear" w:pos="418"/>
          <w:tab w:val="left" w:pos="1695"/>
          <w:tab w:val="left" w:pos="2126"/>
          <w:tab w:val="left" w:pos="2557"/>
        </w:tabs>
        <w:ind w:left="1610" w:right="1264" w:hanging="4"/>
        <w:rPr>
          <w:rFonts w:ascii="楷体" w:eastAsia="楷体" w:hAnsi="楷体"/>
          <w:b/>
          <w:bCs/>
        </w:rPr>
      </w:pPr>
      <w:r w:rsidRPr="001F36D8">
        <w:rPr>
          <w:rFonts w:ascii="黑体" w:eastAsia="黑体" w:hAnsi="Songti SC Regular"/>
        </w:rPr>
        <w:tab/>
      </w:r>
      <w:r w:rsidRPr="00366F7A">
        <w:rPr>
          <w:rFonts w:ascii="楷体" w:eastAsia="楷体" w:hAnsi="楷体" w:hint="eastAsia"/>
          <w:b/>
          <w:bCs/>
        </w:rPr>
        <w:t>评估两要素的证据</w:t>
      </w:r>
    </w:p>
    <w:p w:rsidR="00F60D83" w:rsidRPr="00BB6462" w:rsidRDefault="00F60D83" w:rsidP="00366F7A">
      <w:pPr>
        <w:pStyle w:val="a5"/>
        <w:tabs>
          <w:tab w:val="clear" w:pos="418"/>
          <w:tab w:val="left" w:pos="1695"/>
          <w:tab w:val="left" w:pos="2126"/>
          <w:tab w:val="left" w:pos="2557"/>
        </w:tabs>
        <w:ind w:left="1610" w:right="1264" w:hanging="4"/>
        <w:rPr>
          <w:rFonts w:ascii="Songti SC Regular" w:eastAsia="Songti SC Regular" w:hAnsi="Songti SC Regular"/>
        </w:rPr>
      </w:pPr>
      <w:r w:rsidRPr="00BB6462">
        <w:rPr>
          <w:rFonts w:ascii="Songti SC Regular" w:eastAsia="Songti SC Regular" w:hAnsi="Songti SC Regular"/>
        </w:rPr>
        <w:tab/>
      </w:r>
      <w:r w:rsidR="00366F7A" w:rsidRPr="00BB6462">
        <w:rPr>
          <w:rFonts w:ascii="Songti SC Regular" w:hAnsi="Songti SC Regular" w:hint="eastAsia"/>
        </w:rPr>
        <w:t>……</w:t>
      </w:r>
    </w:p>
    <w:p w:rsidR="00F60D83" w:rsidRPr="00BB6462" w:rsidRDefault="00F60D83" w:rsidP="00C81548">
      <w:pPr>
        <w:pStyle w:val="a5"/>
        <w:tabs>
          <w:tab w:val="clear" w:pos="418"/>
          <w:tab w:val="left" w:pos="1985"/>
        </w:tabs>
        <w:ind w:left="1610" w:right="1264" w:hanging="4"/>
        <w:rPr>
          <w:rFonts w:ascii="Songti SC Regular" w:hAnsi="Songti SC Regular"/>
          <w:spacing w:val="-2"/>
        </w:rPr>
      </w:pPr>
      <w:r>
        <w:rPr>
          <w:rFonts w:ascii="Songti SC Regular" w:hAnsi="Songti SC Regular" w:hint="eastAsia"/>
          <w:spacing w:val="-2"/>
        </w:rPr>
        <w:tab/>
      </w:r>
      <w:r w:rsidRPr="00BB6462">
        <w:rPr>
          <w:rFonts w:ascii="Songti SC Regular" w:hAnsi="Songti SC Regular" w:hint="eastAsia"/>
          <w:spacing w:val="-2"/>
        </w:rPr>
        <w:t>2.</w:t>
      </w:r>
      <w:r w:rsidRPr="00BB6462">
        <w:rPr>
          <w:rFonts w:ascii="Songti SC Regular" w:hAnsi="Songti SC Regular"/>
          <w:spacing w:val="-2"/>
        </w:rPr>
        <w:tab/>
      </w:r>
      <w:r w:rsidRPr="00BB6462">
        <w:rPr>
          <w:rFonts w:ascii="Songti SC Regular" w:hAnsi="Songti SC Regular" w:hint="eastAsia"/>
          <w:spacing w:val="-2"/>
        </w:rPr>
        <w:t>对每一要素都必须单独予以确定。这一般需要评估每一要素的具体证据。</w:t>
      </w:r>
    </w:p>
    <w:p w:rsidR="00F60D83" w:rsidRPr="001F36D8"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BB6462">
        <w:rPr>
          <w:rFonts w:ascii="Songti SC Regular" w:eastAsia="Songti SC Regular" w:hAnsi="Songti SC Regular"/>
        </w:rPr>
        <w:tab/>
      </w:r>
      <w:r w:rsidRPr="001F36D8">
        <w:rPr>
          <w:rFonts w:ascii="黑体" w:eastAsia="黑体" w:hAnsi="Songti SC Regular" w:cs="Kaiti SC Black"/>
        </w:rPr>
        <w:t>结论草案</w:t>
      </w:r>
      <w:r w:rsidRPr="001F36D8">
        <w:rPr>
          <w:rFonts w:ascii="黑体" w:eastAsia="黑体" w:hAnsi="Songti SC Regular" w:hint="eastAsia"/>
        </w:rPr>
        <w:t>4[5]</w:t>
      </w:r>
    </w:p>
    <w:p w:rsidR="00F60D83" w:rsidRPr="001F36D8"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BB6462">
        <w:rPr>
          <w:rFonts w:ascii="Songti SC Regular" w:hAnsi="Songti SC Regular"/>
        </w:rPr>
        <w:tab/>
      </w:r>
      <w:r w:rsidRPr="00366F7A">
        <w:rPr>
          <w:rFonts w:ascii="楷体" w:eastAsia="楷体" w:hAnsi="楷体" w:hint="eastAsia"/>
          <w:b/>
          <w:bCs/>
        </w:rPr>
        <w:t>惯例要求</w:t>
      </w:r>
    </w:p>
    <w:p w:rsidR="00F60D83" w:rsidRPr="00BB6462" w:rsidRDefault="00F60D83" w:rsidP="00366F7A">
      <w:pPr>
        <w:pStyle w:val="a5"/>
        <w:tabs>
          <w:tab w:val="clear" w:pos="418"/>
          <w:tab w:val="left" w:pos="1695"/>
          <w:tab w:val="left" w:pos="2126"/>
          <w:tab w:val="left" w:pos="2557"/>
        </w:tabs>
        <w:ind w:left="1610" w:right="1264" w:hanging="4"/>
        <w:rPr>
          <w:rFonts w:ascii="Songti SC Regular" w:hAnsi="Songti SC Regular"/>
        </w:rPr>
      </w:pPr>
      <w:r w:rsidRPr="00BB6462">
        <w:rPr>
          <w:rFonts w:ascii="Songti SC Regular" w:hAnsi="Songti SC Regular"/>
        </w:rPr>
        <w:tab/>
      </w:r>
      <w:r w:rsidRPr="00BB6462">
        <w:rPr>
          <w:rFonts w:ascii="Songti SC Regular" w:hAnsi="Songti SC Regular" w:hint="eastAsia"/>
        </w:rPr>
        <w:t>……</w:t>
      </w:r>
    </w:p>
    <w:p w:rsidR="00F60D83" w:rsidRPr="00BB6462" w:rsidRDefault="00F60D83" w:rsidP="00C81548">
      <w:pPr>
        <w:pStyle w:val="a5"/>
        <w:tabs>
          <w:tab w:val="clear" w:pos="418"/>
          <w:tab w:val="left" w:pos="1985"/>
        </w:tabs>
        <w:ind w:left="1610" w:right="1264" w:hanging="4"/>
        <w:rPr>
          <w:rFonts w:ascii="Songti SC Regular" w:hAnsi="Songti SC Regular"/>
          <w:spacing w:val="-2"/>
        </w:rPr>
      </w:pPr>
      <w:r>
        <w:rPr>
          <w:rFonts w:ascii="Songti SC Regular" w:hAnsi="Songti SC Regular" w:hint="eastAsia"/>
          <w:spacing w:val="-2"/>
        </w:rPr>
        <w:tab/>
      </w:r>
      <w:r w:rsidRPr="00BB6462">
        <w:rPr>
          <w:rFonts w:ascii="Songti SC Regular" w:hAnsi="Songti SC Regular" w:hint="eastAsia"/>
          <w:spacing w:val="-2"/>
        </w:rPr>
        <w:t>3.</w:t>
      </w:r>
      <w:r w:rsidRPr="00BB6462">
        <w:rPr>
          <w:rFonts w:ascii="Songti SC Regular" w:hAnsi="Songti SC Regular"/>
          <w:spacing w:val="-2"/>
        </w:rPr>
        <w:tab/>
      </w:r>
      <w:r>
        <w:rPr>
          <w:rFonts w:ascii="Songti SC Regular" w:hAnsi="Songti SC Regular" w:hint="eastAsia"/>
          <w:spacing w:val="-2"/>
        </w:rPr>
        <w:t>其他非国家行为者</w:t>
      </w:r>
      <w:r w:rsidRPr="00BB6462">
        <w:rPr>
          <w:rFonts w:ascii="Songti SC Regular" w:hAnsi="Songti SC Regular" w:hint="eastAsia"/>
          <w:spacing w:val="-2"/>
        </w:rPr>
        <w:t>的行为不是习惯国际法的形成或识别方面的惯例。</w:t>
      </w:r>
    </w:p>
    <w:p w:rsidR="00F60D83" w:rsidRPr="001F36D8"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BB6462">
        <w:rPr>
          <w:rFonts w:ascii="Songti SC Regular" w:hAnsi="Songti SC Regular"/>
        </w:rPr>
        <w:tab/>
      </w:r>
      <w:r w:rsidRPr="001F36D8">
        <w:rPr>
          <w:rFonts w:ascii="黑体" w:eastAsia="黑体" w:hAnsi="Songti SC Regular" w:cs="Kaiti SC Black"/>
        </w:rPr>
        <w:t>结论草案</w:t>
      </w:r>
      <w:r w:rsidRPr="001F36D8">
        <w:rPr>
          <w:rFonts w:ascii="黑体" w:eastAsia="黑体" w:hAnsi="Songti SC Regular" w:hint="eastAsia"/>
        </w:rPr>
        <w:t>11</w:t>
      </w:r>
    </w:p>
    <w:p w:rsidR="00F60D83" w:rsidRPr="001F36D8"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1F36D8">
        <w:rPr>
          <w:rFonts w:ascii="黑体" w:eastAsia="黑体" w:hAnsi="Songti SC Regular"/>
        </w:rPr>
        <w:tab/>
      </w:r>
      <w:r w:rsidRPr="00366F7A">
        <w:rPr>
          <w:rFonts w:ascii="楷体" w:eastAsia="楷体" w:hAnsi="楷体" w:hint="eastAsia"/>
          <w:b/>
          <w:bCs/>
        </w:rPr>
        <w:t>接受为法律的证据</w:t>
      </w:r>
    </w:p>
    <w:p w:rsidR="00F60D83" w:rsidRPr="00BB6462" w:rsidRDefault="00F60D83" w:rsidP="00366F7A">
      <w:pPr>
        <w:pStyle w:val="a5"/>
        <w:tabs>
          <w:tab w:val="clear" w:pos="418"/>
          <w:tab w:val="left" w:pos="1695"/>
          <w:tab w:val="left" w:pos="2126"/>
          <w:tab w:val="left" w:pos="2557"/>
        </w:tabs>
        <w:ind w:left="1610" w:right="1264" w:hanging="4"/>
        <w:rPr>
          <w:rFonts w:ascii="Songti SC Regular" w:hAnsi="Songti SC Regular"/>
        </w:rPr>
      </w:pPr>
      <w:r w:rsidRPr="00BB6462">
        <w:rPr>
          <w:rFonts w:ascii="Songti SC Regular" w:hAnsi="Songti SC Regular" w:hint="eastAsia"/>
        </w:rPr>
        <w:tab/>
      </w:r>
      <w:r w:rsidRPr="00BB6462">
        <w:rPr>
          <w:rFonts w:ascii="Songti SC Regular" w:hAnsi="Songti SC Regular" w:hint="eastAsia"/>
        </w:rPr>
        <w:t>……</w:t>
      </w:r>
    </w:p>
    <w:p w:rsidR="00F60D83" w:rsidRPr="00BB6462" w:rsidRDefault="00F60D83" w:rsidP="00C81548">
      <w:pPr>
        <w:pStyle w:val="a5"/>
        <w:tabs>
          <w:tab w:val="clear" w:pos="418"/>
          <w:tab w:val="left" w:pos="1985"/>
        </w:tabs>
        <w:ind w:left="1610" w:right="1264" w:hanging="4"/>
      </w:pPr>
      <w:r>
        <w:rPr>
          <w:rFonts w:ascii="Songti SC Regular" w:hAnsi="Songti SC Regular" w:hint="eastAsia"/>
          <w:spacing w:val="-2"/>
        </w:rPr>
        <w:tab/>
      </w:r>
      <w:r w:rsidRPr="00BB6462">
        <w:rPr>
          <w:rFonts w:ascii="Songti SC Regular" w:hAnsi="Songti SC Regular" w:hint="eastAsia"/>
          <w:spacing w:val="-2"/>
        </w:rPr>
        <w:t>3.</w:t>
      </w:r>
      <w:r w:rsidRPr="00BB6462">
        <w:rPr>
          <w:rFonts w:ascii="Songti SC Regular" w:hAnsi="Songti SC Regular"/>
          <w:spacing w:val="-2"/>
        </w:rPr>
        <w:tab/>
      </w:r>
      <w:r w:rsidRPr="00BB6462">
        <w:rPr>
          <w:rFonts w:ascii="Songti SC Regular" w:hAnsi="Songti SC Regular" w:hint="eastAsia"/>
          <w:spacing w:val="-2"/>
        </w:rPr>
        <w:t>不作为也可成为接受为法律的证据，条件是相关情况要求做出某种反应。</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Pr>
          <w:rFonts w:hint="eastAsia"/>
        </w:rPr>
        <w:tab/>
      </w:r>
      <w:r w:rsidRPr="00305A8A">
        <w:rPr>
          <w:rFonts w:ascii="黑体" w:eastAsia="黑体" w:hAnsi="Songti SC Regular" w:hint="eastAsia"/>
        </w:rPr>
        <w:t>第五部分</w:t>
      </w:r>
    </w:p>
    <w:p w:rsidR="00F60D83" w:rsidRPr="00305A8A" w:rsidRDefault="00F60D83" w:rsidP="00366F7A">
      <w:pPr>
        <w:pStyle w:val="a5"/>
        <w:tabs>
          <w:tab w:val="clear" w:pos="418"/>
          <w:tab w:val="left" w:pos="1932"/>
        </w:tabs>
        <w:ind w:left="1610" w:right="1264" w:hanging="4"/>
        <w:rPr>
          <w:rFonts w:ascii="黑体" w:eastAsia="黑体" w:hAnsi="Songti SC Regular"/>
        </w:rPr>
      </w:pPr>
      <w:r w:rsidRPr="00305A8A">
        <w:rPr>
          <w:rFonts w:ascii="黑体" w:eastAsia="黑体" w:hAnsi="Songti SC Regular"/>
        </w:rPr>
        <w:tab/>
      </w:r>
      <w:r w:rsidRPr="00305A8A">
        <w:rPr>
          <w:rFonts w:ascii="黑体" w:eastAsia="黑体" w:hAnsi="Songti SC Regular" w:hint="eastAsia"/>
        </w:rPr>
        <w:t>特定形式的惯例和证据</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ab/>
        <w:t>结论草案12</w:t>
      </w:r>
    </w:p>
    <w:p w:rsidR="00F60D83" w:rsidRPr="00366F7A" w:rsidRDefault="00F60D83" w:rsidP="00366F7A">
      <w:pPr>
        <w:pStyle w:val="a5"/>
        <w:tabs>
          <w:tab w:val="clear" w:pos="418"/>
          <w:tab w:val="left" w:pos="1695"/>
          <w:tab w:val="left" w:pos="2126"/>
          <w:tab w:val="left" w:pos="2557"/>
        </w:tabs>
        <w:ind w:left="1610" w:right="1264" w:hanging="4"/>
        <w:rPr>
          <w:rFonts w:ascii="楷体" w:eastAsia="楷体" w:hAnsi="楷体"/>
        </w:rPr>
      </w:pPr>
      <w:r w:rsidRPr="00305A8A">
        <w:rPr>
          <w:rFonts w:ascii="黑体" w:eastAsia="黑体" w:hAnsi="Songti SC Regular" w:hint="eastAsia"/>
        </w:rPr>
        <w:tab/>
      </w:r>
      <w:r w:rsidRPr="00366F7A">
        <w:rPr>
          <w:rFonts w:ascii="楷体" w:eastAsia="楷体" w:hAnsi="楷体" w:hint="eastAsia"/>
          <w:b/>
          <w:bCs/>
        </w:rPr>
        <w:t>条约</w:t>
      </w:r>
    </w:p>
    <w:p w:rsidR="00F60D83" w:rsidRPr="00BB6462" w:rsidRDefault="00F60D83" w:rsidP="00366F7A">
      <w:pPr>
        <w:pStyle w:val="a5"/>
        <w:tabs>
          <w:tab w:val="clear" w:pos="418"/>
          <w:tab w:val="left" w:pos="2126"/>
          <w:tab w:val="left" w:pos="2557"/>
        </w:tabs>
        <w:ind w:left="1610" w:right="1264" w:hanging="4"/>
        <w:rPr>
          <w:rFonts w:ascii="Songti SC Regular" w:hAnsi="Songti SC Regular"/>
        </w:rPr>
      </w:pPr>
      <w:r>
        <w:rPr>
          <w:rFonts w:ascii="Songti SC Regular" w:hAnsi="Songti SC Regular" w:hint="eastAsia"/>
        </w:rPr>
        <w:tab/>
      </w:r>
      <w:r w:rsidR="00366F7A">
        <w:rPr>
          <w:rFonts w:ascii="Songti SC Regular" w:hAnsi="Songti SC Regular" w:hint="eastAsia"/>
        </w:rPr>
        <w:tab/>
      </w:r>
      <w:r w:rsidRPr="00BB6462">
        <w:rPr>
          <w:rFonts w:ascii="Songti SC Regular" w:hAnsi="Songti SC Regular" w:hint="eastAsia"/>
        </w:rPr>
        <w:t>如果确定所涉条约规定符合以下条件，则该项规定可反映或最终反映习惯国际法规则：</w:t>
      </w:r>
    </w:p>
    <w:p w:rsidR="00F60D83" w:rsidRPr="00BB6462" w:rsidRDefault="00F60D83" w:rsidP="00366F7A">
      <w:pPr>
        <w:pStyle w:val="a5"/>
        <w:tabs>
          <w:tab w:val="clear" w:pos="418"/>
          <w:tab w:val="left" w:pos="2126"/>
          <w:tab w:val="left" w:pos="2557"/>
        </w:tabs>
        <w:ind w:left="1610" w:right="1264" w:hanging="4"/>
        <w:rPr>
          <w:rFonts w:ascii="Songti SC Regular" w:hAnsi="Songti SC Regular"/>
        </w:rPr>
      </w:pPr>
      <w:r>
        <w:rPr>
          <w:rFonts w:ascii="Songti SC Regular" w:hAnsi="Songti SC Regular" w:hint="eastAsia"/>
        </w:rPr>
        <w:tab/>
      </w:r>
      <w:r>
        <w:rPr>
          <w:rFonts w:ascii="Songti SC Regular" w:hAnsi="Songti SC Regular" w:hint="eastAsia"/>
        </w:rPr>
        <w:tab/>
      </w:r>
      <w:r w:rsidRPr="00BB6462">
        <w:rPr>
          <w:rFonts w:ascii="Songti SC Regular" w:hAnsi="Songti SC Regular" w:hint="eastAsia"/>
        </w:rPr>
        <w:t>(a)</w:t>
      </w:r>
      <w:r w:rsidRPr="00BB6462">
        <w:rPr>
          <w:rFonts w:ascii="Songti SC Regular" w:hAnsi="Songti SC Regular"/>
        </w:rPr>
        <w:tab/>
      </w:r>
      <w:r w:rsidRPr="00BB6462">
        <w:rPr>
          <w:rFonts w:ascii="Songti SC Regular" w:hAnsi="Songti SC Regular" w:hint="eastAsia"/>
        </w:rPr>
        <w:t>在订立条约时编纂现有的习惯国际法规则；</w:t>
      </w:r>
    </w:p>
    <w:p w:rsidR="00F60D83" w:rsidRPr="00BB6462" w:rsidRDefault="00F60D83" w:rsidP="00366F7A">
      <w:pPr>
        <w:pStyle w:val="a5"/>
        <w:tabs>
          <w:tab w:val="clear" w:pos="418"/>
          <w:tab w:val="left" w:pos="2126"/>
          <w:tab w:val="left" w:pos="2557"/>
        </w:tabs>
        <w:ind w:left="1610" w:right="1264" w:hanging="4"/>
        <w:rPr>
          <w:rFonts w:ascii="Songti SC Regular" w:hAnsi="Songti SC Regular"/>
        </w:rPr>
      </w:pPr>
      <w:r>
        <w:rPr>
          <w:rFonts w:ascii="Songti SC Regular" w:hAnsi="Songti SC Regular" w:hint="eastAsia"/>
        </w:rPr>
        <w:tab/>
      </w:r>
      <w:r>
        <w:rPr>
          <w:rFonts w:ascii="Songti SC Regular" w:hAnsi="Songti SC Regular" w:hint="eastAsia"/>
        </w:rPr>
        <w:tab/>
      </w:r>
      <w:r w:rsidRPr="00BB6462">
        <w:rPr>
          <w:rFonts w:ascii="Songti SC Regular" w:hAnsi="Songti SC Regular" w:hint="eastAsia"/>
        </w:rPr>
        <w:t>(b)</w:t>
      </w:r>
      <w:r w:rsidRPr="00BB6462">
        <w:rPr>
          <w:rFonts w:ascii="Songti SC Regular" w:hAnsi="Songti SC Regular"/>
        </w:rPr>
        <w:tab/>
      </w:r>
      <w:r w:rsidRPr="00BB6462">
        <w:rPr>
          <w:rFonts w:ascii="Songti SC Regular" w:hAnsi="Songti SC Regular" w:hint="eastAsia"/>
        </w:rPr>
        <w:t>导致正在出现的新习惯国际法规则定型；或</w:t>
      </w:r>
    </w:p>
    <w:p w:rsidR="00F60D83" w:rsidRPr="00BB6462" w:rsidRDefault="00F60D83" w:rsidP="00366F7A">
      <w:pPr>
        <w:pStyle w:val="a5"/>
        <w:tabs>
          <w:tab w:val="clear" w:pos="418"/>
          <w:tab w:val="left" w:pos="2126"/>
          <w:tab w:val="left" w:pos="2557"/>
        </w:tabs>
        <w:ind w:left="1610" w:right="1264" w:hanging="4"/>
        <w:rPr>
          <w:rFonts w:ascii="Songti SC Regular" w:hAnsi="Songti SC Regular"/>
        </w:rPr>
      </w:pPr>
      <w:r>
        <w:rPr>
          <w:rFonts w:ascii="Songti SC Regular" w:hAnsi="Songti SC Regular" w:hint="eastAsia"/>
        </w:rPr>
        <w:tab/>
      </w:r>
      <w:r>
        <w:rPr>
          <w:rFonts w:ascii="Songti SC Regular" w:hAnsi="Songti SC Regular" w:hint="eastAsia"/>
        </w:rPr>
        <w:tab/>
      </w:r>
      <w:r w:rsidRPr="00BB6462">
        <w:rPr>
          <w:rFonts w:ascii="Songti SC Regular" w:hAnsi="Songti SC Regular" w:hint="eastAsia"/>
        </w:rPr>
        <w:t>(c)</w:t>
      </w:r>
      <w:r w:rsidRPr="00BB6462">
        <w:rPr>
          <w:rFonts w:ascii="Songti SC Regular" w:hAnsi="Songti SC Regular"/>
        </w:rPr>
        <w:tab/>
      </w:r>
      <w:r w:rsidRPr="00BB6462">
        <w:rPr>
          <w:rFonts w:ascii="Songti SC Regular" w:hAnsi="Songti SC Regular" w:hint="eastAsia"/>
        </w:rPr>
        <w:t>导致被接受为法律的一般惯例，从而产生新的习惯国际法规则。</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结论草案13</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66F7A">
        <w:rPr>
          <w:rFonts w:ascii="楷体" w:eastAsia="楷体" w:hAnsi="楷体" w:hint="eastAsia"/>
          <w:b/>
          <w:bCs/>
        </w:rPr>
        <w:t>国际组织和会议的决议</w:t>
      </w:r>
    </w:p>
    <w:p w:rsidR="00F60D83" w:rsidRPr="003539DE" w:rsidRDefault="00F60D83" w:rsidP="00366F7A">
      <w:pPr>
        <w:pStyle w:val="a5"/>
        <w:tabs>
          <w:tab w:val="clear" w:pos="418"/>
          <w:tab w:val="left" w:pos="2126"/>
          <w:tab w:val="left" w:pos="2557"/>
        </w:tabs>
        <w:ind w:left="1610" w:right="1264" w:firstLine="378"/>
        <w:rPr>
          <w:rFonts w:ascii="Songti SC Regular" w:hAnsi="Songti SC Regular"/>
        </w:rPr>
      </w:pPr>
      <w:r w:rsidRPr="00BB6462">
        <w:rPr>
          <w:rFonts w:ascii="Songti SC Regular" w:hAnsi="Songti SC Regular" w:hint="eastAsia"/>
        </w:rPr>
        <w:t>在某些情况下，国际组织或国际会议上的决议可作为习惯国际法的证据或对其发展作出贡献；这些决议自身不构成习惯国际法。</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结论草案14</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66F7A">
        <w:rPr>
          <w:rFonts w:ascii="楷体" w:eastAsia="楷体" w:hAnsi="楷体" w:hint="eastAsia"/>
          <w:b/>
          <w:bCs/>
        </w:rPr>
        <w:t>司法裁决和论著</w:t>
      </w:r>
    </w:p>
    <w:p w:rsidR="00F60D83" w:rsidRPr="00BB6462" w:rsidRDefault="00F60D83" w:rsidP="00366F7A">
      <w:pPr>
        <w:pStyle w:val="a5"/>
        <w:tabs>
          <w:tab w:val="clear" w:pos="418"/>
          <w:tab w:val="left" w:pos="2126"/>
          <w:tab w:val="left" w:pos="2557"/>
        </w:tabs>
        <w:ind w:left="1610" w:right="1264" w:firstLine="378"/>
        <w:rPr>
          <w:rFonts w:ascii="Songti SC Regular" w:hAnsi="Songti SC Regular"/>
        </w:rPr>
      </w:pPr>
      <w:r w:rsidRPr="00BB6462">
        <w:rPr>
          <w:rFonts w:ascii="Songti SC Regular" w:hAnsi="Songti SC Regular" w:hint="eastAsia"/>
        </w:rPr>
        <w:t>司法裁决和论著可用作识别习惯国际法规则的辅助手段。</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第六部分</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习惯国际法规则的普遍适用的例外</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结论草案15</w:t>
      </w:r>
    </w:p>
    <w:p w:rsidR="00F60D83" w:rsidRPr="00305A8A" w:rsidRDefault="00F60D83" w:rsidP="00366F7A">
      <w:pPr>
        <w:pStyle w:val="a5"/>
        <w:tabs>
          <w:tab w:val="clear" w:pos="418"/>
          <w:tab w:val="left" w:pos="2126"/>
          <w:tab w:val="left" w:pos="2557"/>
        </w:tabs>
        <w:ind w:left="1610" w:right="1264" w:hanging="4"/>
        <w:rPr>
          <w:rFonts w:ascii="黑体" w:eastAsia="黑体" w:hAnsi="Songti SC Regular"/>
        </w:rPr>
      </w:pPr>
      <w:r w:rsidRPr="00366F7A">
        <w:rPr>
          <w:rFonts w:ascii="楷体" w:eastAsia="楷体" w:hAnsi="楷体" w:hint="eastAsia"/>
          <w:b/>
          <w:bCs/>
        </w:rPr>
        <w:t>特别习惯</w:t>
      </w:r>
    </w:p>
    <w:p w:rsidR="00F60D83" w:rsidRPr="00BB6462" w:rsidRDefault="00F60D83" w:rsidP="00C81548">
      <w:pPr>
        <w:pStyle w:val="a5"/>
        <w:tabs>
          <w:tab w:val="clear" w:pos="418"/>
          <w:tab w:val="left" w:pos="1985"/>
        </w:tabs>
        <w:ind w:left="1610" w:right="1264" w:hanging="4"/>
        <w:rPr>
          <w:rFonts w:ascii="Songti SC Regular" w:hAnsi="Songti SC Regular"/>
        </w:rPr>
      </w:pPr>
      <w:r w:rsidRPr="00BB6462">
        <w:rPr>
          <w:rFonts w:ascii="Songti SC Regular" w:hAnsi="Songti SC Regular" w:hint="eastAsia"/>
        </w:rPr>
        <w:t>1.</w:t>
      </w:r>
      <w:r w:rsidRPr="00BB6462">
        <w:rPr>
          <w:rFonts w:ascii="Songti SC Regular" w:hAnsi="Songti SC Regular"/>
        </w:rPr>
        <w:tab/>
      </w:r>
      <w:r w:rsidRPr="00BB6462">
        <w:rPr>
          <w:rFonts w:ascii="Songti SC Regular" w:hAnsi="Songti SC Regular" w:hint="eastAsia"/>
        </w:rPr>
        <w:t>特别习惯是只能由并针对某些国家援引的习惯国际法规则。</w:t>
      </w:r>
    </w:p>
    <w:p w:rsidR="00F60D83" w:rsidRPr="00BB6462" w:rsidRDefault="00F60D83" w:rsidP="00C81548">
      <w:pPr>
        <w:pStyle w:val="a5"/>
        <w:tabs>
          <w:tab w:val="clear" w:pos="418"/>
          <w:tab w:val="left" w:pos="1985"/>
        </w:tabs>
        <w:ind w:left="1610" w:right="1264" w:hanging="4"/>
        <w:rPr>
          <w:rFonts w:ascii="Songti SC Regular" w:hAnsi="Songti SC Regular"/>
        </w:rPr>
      </w:pPr>
      <w:r>
        <w:rPr>
          <w:rFonts w:ascii="Songti SC Regular" w:hAnsi="Songti SC Regular" w:hint="eastAsia"/>
        </w:rPr>
        <w:tab/>
      </w:r>
      <w:r w:rsidRPr="00BB6462">
        <w:rPr>
          <w:rFonts w:ascii="Songti SC Regular" w:hAnsi="Songti SC Regular" w:hint="eastAsia"/>
        </w:rPr>
        <w:t>2.</w:t>
      </w:r>
      <w:r w:rsidRPr="00BB6462">
        <w:rPr>
          <w:rFonts w:ascii="Songti SC Regular" w:hAnsi="Songti SC Regular"/>
        </w:rPr>
        <w:tab/>
      </w:r>
      <w:r w:rsidRPr="00BB6462">
        <w:rPr>
          <w:rFonts w:ascii="Songti SC Regular" w:hAnsi="Songti SC Regular" w:hint="eastAsia"/>
        </w:rPr>
        <w:t>要确定一项特别习惯的存在及其内容，必须认定在有关国家之间是否存在一项被其中每个国家接受为法律</w:t>
      </w:r>
      <w:r w:rsidRPr="00BB6462">
        <w:rPr>
          <w:rFonts w:ascii="Songti SC Regular" w:hAnsi="Songti SC Regular" w:hint="eastAsia"/>
        </w:rPr>
        <w:t>(</w:t>
      </w:r>
      <w:r w:rsidRPr="00BB6462">
        <w:rPr>
          <w:rFonts w:ascii="Songti SC Regular" w:hAnsi="Songti SC Regular" w:hint="eastAsia"/>
        </w:rPr>
        <w:t>法律</w:t>
      </w:r>
      <w:r>
        <w:rPr>
          <w:rFonts w:ascii="Songti SC Regular" w:hAnsi="Songti SC Regular"/>
        </w:rPr>
        <w:t>确信</w:t>
      </w:r>
      <w:r w:rsidRPr="00BB6462">
        <w:rPr>
          <w:rFonts w:ascii="Songti SC Regular" w:hAnsi="Songti SC Regular" w:hint="eastAsia"/>
        </w:rPr>
        <w:t>)</w:t>
      </w:r>
      <w:r w:rsidRPr="00BB6462">
        <w:rPr>
          <w:rFonts w:ascii="Songti SC Regular" w:hAnsi="Songti SC Regular" w:hint="eastAsia"/>
        </w:rPr>
        <w:t>的一般惯例。</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结论草案16</w:t>
      </w:r>
    </w:p>
    <w:p w:rsidR="00F60D83" w:rsidRPr="00305A8A" w:rsidRDefault="00F60D83" w:rsidP="00366F7A">
      <w:pPr>
        <w:pStyle w:val="a5"/>
        <w:tabs>
          <w:tab w:val="clear" w:pos="418"/>
          <w:tab w:val="left" w:pos="1695"/>
          <w:tab w:val="left" w:pos="2126"/>
          <w:tab w:val="left" w:pos="2557"/>
        </w:tabs>
        <w:ind w:left="1610" w:right="1264" w:hanging="4"/>
        <w:rPr>
          <w:rFonts w:ascii="黑体" w:eastAsia="黑体" w:hAnsi="Songti SC Regular"/>
        </w:rPr>
      </w:pPr>
      <w:r w:rsidRPr="00305A8A">
        <w:rPr>
          <w:rFonts w:ascii="黑体" w:eastAsia="黑体" w:hAnsi="Songti SC Regular" w:hint="eastAsia"/>
        </w:rPr>
        <w:t>一贯反对者</w:t>
      </w:r>
    </w:p>
    <w:p w:rsidR="00F60D83" w:rsidRPr="003539DE" w:rsidRDefault="00F60D83" w:rsidP="00366F7A">
      <w:pPr>
        <w:pStyle w:val="a5"/>
        <w:tabs>
          <w:tab w:val="clear" w:pos="418"/>
        </w:tabs>
        <w:ind w:left="1610" w:right="1264" w:firstLine="364"/>
        <w:rPr>
          <w:rFonts w:ascii="Songti SC Regular" w:hAnsi="Songti SC Regular"/>
        </w:rPr>
      </w:pPr>
      <w:r w:rsidRPr="00BB6462">
        <w:rPr>
          <w:rFonts w:ascii="Songti SC Regular" w:hAnsi="Songti SC Regular" w:hint="eastAsia"/>
        </w:rPr>
        <w:t>在一项新的习惯国际法规则形成过程中，一国若对此规则一贯表示反对，则只要该国维持其反对立场，便不受该规则约束。</w:t>
      </w:r>
    </w:p>
  </w:footnote>
  <w:footnote w:id="7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BB6462">
        <w:rPr>
          <w:rStyle w:val="a3"/>
          <w:szCs w:val="21"/>
        </w:rPr>
        <w:footnoteRef/>
      </w:r>
      <w:r w:rsidRPr="00BB6462">
        <w:rPr>
          <w:rFonts w:hint="eastAsia"/>
        </w:rPr>
        <w:tab/>
      </w:r>
      <w:r w:rsidRPr="00BB6462">
        <w:rPr>
          <w:rFonts w:hint="eastAsia"/>
        </w:rPr>
        <w:t>起草委员会主席的发言的附件载有起草委员会暂时通过的</w:t>
      </w:r>
      <w:r w:rsidRPr="00BB6462">
        <w:rPr>
          <w:rFonts w:hint="eastAsia"/>
        </w:rPr>
        <w:t>16</w:t>
      </w:r>
      <w:r w:rsidRPr="00BB6462">
        <w:rPr>
          <w:rFonts w:hint="eastAsia"/>
        </w:rPr>
        <w:t>条结论草案，可从委员会网站上查阅：</w:t>
      </w:r>
      <w:r w:rsidRPr="00BB6462">
        <w:t>&lt;http://legal.un.org/ilc&gt;</w:t>
      </w:r>
      <w:r w:rsidRPr="00BB6462">
        <w:rPr>
          <w:rFonts w:hint="eastAsia"/>
        </w:rPr>
        <w:t>。</w:t>
      </w:r>
    </w:p>
  </w:footnote>
  <w:footnote w:id="77">
    <w:p w:rsidR="00F60D83" w:rsidRPr="00BB6462" w:rsidRDefault="00F60D83" w:rsidP="006C74BB">
      <w:pPr>
        <w:pStyle w:val="a5"/>
        <w:tabs>
          <w:tab w:val="clear" w:pos="418"/>
          <w:tab w:val="right" w:pos="1195"/>
          <w:tab w:val="left" w:pos="1264"/>
          <w:tab w:val="left" w:pos="1695"/>
          <w:tab w:val="left" w:pos="2126"/>
          <w:tab w:val="left" w:pos="2557"/>
        </w:tabs>
        <w:ind w:left="1264" w:right="1264" w:hanging="432"/>
        <w:rPr>
          <w:rStyle w:val="a3"/>
          <w:szCs w:val="21"/>
          <w:lang w:val="en-GB"/>
        </w:rPr>
      </w:pPr>
      <w:r w:rsidRPr="00BB6462">
        <w:rPr>
          <w:rFonts w:hint="eastAsia"/>
          <w:lang w:val="en-GB"/>
        </w:rPr>
        <w:tab/>
      </w:r>
      <w:r w:rsidRPr="00736AA5">
        <w:rPr>
          <w:rStyle w:val="a3"/>
          <w:rFonts w:eastAsia="Calibri"/>
          <w:szCs w:val="21"/>
          <w:lang w:val="en-GB"/>
        </w:rPr>
        <w:footnoteRef/>
      </w:r>
      <w:r w:rsidRPr="00BB6462">
        <w:rPr>
          <w:rFonts w:hint="eastAsia"/>
          <w:lang w:val="en-GB"/>
        </w:rPr>
        <w:tab/>
      </w:r>
      <w:r w:rsidRPr="00BB6462">
        <w:rPr>
          <w:rFonts w:hint="eastAsia"/>
          <w:lang w:val="en-GB"/>
        </w:rPr>
        <w:t>《大会正式记录，第六十八届会议，补编第</w:t>
      </w:r>
      <w:r w:rsidRPr="00BB6462">
        <w:rPr>
          <w:lang w:val="en-GB"/>
        </w:rPr>
        <w:t>10</w:t>
      </w:r>
      <w:r w:rsidRPr="00BB6462">
        <w:rPr>
          <w:rFonts w:hint="eastAsia"/>
          <w:lang w:val="en-GB"/>
        </w:rPr>
        <w:t>号》</w:t>
      </w:r>
      <w:r w:rsidRPr="00BB6462">
        <w:rPr>
          <w:lang w:val="en-GB"/>
        </w:rPr>
        <w:t>(A/6</w:t>
      </w:r>
      <w:r w:rsidRPr="00BB6462">
        <w:rPr>
          <w:rFonts w:hint="eastAsia"/>
          <w:lang w:val="en-GB"/>
        </w:rPr>
        <w:t>8</w:t>
      </w:r>
      <w:r w:rsidRPr="00BB6462">
        <w:rPr>
          <w:lang w:val="en-GB"/>
        </w:rPr>
        <w:t>/10)</w:t>
      </w:r>
      <w:r w:rsidRPr="00BB6462">
        <w:rPr>
          <w:rFonts w:hint="eastAsia"/>
          <w:lang w:val="en-GB"/>
        </w:rPr>
        <w:t>，附件</w:t>
      </w:r>
      <w:r w:rsidRPr="00BB6462">
        <w:rPr>
          <w:rFonts w:hint="eastAsia"/>
          <w:lang w:val="en-GB"/>
        </w:rPr>
        <w:t>B</w:t>
      </w:r>
      <w:r w:rsidRPr="00BB6462">
        <w:rPr>
          <w:rFonts w:hint="eastAsia"/>
          <w:lang w:val="en-GB"/>
        </w:rPr>
        <w:t>。</w:t>
      </w:r>
    </w:p>
  </w:footnote>
  <w:footnote w:id="78">
    <w:p w:rsidR="00F60D83" w:rsidRPr="00BB6462" w:rsidRDefault="00F60D83" w:rsidP="006C74BB">
      <w:pPr>
        <w:pStyle w:val="a5"/>
        <w:tabs>
          <w:tab w:val="clear" w:pos="418"/>
          <w:tab w:val="right" w:pos="1195"/>
          <w:tab w:val="left" w:pos="1264"/>
          <w:tab w:val="left" w:pos="1695"/>
          <w:tab w:val="left" w:pos="2126"/>
          <w:tab w:val="left" w:pos="2557"/>
        </w:tabs>
        <w:ind w:left="1264" w:right="1264" w:hanging="432"/>
        <w:rPr>
          <w:rStyle w:val="a3"/>
          <w:szCs w:val="21"/>
          <w:lang w:val="en-GB"/>
        </w:rPr>
      </w:pPr>
      <w:r w:rsidRPr="00BB6462">
        <w:rPr>
          <w:rFonts w:hint="eastAsia"/>
          <w:iCs/>
          <w:lang w:val="en-GB"/>
        </w:rPr>
        <w:tab/>
      </w:r>
      <w:r w:rsidRPr="00736AA5">
        <w:rPr>
          <w:rStyle w:val="a3"/>
          <w:rFonts w:eastAsia="Calibri"/>
          <w:szCs w:val="21"/>
          <w:lang w:val="en-GB"/>
        </w:rPr>
        <w:footnoteRef/>
      </w:r>
      <w:r w:rsidRPr="00BB6462">
        <w:rPr>
          <w:rFonts w:hint="eastAsia"/>
          <w:iCs/>
          <w:lang w:val="en-GB"/>
        </w:rPr>
        <w:tab/>
      </w:r>
      <w:r w:rsidRPr="00BB6462">
        <w:rPr>
          <w:rFonts w:hint="eastAsia"/>
          <w:lang w:val="en-GB"/>
        </w:rPr>
        <w:t>同上，第</w:t>
      </w:r>
      <w:r w:rsidRPr="00BB6462">
        <w:rPr>
          <w:rFonts w:hint="eastAsia"/>
          <w:lang w:val="en-GB"/>
        </w:rPr>
        <w:t>169-170</w:t>
      </w:r>
      <w:r w:rsidRPr="00BB6462">
        <w:rPr>
          <w:rFonts w:hint="eastAsia"/>
          <w:lang w:val="en-GB"/>
        </w:rPr>
        <w:t>段。</w:t>
      </w:r>
    </w:p>
  </w:footnote>
  <w:footnote w:id="7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rStyle w:val="a3"/>
          <w:szCs w:val="21"/>
          <w:lang w:val="en-GB"/>
        </w:rPr>
      </w:pPr>
      <w:r w:rsidRPr="00BB6462">
        <w:rPr>
          <w:rFonts w:hint="eastAsia"/>
          <w:lang w:val="en-GB"/>
        </w:rPr>
        <w:tab/>
      </w:r>
      <w:r w:rsidRPr="00736AA5">
        <w:rPr>
          <w:rStyle w:val="a3"/>
          <w:rFonts w:eastAsia="Calibri"/>
          <w:szCs w:val="21"/>
          <w:lang w:val="en-GB"/>
        </w:rPr>
        <w:footnoteRef/>
      </w:r>
      <w:r w:rsidRPr="00BB6462">
        <w:rPr>
          <w:rFonts w:hint="eastAsia"/>
          <w:lang w:val="en-GB"/>
        </w:rPr>
        <w:tab/>
      </w:r>
      <w:r w:rsidRPr="00BB6462">
        <w:rPr>
          <w:rFonts w:hint="eastAsia"/>
          <w:lang w:val="en-GB"/>
        </w:rPr>
        <w:t>同上，《第六十九届会议，补编第</w:t>
      </w:r>
      <w:r w:rsidRPr="00BB6462">
        <w:rPr>
          <w:rFonts w:hint="eastAsia"/>
          <w:lang w:val="en-GB"/>
        </w:rPr>
        <w:t>10</w:t>
      </w:r>
      <w:r w:rsidRPr="00BB6462">
        <w:rPr>
          <w:rFonts w:hint="eastAsia"/>
          <w:lang w:val="en-GB"/>
        </w:rPr>
        <w:t>号》</w:t>
      </w:r>
      <w:r w:rsidRPr="00BB6462">
        <w:rPr>
          <w:lang w:val="en-GB"/>
        </w:rPr>
        <w:t>(A/6</w:t>
      </w:r>
      <w:r w:rsidRPr="00BB6462">
        <w:rPr>
          <w:rFonts w:hint="eastAsia"/>
          <w:lang w:val="en-GB"/>
        </w:rPr>
        <w:t>9</w:t>
      </w:r>
      <w:r w:rsidRPr="00BB6462">
        <w:rPr>
          <w:lang w:val="en-GB"/>
        </w:rPr>
        <w:t>/10)</w:t>
      </w:r>
      <w:r w:rsidRPr="00BB6462">
        <w:rPr>
          <w:rFonts w:hint="eastAsia"/>
          <w:lang w:val="en-GB"/>
        </w:rPr>
        <w:t>，第</w:t>
      </w:r>
      <w:r w:rsidRPr="00BB6462">
        <w:rPr>
          <w:rFonts w:hint="eastAsia"/>
          <w:lang w:val="en-GB"/>
        </w:rPr>
        <w:t>266</w:t>
      </w:r>
      <w:r w:rsidRPr="00BB6462">
        <w:rPr>
          <w:rFonts w:hint="eastAsia"/>
          <w:lang w:val="en-GB"/>
        </w:rPr>
        <w:t>段。</w:t>
      </w:r>
    </w:p>
  </w:footnote>
  <w:footnote w:id="8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Pr>
          <w:rFonts w:hint="eastAsia"/>
        </w:rPr>
        <w:tab/>
      </w:r>
      <w:r w:rsidRPr="00736AA5">
        <w:rPr>
          <w:rStyle w:val="a3"/>
          <w:szCs w:val="21"/>
        </w:rPr>
        <w:footnoteRef/>
      </w:r>
      <w:r>
        <w:rPr>
          <w:rFonts w:hint="eastAsia"/>
        </w:rPr>
        <w:tab/>
      </w:r>
      <w:r w:rsidRPr="00BB6462">
        <w:rPr>
          <w:rFonts w:hint="eastAsia"/>
        </w:rPr>
        <w:t>见第</w:t>
      </w:r>
      <w:r w:rsidRPr="00BB6462">
        <w:t>3254</w:t>
      </w:r>
      <w:r w:rsidRPr="00BB6462">
        <w:rPr>
          <w:rFonts w:hint="eastAsia"/>
        </w:rPr>
        <w:t>至第</w:t>
      </w:r>
      <w:r w:rsidRPr="00BB6462">
        <w:t>3258</w:t>
      </w:r>
      <w:r w:rsidRPr="00BB6462">
        <w:rPr>
          <w:rFonts w:hint="eastAsia"/>
        </w:rPr>
        <w:t>次会议临时简要记录</w:t>
      </w:r>
      <w:r w:rsidRPr="00BB6462">
        <w:t>(A/CN.4/SR.3254</w:t>
      </w:r>
      <w:r w:rsidRPr="00BB6462">
        <w:rPr>
          <w:rFonts w:hint="eastAsia"/>
        </w:rPr>
        <w:t>、</w:t>
      </w:r>
      <w:r w:rsidRPr="00BB6462">
        <w:t>A/CN.4/SR.3255</w:t>
      </w:r>
      <w:r w:rsidRPr="00BB6462">
        <w:rPr>
          <w:rFonts w:hint="eastAsia"/>
        </w:rPr>
        <w:t>、</w:t>
      </w:r>
      <w:r w:rsidRPr="00BB6462">
        <w:t>A/CN.4/SR.3256</w:t>
      </w:r>
      <w:r w:rsidRPr="00BB6462">
        <w:rPr>
          <w:rFonts w:hint="eastAsia"/>
        </w:rPr>
        <w:t>、</w:t>
      </w:r>
      <w:r w:rsidRPr="00BB6462">
        <w:t>A/CN.4/SR.3257</w:t>
      </w:r>
      <w:r w:rsidRPr="00BB6462">
        <w:rPr>
          <w:rFonts w:hint="eastAsia"/>
        </w:rPr>
        <w:t>、</w:t>
      </w:r>
      <w:r w:rsidRPr="00BB6462">
        <w:t>A/CN.4/SR.3258</w:t>
      </w:r>
      <w:r w:rsidRPr="00BB6462">
        <w:rPr>
          <w:rFonts w:hint="eastAsia"/>
        </w:rPr>
        <w:t>号文件</w:t>
      </w:r>
      <w:r w:rsidRPr="00BB6462">
        <w:t>)</w:t>
      </w:r>
      <w:r w:rsidRPr="00BB6462">
        <w:rPr>
          <w:rFonts w:hint="eastAsia"/>
        </w:rPr>
        <w:t>。</w:t>
      </w:r>
    </w:p>
  </w:footnote>
  <w:footnote w:id="8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Pr>
          <w:rFonts w:hint="eastAsia"/>
        </w:rPr>
        <w:tab/>
      </w:r>
      <w:r w:rsidRPr="00736AA5">
        <w:rPr>
          <w:rStyle w:val="a3"/>
          <w:szCs w:val="21"/>
        </w:rPr>
        <w:footnoteRef/>
      </w:r>
      <w:r>
        <w:rPr>
          <w:rFonts w:hint="eastAsia"/>
        </w:rPr>
        <w:tab/>
      </w:r>
      <w:r w:rsidRPr="00BB6462">
        <w:rPr>
          <w:rFonts w:hint="eastAsia"/>
        </w:rPr>
        <w:t>见关于危害人类罪的第一次报告，</w:t>
      </w:r>
      <w:r w:rsidRPr="00BB6462">
        <w:t>A/CN.4/680</w:t>
      </w:r>
      <w:r w:rsidRPr="00BB6462">
        <w:rPr>
          <w:rFonts w:hint="eastAsia"/>
        </w:rPr>
        <w:t>号文件</w:t>
      </w:r>
      <w:r w:rsidRPr="00BB6462">
        <w:t xml:space="preserve"> (</w:t>
      </w:r>
      <w:r w:rsidRPr="00BB6462">
        <w:rPr>
          <w:rFonts w:hint="eastAsia"/>
        </w:rPr>
        <w:t>第</w:t>
      </w:r>
      <w:r w:rsidRPr="00BB6462">
        <w:rPr>
          <w:rFonts w:hint="eastAsia"/>
        </w:rPr>
        <w:t>1</w:t>
      </w:r>
      <w:r w:rsidRPr="00BB6462">
        <w:rPr>
          <w:rFonts w:hint="eastAsia"/>
        </w:rPr>
        <w:t>条草案“防止及惩治危害人类罪”和第</w:t>
      </w:r>
      <w:r w:rsidRPr="00BB6462">
        <w:rPr>
          <w:rFonts w:hint="eastAsia"/>
        </w:rPr>
        <w:t>2</w:t>
      </w:r>
      <w:r w:rsidRPr="00BB6462">
        <w:rPr>
          <w:rFonts w:hint="eastAsia"/>
        </w:rPr>
        <w:t>条草案“危害人类罪的定义”</w:t>
      </w:r>
      <w:r w:rsidRPr="00BB6462">
        <w:t>)</w:t>
      </w:r>
      <w:r w:rsidRPr="00BB6462">
        <w:rPr>
          <w:rFonts w:hint="eastAsia"/>
        </w:rPr>
        <w:t>。</w:t>
      </w:r>
    </w:p>
  </w:footnote>
  <w:footnote w:id="8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Pr>
          <w:rFonts w:hint="eastAsia"/>
        </w:rPr>
        <w:tab/>
      </w:r>
      <w:r w:rsidRPr="00736AA5">
        <w:rPr>
          <w:rStyle w:val="a3"/>
          <w:szCs w:val="21"/>
        </w:rPr>
        <w:footnoteRef/>
      </w:r>
      <w:r>
        <w:rPr>
          <w:rFonts w:hint="eastAsia"/>
        </w:rPr>
        <w:tab/>
      </w:r>
      <w:r w:rsidRPr="00BB6462">
        <w:rPr>
          <w:rFonts w:hint="eastAsia"/>
        </w:rPr>
        <w:t>委员会在</w:t>
      </w:r>
      <w:r w:rsidRPr="00BB6462">
        <w:rPr>
          <w:rFonts w:hint="eastAsia"/>
        </w:rPr>
        <w:t>2015</w:t>
      </w:r>
      <w:r w:rsidRPr="00BB6462">
        <w:rPr>
          <w:rFonts w:hint="eastAsia"/>
        </w:rPr>
        <w:t>年</w:t>
      </w:r>
      <w:r w:rsidRPr="00BB6462">
        <w:rPr>
          <w:rFonts w:hint="eastAsia"/>
        </w:rPr>
        <w:t>5</w:t>
      </w:r>
      <w:r w:rsidRPr="00BB6462">
        <w:rPr>
          <w:rFonts w:hint="eastAsia"/>
        </w:rPr>
        <w:t>月对特别报告员第一次报告进行全体辩论时，这个问题被提出，人事事务高级专员于</w:t>
      </w:r>
      <w:r w:rsidRPr="00BB6462">
        <w:rPr>
          <w:rFonts w:hint="eastAsia"/>
        </w:rPr>
        <w:t>2015</w:t>
      </w:r>
      <w:r w:rsidRPr="00BB6462">
        <w:rPr>
          <w:rFonts w:hint="eastAsia"/>
        </w:rPr>
        <w:t>年</w:t>
      </w:r>
      <w:r w:rsidRPr="00BB6462">
        <w:rPr>
          <w:rFonts w:hint="eastAsia"/>
        </w:rPr>
        <w:t>7</w:t>
      </w:r>
      <w:r w:rsidRPr="00BB6462">
        <w:rPr>
          <w:rFonts w:hint="eastAsia"/>
        </w:rPr>
        <w:t>月对委员会进行访问时也曾讨论过。</w:t>
      </w:r>
    </w:p>
  </w:footnote>
  <w:footnote w:id="8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36AA5">
        <w:rPr>
          <w:rStyle w:val="a3"/>
          <w:szCs w:val="21"/>
        </w:rPr>
        <w:footnoteRef/>
      </w:r>
      <w:r w:rsidRPr="00BB6462">
        <w:rPr>
          <w:rFonts w:hint="eastAsia"/>
        </w:rPr>
        <w:tab/>
      </w:r>
      <w:r w:rsidRPr="00BB6462">
        <w:rPr>
          <w:rFonts w:hint="eastAsia"/>
        </w:rPr>
        <w:t>本款的位置将在以后讨论。</w:t>
      </w:r>
    </w:p>
  </w:footnote>
  <w:footnote w:id="8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《国际刑事法院罗马规约》，</w:t>
      </w:r>
      <w:r w:rsidRPr="00BB6462">
        <w:rPr>
          <w:rFonts w:hint="eastAsia"/>
        </w:rPr>
        <w:t>1998</w:t>
      </w:r>
      <w:r w:rsidRPr="00BB6462">
        <w:rPr>
          <w:rFonts w:hint="eastAsia"/>
        </w:rPr>
        <w:t>年</w:t>
      </w:r>
      <w:r w:rsidRPr="00BB6462">
        <w:rPr>
          <w:rFonts w:hint="eastAsia"/>
        </w:rPr>
        <w:t>7</w:t>
      </w:r>
      <w:r w:rsidRPr="00BB6462">
        <w:rPr>
          <w:rFonts w:hint="eastAsia"/>
        </w:rPr>
        <w:t>月</w:t>
      </w:r>
      <w:r w:rsidRPr="00BB6462">
        <w:rPr>
          <w:rFonts w:hint="eastAsia"/>
        </w:rPr>
        <w:t>17</w:t>
      </w:r>
      <w:r w:rsidRPr="00BB6462">
        <w:rPr>
          <w:rFonts w:hint="eastAsia"/>
        </w:rPr>
        <w:t>日订于罗马，联合国，《条约汇编》，第</w:t>
      </w:r>
      <w:r w:rsidRPr="00BB6462">
        <w:rPr>
          <w:rFonts w:hint="eastAsia"/>
        </w:rPr>
        <w:t>2187</w:t>
      </w:r>
      <w:r w:rsidRPr="00BB6462">
        <w:rPr>
          <w:rFonts w:hint="eastAsia"/>
        </w:rPr>
        <w:t>卷，第</w:t>
      </w:r>
      <w:r w:rsidRPr="00BB6462">
        <w:rPr>
          <w:rFonts w:hint="eastAsia"/>
        </w:rPr>
        <w:t>3</w:t>
      </w:r>
      <w:r w:rsidRPr="00BB6462">
        <w:rPr>
          <w:rFonts w:hint="eastAsia"/>
        </w:rPr>
        <w:t>页</w:t>
      </w:r>
      <w:r w:rsidRPr="00BB6462">
        <w:rPr>
          <w:rFonts w:hint="eastAsia"/>
        </w:rPr>
        <w:t>(</w:t>
      </w:r>
      <w:r w:rsidRPr="00BB6462">
        <w:rPr>
          <w:rFonts w:hint="eastAsia"/>
        </w:rPr>
        <w:t>下称“罗马规约”</w:t>
      </w:r>
      <w:r w:rsidRPr="00BB6462">
        <w:rPr>
          <w:rFonts w:hint="eastAsia"/>
        </w:rPr>
        <w:t>)</w:t>
      </w:r>
      <w:r w:rsidRPr="00BB6462">
        <w:rPr>
          <w:rFonts w:hint="eastAsia"/>
        </w:rPr>
        <w:t>。</w:t>
      </w:r>
    </w:p>
  </w:footnote>
  <w:footnote w:id="8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spacing w:val="-4"/>
        </w:rPr>
        <w:t>《关于控诉和惩处欧洲各轴心国主要战犯的协定》附件《国际军事法庭宪章》第</w:t>
      </w:r>
      <w:r w:rsidRPr="00BB6462">
        <w:rPr>
          <w:rFonts w:hint="eastAsia"/>
          <w:spacing w:val="-4"/>
        </w:rPr>
        <w:t>6</w:t>
      </w:r>
      <w:r w:rsidRPr="00BB6462">
        <w:rPr>
          <w:rFonts w:hint="eastAsia"/>
          <w:spacing w:val="-4"/>
        </w:rPr>
        <w:t>条</w:t>
      </w:r>
      <w:r w:rsidRPr="00BB6462">
        <w:rPr>
          <w:spacing w:val="-4"/>
        </w:rPr>
        <w:t>(c)</w:t>
      </w:r>
      <w:r w:rsidRPr="00BB6462">
        <w:rPr>
          <w:rFonts w:hint="eastAsia"/>
          <w:spacing w:val="-4"/>
        </w:rPr>
        <w:t>项，</w:t>
      </w:r>
      <w:r w:rsidRPr="00BB6462">
        <w:rPr>
          <w:rFonts w:hint="eastAsia"/>
        </w:rPr>
        <w:t>1945</w:t>
      </w:r>
      <w:r w:rsidRPr="00BB6462">
        <w:rPr>
          <w:rFonts w:hint="eastAsia"/>
        </w:rPr>
        <w:t>年</w:t>
      </w:r>
      <w:r w:rsidRPr="00BB6462">
        <w:rPr>
          <w:rFonts w:hint="eastAsia"/>
        </w:rPr>
        <w:t>8</w:t>
      </w:r>
      <w:r w:rsidRPr="00BB6462">
        <w:rPr>
          <w:rFonts w:hint="eastAsia"/>
        </w:rPr>
        <w:t>月</w:t>
      </w:r>
      <w:r w:rsidRPr="00BB6462">
        <w:rPr>
          <w:rFonts w:hint="eastAsia"/>
        </w:rPr>
        <w:t>8</w:t>
      </w:r>
      <w:r w:rsidRPr="00BB6462">
        <w:rPr>
          <w:rFonts w:hint="eastAsia"/>
        </w:rPr>
        <w:t>日订于伦敦，联合国，《条约汇编》，第</w:t>
      </w:r>
      <w:r w:rsidRPr="00BB6462">
        <w:rPr>
          <w:rFonts w:hint="eastAsia"/>
        </w:rPr>
        <w:t>82</w:t>
      </w:r>
      <w:r w:rsidRPr="00BB6462">
        <w:rPr>
          <w:rFonts w:hint="eastAsia"/>
        </w:rPr>
        <w:t>卷，第</w:t>
      </w:r>
      <w:r w:rsidRPr="00BB6462">
        <w:rPr>
          <w:rFonts w:hint="eastAsia"/>
        </w:rPr>
        <w:t>279</w:t>
      </w:r>
      <w:r w:rsidRPr="00BB6462">
        <w:rPr>
          <w:rFonts w:hint="eastAsia"/>
        </w:rPr>
        <w:t>页</w:t>
      </w:r>
      <w:r w:rsidRPr="00BB6462">
        <w:rPr>
          <w:rFonts w:hint="eastAsia"/>
        </w:rPr>
        <w:t>(</w:t>
      </w:r>
      <w:r w:rsidRPr="00BB6462">
        <w:rPr>
          <w:rFonts w:hint="eastAsia"/>
        </w:rPr>
        <w:t>下称《纽伦堡宪章》</w:t>
      </w:r>
      <w:r w:rsidRPr="00BB6462">
        <w:rPr>
          <w:rFonts w:hint="eastAsia"/>
        </w:rPr>
        <w:t>)</w:t>
      </w:r>
      <w:r w:rsidRPr="00BB6462">
        <w:rPr>
          <w:rFonts w:hint="eastAsia"/>
        </w:rPr>
        <w:t>。</w:t>
      </w:r>
    </w:p>
  </w:footnote>
  <w:footnote w:id="8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国际军事法庭</w:t>
      </w:r>
      <w:r w:rsidRPr="00BB6462">
        <w:t>1946</w:t>
      </w:r>
      <w:r w:rsidRPr="00BB6462">
        <w:t>年</w:t>
      </w:r>
      <w:r w:rsidRPr="00BB6462">
        <w:t>9</w:t>
      </w:r>
      <w:r w:rsidRPr="00BB6462">
        <w:t>月</w:t>
      </w:r>
      <w:r w:rsidRPr="00BB6462">
        <w:t>30</w:t>
      </w:r>
      <w:r w:rsidRPr="00BB6462">
        <w:t>日判决，载于</w:t>
      </w:r>
      <w:r w:rsidRPr="00BB6462">
        <w:rPr>
          <w:rFonts w:hint="eastAsia"/>
        </w:rPr>
        <w:t>《国际军事法庭对主要战争罪犯的审判》</w:t>
      </w:r>
      <w:r w:rsidRPr="00BB6462">
        <w:t>，</w:t>
      </w:r>
      <w:r w:rsidRPr="00BB6462">
        <w:rPr>
          <w:rFonts w:hint="eastAsia"/>
        </w:rPr>
        <w:t>第</w:t>
      </w:r>
      <w:r w:rsidRPr="00BB6462">
        <w:t>22</w:t>
      </w:r>
      <w:r w:rsidRPr="00BB6462">
        <w:rPr>
          <w:rFonts w:hint="eastAsia"/>
        </w:rPr>
        <w:t>卷</w:t>
      </w:r>
      <w:r w:rsidRPr="00BB6462">
        <w:t>(</w:t>
      </w:r>
      <w:r w:rsidRPr="00BB6462">
        <w:rPr>
          <w:rFonts w:hint="eastAsia"/>
        </w:rPr>
        <w:t>纽伦堡</w:t>
      </w:r>
      <w:r w:rsidRPr="00BB6462">
        <w:t>，</w:t>
      </w:r>
      <w:r w:rsidRPr="00BB6462">
        <w:t>1947</w:t>
      </w:r>
      <w:r w:rsidRPr="00BB6462">
        <w:rPr>
          <w:rFonts w:hint="eastAsia"/>
        </w:rPr>
        <w:t>年</w:t>
      </w:r>
      <w:r w:rsidRPr="00BB6462">
        <w:t>)</w:t>
      </w:r>
      <w:r w:rsidRPr="00BB6462">
        <w:t>，第</w:t>
      </w:r>
      <w:r w:rsidRPr="00BB6462">
        <w:t>466</w:t>
      </w:r>
      <w:r w:rsidRPr="00BB6462">
        <w:t>页。</w:t>
      </w:r>
    </w:p>
  </w:footnote>
  <w:footnote w:id="8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《远东国际军事法庭宪章》第</w:t>
      </w:r>
      <w:r w:rsidRPr="00BB6462">
        <w:t>5</w:t>
      </w:r>
      <w:r w:rsidRPr="00BB6462">
        <w:rPr>
          <w:rFonts w:hint="eastAsia"/>
        </w:rPr>
        <w:t>条</w:t>
      </w:r>
      <w:r w:rsidRPr="00BB6462">
        <w:t>(c)</w:t>
      </w:r>
      <w:r w:rsidRPr="00BB6462">
        <w:rPr>
          <w:rFonts w:hint="eastAsia"/>
        </w:rPr>
        <w:t>款</w:t>
      </w:r>
      <w:r w:rsidRPr="00BB6462">
        <w:t>，</w:t>
      </w:r>
      <w:r w:rsidRPr="00BB6462">
        <w:t>1946</w:t>
      </w:r>
      <w:r w:rsidRPr="00BB6462">
        <w:t>年</w:t>
      </w:r>
      <w:r w:rsidRPr="00BB6462">
        <w:t>1</w:t>
      </w:r>
      <w:r w:rsidRPr="00BB6462">
        <w:t>月</w:t>
      </w:r>
      <w:r w:rsidRPr="00BB6462">
        <w:t>19</w:t>
      </w:r>
      <w:r w:rsidRPr="00BB6462">
        <w:t>日订于东京</w:t>
      </w:r>
      <w:r w:rsidRPr="00BB6462">
        <w:rPr>
          <w:rFonts w:hint="eastAsia"/>
        </w:rPr>
        <w:t xml:space="preserve"> </w:t>
      </w:r>
      <w:r w:rsidRPr="00BB6462">
        <w:t>(1946</w:t>
      </w:r>
      <w:r w:rsidRPr="00BB6462">
        <w:t>年</w:t>
      </w:r>
      <w:r w:rsidRPr="00BB6462">
        <w:t>4</w:t>
      </w:r>
      <w:r w:rsidRPr="00BB6462">
        <w:t>月</w:t>
      </w:r>
      <w:r w:rsidRPr="00BB6462">
        <w:t>26</w:t>
      </w:r>
      <w:r w:rsidRPr="00BB6462">
        <w:t>日修订</w:t>
      </w:r>
      <w:r w:rsidRPr="00BB6462">
        <w:t>)</w:t>
      </w:r>
      <w:r w:rsidRPr="00BB6462">
        <w:t>，</w:t>
      </w:r>
      <w:r w:rsidRPr="00BB6462">
        <w:t>4 Bevans 20</w:t>
      </w:r>
      <w:r w:rsidRPr="00BB6462">
        <w:t>。不过，在东京法庭上无人被判定犯有此罪。</w:t>
      </w:r>
    </w:p>
  </w:footnote>
  <w:footnote w:id="8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w:t>
      </w:r>
      <w:r w:rsidRPr="00BB6462">
        <w:t>确认纽伦堡法庭组织法所认定之国际法原则</w:t>
      </w:r>
      <w:r w:rsidRPr="00BB6462">
        <w:rPr>
          <w:rFonts w:hint="eastAsia"/>
        </w:rPr>
        <w:t>”</w:t>
      </w:r>
      <w:r w:rsidRPr="00BB6462">
        <w:t>，大会</w:t>
      </w:r>
      <w:r w:rsidRPr="00BB6462">
        <w:t>1946</w:t>
      </w:r>
      <w:r w:rsidRPr="00BB6462">
        <w:t>年</w:t>
      </w:r>
      <w:r w:rsidRPr="00BB6462">
        <w:t>12</w:t>
      </w:r>
      <w:r w:rsidRPr="00BB6462">
        <w:t>月</w:t>
      </w:r>
      <w:r w:rsidRPr="00BB6462">
        <w:t>11</w:t>
      </w:r>
      <w:r w:rsidRPr="00BB6462">
        <w:t>日第</w:t>
      </w:r>
      <w:r w:rsidRPr="00BB6462">
        <w:t>95(</w:t>
      </w:r>
      <w:r w:rsidRPr="00BB6462">
        <w:t>一</w:t>
      </w:r>
      <w:r w:rsidRPr="00BB6462">
        <w:t>)</w:t>
      </w:r>
      <w:r w:rsidRPr="00BB6462">
        <w:t>号决议。</w:t>
      </w:r>
    </w:p>
  </w:footnote>
  <w:footnote w:id="8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i/>
        </w:rPr>
      </w:pPr>
      <w:r w:rsidRPr="00BB6462">
        <w:tab/>
      </w:r>
      <w:r w:rsidRPr="00736AA5">
        <w:rPr>
          <w:rStyle w:val="a3"/>
          <w:szCs w:val="21"/>
        </w:rPr>
        <w:footnoteRef/>
      </w:r>
      <w:r w:rsidRPr="00BB6462">
        <w:tab/>
      </w:r>
      <w:r w:rsidRPr="00BB6462">
        <w:rPr>
          <w:rFonts w:hint="eastAsia"/>
        </w:rPr>
        <w:t>“</w:t>
      </w:r>
      <w:r w:rsidRPr="00BB6462">
        <w:t>纽伦堡法庭组织法及法庭判决中所确认原则之编订问题</w:t>
      </w:r>
      <w:r w:rsidRPr="00BB6462">
        <w:rPr>
          <w:rFonts w:hint="eastAsia"/>
        </w:rPr>
        <w:t>”</w:t>
      </w:r>
      <w:r w:rsidRPr="00BB6462">
        <w:t>，大会</w:t>
      </w:r>
      <w:r w:rsidRPr="00BB6462">
        <w:t>1947</w:t>
      </w:r>
      <w:r w:rsidRPr="00BB6462">
        <w:t>年</w:t>
      </w:r>
      <w:r w:rsidRPr="00BB6462">
        <w:t>11</w:t>
      </w:r>
      <w:r w:rsidRPr="00BB6462">
        <w:t>月</w:t>
      </w:r>
      <w:r w:rsidRPr="00BB6462">
        <w:t>21</w:t>
      </w:r>
      <w:r w:rsidRPr="00BB6462">
        <w:t>日第</w:t>
      </w:r>
      <w:r w:rsidRPr="00BB6462">
        <w:t>177(</w:t>
      </w:r>
      <w:r w:rsidRPr="00BB6462">
        <w:t>二</w:t>
      </w:r>
      <w:r w:rsidRPr="00BB6462">
        <w:t>)</w:t>
      </w:r>
      <w:r w:rsidRPr="00BB6462">
        <w:t>号决议。</w:t>
      </w:r>
    </w:p>
  </w:footnote>
  <w:footnote w:id="9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1950</w:t>
      </w:r>
      <w:r w:rsidRPr="00BB6462">
        <w:t>年</w:t>
      </w:r>
      <w:r w:rsidRPr="00BB6462">
        <w:rPr>
          <w:rFonts w:hint="eastAsia"/>
        </w:rPr>
        <w:t>……</w:t>
      </w:r>
      <w:r w:rsidRPr="00BB6462">
        <w:t>年鉴》，第二卷，第</w:t>
      </w:r>
      <w:r w:rsidRPr="00BB6462">
        <w:t>376</w:t>
      </w:r>
      <w:r w:rsidRPr="00BB6462">
        <w:t>页，第</w:t>
      </w:r>
      <w:r w:rsidRPr="00BB6462">
        <w:t>109</w:t>
      </w:r>
      <w:r w:rsidRPr="00BB6462">
        <w:t>段</w:t>
      </w:r>
      <w:r w:rsidRPr="00BB6462">
        <w:t>(</w:t>
      </w:r>
      <w:r w:rsidRPr="00BB6462">
        <w:t>原则六</w:t>
      </w:r>
      <w:r w:rsidRPr="00BB6462">
        <w:t>)</w:t>
      </w:r>
      <w:r w:rsidRPr="00BB6462">
        <w:t>。</w:t>
      </w:r>
    </w:p>
  </w:footnote>
  <w:footnote w:id="9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1954</w:t>
      </w:r>
      <w:r w:rsidRPr="00BB6462">
        <w:rPr>
          <w:rFonts w:hint="eastAsia"/>
        </w:rPr>
        <w:t>年……</w:t>
      </w:r>
      <w:r w:rsidRPr="00BB6462">
        <w:t>年鉴》，第二卷，第</w:t>
      </w:r>
      <w:r w:rsidRPr="00BB6462">
        <w:t>150</w:t>
      </w:r>
      <w:r w:rsidRPr="00BB6462">
        <w:t>页，第</w:t>
      </w:r>
      <w:r w:rsidRPr="00BB6462">
        <w:t>1</w:t>
      </w:r>
      <w:r w:rsidRPr="00BB6462">
        <w:t>条。</w:t>
      </w:r>
    </w:p>
  </w:footnote>
  <w:footnote w:id="9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《纽伦堡法庭宪章》，前注</w:t>
      </w:r>
      <w:r>
        <w:rPr>
          <w:rFonts w:hint="eastAsia"/>
        </w:rPr>
        <w:t xml:space="preserve">2, </w:t>
      </w:r>
      <w:r w:rsidRPr="00BB6462">
        <w:t>第</w:t>
      </w:r>
      <w:r w:rsidRPr="00BB6462">
        <w:t>6(c)</w:t>
      </w:r>
      <w:r w:rsidRPr="00BB6462">
        <w:t>条。</w:t>
      </w:r>
    </w:p>
  </w:footnote>
  <w:footnote w:id="9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tab/>
      </w:r>
      <w:r w:rsidRPr="00736AA5">
        <w:rPr>
          <w:rStyle w:val="a3"/>
          <w:szCs w:val="21"/>
        </w:rPr>
        <w:footnoteRef/>
      </w:r>
      <w:r w:rsidRPr="00BB6462">
        <w:tab/>
      </w:r>
      <w:r w:rsidRPr="00BB6462">
        <w:t>《</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17</w:t>
      </w:r>
      <w:r w:rsidRPr="00BB6462">
        <w:t>页，第</w:t>
      </w:r>
      <w:r w:rsidRPr="00BB6462">
        <w:t>50</w:t>
      </w:r>
      <w:r w:rsidRPr="00BB6462">
        <w:t>段</w:t>
      </w:r>
      <w:r w:rsidRPr="00BB6462">
        <w:t>(</w:t>
      </w:r>
      <w:r w:rsidRPr="00BB6462">
        <w:t>第</w:t>
      </w:r>
      <w:r w:rsidRPr="00BB6462">
        <w:t>1</w:t>
      </w:r>
      <w:r w:rsidRPr="00BB6462">
        <w:t>条</w:t>
      </w:r>
      <w:r w:rsidRPr="00BB6462">
        <w:t>)</w:t>
      </w:r>
      <w:r w:rsidRPr="00BB6462">
        <w:t>。</w:t>
      </w:r>
      <w:r w:rsidRPr="00BB6462">
        <w:t>1996</w:t>
      </w:r>
      <w:r w:rsidRPr="00BB6462">
        <w:t>年《治罪法草案》列出五类罪行，其中之一是危害人类罪。</w:t>
      </w:r>
    </w:p>
  </w:footnote>
  <w:footnote w:id="9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2001</w:t>
      </w:r>
      <w:r w:rsidRPr="00BB6462">
        <w:rPr>
          <w:rFonts w:hint="eastAsia"/>
        </w:rPr>
        <w:t>年……</w:t>
      </w:r>
      <w:r w:rsidRPr="00BB6462">
        <w:t>年鉴》，第二卷</w:t>
      </w:r>
      <w:r w:rsidRPr="00BB6462">
        <w:t>(</w:t>
      </w:r>
      <w:r w:rsidRPr="00BB6462">
        <w:t>第二部分</w:t>
      </w:r>
      <w:r w:rsidRPr="00BB6462">
        <w:t>)</w:t>
      </w:r>
      <w:r w:rsidRPr="00BB6462">
        <w:t>，第</w:t>
      </w:r>
      <w:r w:rsidRPr="00BB6462">
        <w:t>85</w:t>
      </w:r>
      <w:r w:rsidRPr="00BB6462">
        <w:t>页，</w:t>
      </w:r>
      <w:r w:rsidRPr="00BB6462">
        <w:rPr>
          <w:rFonts w:hint="eastAsia"/>
        </w:rPr>
        <w:t>第</w:t>
      </w:r>
      <w:r w:rsidRPr="00BB6462">
        <w:t>(5)</w:t>
      </w:r>
      <w:r w:rsidRPr="00BB6462">
        <w:rPr>
          <w:rFonts w:hint="eastAsia"/>
        </w:rPr>
        <w:t>段</w:t>
      </w:r>
      <w:r w:rsidRPr="00BB6462">
        <w:t>(</w:t>
      </w:r>
      <w:r w:rsidRPr="00BB6462">
        <w:t>关于国家对国际不法行为的责任的条款草案第</w:t>
      </w:r>
      <w:r w:rsidRPr="00BB6462">
        <w:t>26</w:t>
      </w:r>
      <w:r w:rsidRPr="00BB6462">
        <w:t>条的评注</w:t>
      </w:r>
      <w:r w:rsidRPr="00BB6462">
        <w:t>)(</w:t>
      </w:r>
      <w:r w:rsidRPr="00BB6462">
        <w:t>认为</w:t>
      </w:r>
      <w:r w:rsidRPr="00BB6462">
        <w:rPr>
          <w:rFonts w:hint="eastAsia"/>
        </w:rPr>
        <w:t>“</w:t>
      </w:r>
      <w:r w:rsidRPr="00BB6462">
        <w:t>已经被明确接受和承认的强制性规范包括</w:t>
      </w:r>
      <w:r w:rsidRPr="00BB6462">
        <w:rPr>
          <w:rFonts w:hint="eastAsia"/>
        </w:rPr>
        <w:t>禁止……</w:t>
      </w:r>
      <w:r w:rsidRPr="00BB6462">
        <w:t>危害人类</w:t>
      </w:r>
      <w:r w:rsidRPr="00BB6462">
        <w:rPr>
          <w:rFonts w:hint="eastAsia"/>
        </w:rPr>
        <w:t>罪行……”</w:t>
      </w:r>
      <w:r w:rsidRPr="00BB6462">
        <w:t>)</w:t>
      </w:r>
      <w:r w:rsidRPr="00BB6462">
        <w:t>；另见国际法委员会研究组：</w:t>
      </w:r>
      <w:r w:rsidRPr="00BB6462">
        <w:rPr>
          <w:rFonts w:hint="eastAsia"/>
        </w:rPr>
        <w:t>“</w:t>
      </w:r>
      <w:r w:rsidRPr="00BB6462">
        <w:t>国际法不成体系问题：国际法多样化和扩展</w:t>
      </w:r>
      <w:r w:rsidRPr="00BB6462">
        <w:rPr>
          <w:spacing w:val="-4"/>
        </w:rPr>
        <w:t>引起的困难</w:t>
      </w:r>
      <w:r w:rsidRPr="00BB6462">
        <w:rPr>
          <w:rFonts w:hint="eastAsia"/>
          <w:spacing w:val="-4"/>
        </w:rPr>
        <w:t>”</w:t>
      </w:r>
      <w:r w:rsidRPr="00BB6462">
        <w:rPr>
          <w:spacing w:val="-4"/>
        </w:rPr>
        <w:t>，</w:t>
      </w:r>
      <w:r w:rsidRPr="00BB6462">
        <w:rPr>
          <w:spacing w:val="-4"/>
        </w:rPr>
        <w:t>A/CN.4/L.68</w:t>
      </w:r>
      <w:r>
        <w:rPr>
          <w:spacing w:val="-4"/>
        </w:rPr>
        <w:t xml:space="preserve">2, </w:t>
      </w:r>
      <w:r w:rsidRPr="00BB6462">
        <w:rPr>
          <w:spacing w:val="-4"/>
        </w:rPr>
        <w:t>第</w:t>
      </w:r>
      <w:r w:rsidRPr="00BB6462">
        <w:rPr>
          <w:spacing w:val="-4"/>
        </w:rPr>
        <w:t>374</w:t>
      </w:r>
      <w:r w:rsidRPr="00BB6462">
        <w:rPr>
          <w:spacing w:val="-4"/>
        </w:rPr>
        <w:t>段</w:t>
      </w:r>
      <w:r w:rsidRPr="00BB6462">
        <w:rPr>
          <w:spacing w:val="-4"/>
        </w:rPr>
        <w:t>(2006</w:t>
      </w:r>
      <w:r w:rsidRPr="00BB6462">
        <w:rPr>
          <w:spacing w:val="-4"/>
        </w:rPr>
        <w:t>年</w:t>
      </w:r>
      <w:r w:rsidRPr="00BB6462">
        <w:rPr>
          <w:spacing w:val="-4"/>
        </w:rPr>
        <w:t>4</w:t>
      </w:r>
      <w:r w:rsidRPr="00BB6462">
        <w:rPr>
          <w:spacing w:val="-4"/>
        </w:rPr>
        <w:t>月</w:t>
      </w:r>
      <w:r w:rsidRPr="00BB6462">
        <w:rPr>
          <w:spacing w:val="-4"/>
        </w:rPr>
        <w:t>13</w:t>
      </w:r>
      <w:r w:rsidRPr="00BB6462">
        <w:rPr>
          <w:spacing w:val="-4"/>
        </w:rPr>
        <w:t>日</w:t>
      </w:r>
      <w:r w:rsidRPr="00BB6462">
        <w:rPr>
          <w:spacing w:val="-4"/>
        </w:rPr>
        <w:t>)</w:t>
      </w:r>
      <w:r w:rsidRPr="00BB6462">
        <w:rPr>
          <w:spacing w:val="-4"/>
        </w:rPr>
        <w:t>，连同更正文件</w:t>
      </w:r>
      <w:r w:rsidRPr="00BB6462">
        <w:t>A/CN.4/L.682/Corr.1</w:t>
      </w:r>
      <w:r w:rsidRPr="00BB6462">
        <w:rPr>
          <w:rFonts w:hint="eastAsia"/>
        </w:rPr>
        <w:t xml:space="preserve"> </w:t>
      </w:r>
      <w:r w:rsidRPr="00BB6462">
        <w:rPr>
          <w:spacing w:val="-2"/>
        </w:rPr>
        <w:t>(2006</w:t>
      </w:r>
      <w:r w:rsidRPr="00BB6462">
        <w:rPr>
          <w:spacing w:val="-2"/>
        </w:rPr>
        <w:t>年</w:t>
      </w:r>
      <w:r w:rsidRPr="00BB6462">
        <w:rPr>
          <w:spacing w:val="-2"/>
        </w:rPr>
        <w:t>8</w:t>
      </w:r>
      <w:r w:rsidRPr="00BB6462">
        <w:rPr>
          <w:spacing w:val="-2"/>
        </w:rPr>
        <w:t>月</w:t>
      </w:r>
      <w:r w:rsidRPr="00BB6462">
        <w:rPr>
          <w:spacing w:val="-2"/>
        </w:rPr>
        <w:t>11</w:t>
      </w:r>
      <w:r w:rsidRPr="00BB6462">
        <w:rPr>
          <w:spacing w:val="-2"/>
        </w:rPr>
        <w:t>日</w:t>
      </w:r>
      <w:r w:rsidRPr="00BB6462">
        <w:rPr>
          <w:spacing w:val="-2"/>
        </w:rPr>
        <w:t>)(</w:t>
      </w:r>
      <w:r w:rsidRPr="00BB6462">
        <w:rPr>
          <w:spacing w:val="-2"/>
        </w:rPr>
        <w:t>指出危害人类罪是</w:t>
      </w:r>
      <w:r w:rsidRPr="00BB6462">
        <w:rPr>
          <w:rFonts w:hint="eastAsia"/>
          <w:spacing w:val="-2"/>
        </w:rPr>
        <w:t>“</w:t>
      </w:r>
      <w:r w:rsidRPr="00BB6462">
        <w:rPr>
          <w:spacing w:val="-2"/>
        </w:rPr>
        <w:t>最常援引的具有强制法地位的备选规范</w:t>
      </w:r>
      <w:r w:rsidRPr="00BB6462">
        <w:rPr>
          <w:rFonts w:hint="eastAsia"/>
          <w:spacing w:val="-2"/>
        </w:rPr>
        <w:t>”</w:t>
      </w:r>
      <w:r w:rsidRPr="00BB6462">
        <w:rPr>
          <w:spacing w:val="-2"/>
        </w:rPr>
        <w:t>(</w:t>
      </w:r>
      <w:r w:rsidRPr="00BB6462">
        <w:rPr>
          <w:spacing w:val="-2"/>
        </w:rPr>
        <w:t>目标</w:t>
      </w:r>
      <w:r w:rsidRPr="00BB6462">
        <w:rPr>
          <w:spacing w:val="-2"/>
        </w:rPr>
        <w:t>)</w:t>
      </w:r>
      <w:r w:rsidRPr="00BB6462">
        <w:rPr>
          <w:spacing w:val="-2"/>
        </w:rPr>
        <w:t>之一</w:t>
      </w:r>
      <w:r w:rsidRPr="00BB6462">
        <w:rPr>
          <w:spacing w:val="-2"/>
        </w:rPr>
        <w:t>)</w:t>
      </w:r>
      <w:r w:rsidRPr="00BB6462">
        <w:t>。</w:t>
      </w:r>
    </w:p>
  </w:footnote>
  <w:footnote w:id="9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《关于纠正组织法案文偏差的议定书》，</w:t>
      </w:r>
      <w:r w:rsidRPr="00BB6462">
        <w:t>1945</w:t>
      </w:r>
      <w:r w:rsidRPr="00BB6462">
        <w:t>年</w:t>
      </w:r>
      <w:r w:rsidRPr="00BB6462">
        <w:t>10</w:t>
      </w:r>
      <w:r w:rsidRPr="00BB6462">
        <w:t>月</w:t>
      </w:r>
      <w:r w:rsidRPr="00BB6462">
        <w:t>6</w:t>
      </w:r>
      <w:r w:rsidRPr="00BB6462">
        <w:t>日订于柏林，载于</w:t>
      </w:r>
      <w:r w:rsidRPr="00BB6462">
        <w:rPr>
          <w:rFonts w:hint="eastAsia"/>
        </w:rPr>
        <w:t>《国际军事法庭对主要战争罪犯的审判》，第</w:t>
      </w:r>
      <w:r w:rsidRPr="00BB6462">
        <w:t>1</w:t>
      </w:r>
      <w:r w:rsidRPr="00BB6462">
        <w:rPr>
          <w:rFonts w:hint="eastAsia"/>
        </w:rPr>
        <w:t>卷</w:t>
      </w:r>
      <w:r w:rsidRPr="00BB6462">
        <w:t>(1947</w:t>
      </w:r>
      <w:r w:rsidRPr="00BB6462">
        <w:rPr>
          <w:rFonts w:hint="eastAsia"/>
        </w:rPr>
        <w:t>年</w:t>
      </w:r>
      <w:r w:rsidRPr="00BB6462">
        <w:t>)</w:t>
      </w:r>
      <w:r w:rsidRPr="00BB6462">
        <w:t>，第</w:t>
      </w:r>
      <w:r w:rsidRPr="00BB6462">
        <w:t>17-18</w:t>
      </w:r>
      <w:r w:rsidRPr="00BB6462">
        <w:t>页</w:t>
      </w:r>
      <w:r>
        <w:rPr>
          <w:rFonts w:hint="eastAsia"/>
        </w:rPr>
        <w:t>(</w:t>
      </w:r>
      <w:r w:rsidRPr="00BB6462">
        <w:rPr>
          <w:rFonts w:hint="eastAsia"/>
        </w:rPr>
        <w:t>下称“</w:t>
      </w:r>
      <w:r w:rsidRPr="00BB6462">
        <w:t>《柏林议定书》</w:t>
      </w:r>
      <w:r w:rsidRPr="00BB6462">
        <w:rPr>
          <w:rFonts w:hint="eastAsia"/>
        </w:rPr>
        <w:t>”</w:t>
      </w:r>
      <w:r>
        <w:rPr>
          <w:rFonts w:hint="eastAsia"/>
        </w:rPr>
        <w:t>)</w:t>
      </w:r>
      <w:r w:rsidRPr="00BB6462">
        <w:t>。《柏林议定书》将英文</w:t>
      </w:r>
      <w:r w:rsidRPr="00BB6462">
        <w:rPr>
          <w:rFonts w:hint="eastAsia"/>
        </w:rPr>
        <w:t>“</w:t>
      </w:r>
      <w:r w:rsidRPr="00BB6462">
        <w:t>during the war</w:t>
      </w:r>
      <w:r w:rsidRPr="00BB6462">
        <w:rPr>
          <w:rFonts w:hint="eastAsia"/>
        </w:rPr>
        <w:t>”</w:t>
      </w:r>
      <w:r w:rsidRPr="00BB6462">
        <w:t>之后的分号改为逗号，以便使英文和法文本与俄文本取得一致。同上，第</w:t>
      </w:r>
      <w:r w:rsidRPr="00BB6462">
        <w:t>17</w:t>
      </w:r>
      <w:r w:rsidRPr="00BB6462">
        <w:t>页。这样就将该项规定的第一部分与后一部分联系在一起</w:t>
      </w:r>
      <w:r w:rsidRPr="00BB6462">
        <w:t>(</w:t>
      </w:r>
      <w:r w:rsidRPr="00BB6462">
        <w:rPr>
          <w:rFonts w:hint="eastAsia"/>
        </w:rPr>
        <w:t>“与</w:t>
      </w:r>
      <w:r w:rsidRPr="00BB6462">
        <w:t>本法庭管辖范围内</w:t>
      </w:r>
      <w:r w:rsidRPr="00BB6462">
        <w:rPr>
          <w:rFonts w:hint="eastAsia"/>
        </w:rPr>
        <w:t>的</w:t>
      </w:r>
      <w:r w:rsidRPr="00BB6462">
        <w:t>任何</w:t>
      </w:r>
      <w:r w:rsidRPr="00BB6462">
        <w:rPr>
          <w:rFonts w:hint="eastAsia"/>
        </w:rPr>
        <w:t>罪行</w:t>
      </w:r>
      <w:r w:rsidRPr="00BB6462">
        <w:t>有关者</w:t>
      </w:r>
      <w:r w:rsidRPr="00BB6462">
        <w:rPr>
          <w:rFonts w:hint="eastAsia"/>
        </w:rPr>
        <w:t>”</w:t>
      </w:r>
      <w:r w:rsidRPr="00BB6462">
        <w:t>)</w:t>
      </w:r>
      <w:r w:rsidRPr="00BB6462">
        <w:t>，由此也就与国际武装冲突的存在联系在一起。</w:t>
      </w:r>
    </w:p>
  </w:footnote>
  <w:footnote w:id="9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见</w:t>
      </w:r>
      <w:r w:rsidRPr="00BB6462">
        <w:t>United Nations War Crimes Commissio</w:t>
      </w:r>
      <w:r>
        <w:t xml:space="preserve">n, </w:t>
      </w:r>
      <w:r w:rsidRPr="00BB6462">
        <w:rPr>
          <w:i/>
        </w:rPr>
        <w:t>History of the United Nations War Crimes Commission and the Development of the Laws of War</w:t>
      </w:r>
      <w:r w:rsidRPr="00BB6462">
        <w:t xml:space="preserve"> (His Majesty’s Stationery Offic</w:t>
      </w:r>
      <w:r>
        <w:t xml:space="preserve">e, </w:t>
      </w:r>
      <w:r w:rsidRPr="00BB6462">
        <w:t>1948)</w:t>
      </w:r>
      <w:r w:rsidRPr="00BB6462">
        <w:t>，第</w:t>
      </w:r>
      <w:r w:rsidRPr="00BB6462">
        <w:t>179</w:t>
      </w:r>
      <w:r w:rsidRPr="00BB6462">
        <w:t>页</w:t>
      </w:r>
      <w:r w:rsidRPr="00BB6462">
        <w:t>(</w:t>
      </w:r>
      <w:r w:rsidRPr="00BB6462">
        <w:rPr>
          <w:rFonts w:hint="eastAsia"/>
        </w:rPr>
        <w:t>“</w:t>
      </w:r>
      <w:r w:rsidRPr="00BB6462">
        <w:t>只有当罪行的规模、野蛮程度、数量或在不同时期和地点采用的类似模式危及到国际社会或震撼人类良知时，发生上述罪行所在国或国民沦为受害者的国家以外的国家才有理由进行干预。</w:t>
      </w:r>
      <w:r w:rsidRPr="00BB6462">
        <w:rPr>
          <w:rFonts w:hint="eastAsia"/>
        </w:rPr>
        <w:t>”</w:t>
      </w:r>
      <w:r w:rsidRPr="00BB6462">
        <w:t>)</w:t>
      </w:r>
      <w:r w:rsidRPr="00BB6462">
        <w:t>。</w:t>
      </w:r>
    </w:p>
  </w:footnote>
  <w:footnote w:id="9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例如，见</w:t>
      </w:r>
      <w:r w:rsidRPr="0016719C">
        <w:rPr>
          <w:rFonts w:ascii="楷体" w:eastAsia="楷体" w:hAnsi="楷体"/>
        </w:rPr>
        <w:t>检察官诉</w:t>
      </w:r>
      <w:r w:rsidRPr="0016719C">
        <w:rPr>
          <w:rFonts w:asciiTheme="majorBidi" w:eastAsia="楷体" w:hAnsiTheme="majorBidi" w:cstheme="majorBidi"/>
        </w:rPr>
        <w:t>Kupre</w:t>
      </w:r>
      <w:r w:rsidRPr="0016719C">
        <w:rPr>
          <w:rFonts w:asciiTheme="majorBidi" w:hAnsiTheme="majorBidi" w:cstheme="majorBidi"/>
        </w:rPr>
        <w:t>š</w:t>
      </w:r>
      <w:r w:rsidRPr="0016719C">
        <w:rPr>
          <w:rFonts w:asciiTheme="majorBidi" w:eastAsia="楷体" w:hAnsiTheme="majorBidi" w:cstheme="majorBidi"/>
        </w:rPr>
        <w:t>ki</w:t>
      </w:r>
      <w:r w:rsidRPr="0016719C">
        <w:rPr>
          <w:rFonts w:asciiTheme="majorBidi" w:eastAsia="MS Mincho" w:hAnsiTheme="majorBidi" w:cstheme="majorBidi"/>
        </w:rPr>
        <w:t>ć</w:t>
      </w:r>
      <w:r w:rsidRPr="0016719C">
        <w:rPr>
          <w:rFonts w:ascii="楷体" w:eastAsia="楷体" w:hAnsi="楷体"/>
        </w:rPr>
        <w:t>等人</w:t>
      </w:r>
      <w:r w:rsidRPr="00BB6462">
        <w:t>，审判分庭的判决，案件号</w:t>
      </w:r>
      <w:r w:rsidRPr="00BB6462">
        <w:t>IT-95-16-</w:t>
      </w:r>
      <w:r>
        <w:t xml:space="preserve">T, </w:t>
      </w:r>
      <w:r w:rsidRPr="00BB6462">
        <w:t>2000</w:t>
      </w:r>
      <w:r w:rsidRPr="00BB6462">
        <w:t>年</w:t>
      </w:r>
      <w:r w:rsidRPr="00BB6462">
        <w:t>1</w:t>
      </w:r>
      <w:r w:rsidRPr="00BB6462">
        <w:t>月</w:t>
      </w:r>
      <w:r w:rsidRPr="00BB6462">
        <w:t>14</w:t>
      </w:r>
      <w:r w:rsidRPr="00BB6462">
        <w:t>日，第</w:t>
      </w:r>
      <w:r w:rsidRPr="00BB6462">
        <w:t>576</w:t>
      </w:r>
      <w:r w:rsidRPr="00BB6462">
        <w:t>段</w:t>
      </w:r>
      <w:r w:rsidRPr="00BB6462">
        <w:t>(</w:t>
      </w:r>
      <w:r w:rsidRPr="00BB6462">
        <w:t>其中指出</w:t>
      </w:r>
      <w:r w:rsidRPr="00BB6462">
        <w:t>Baldur von Schirach</w:t>
      </w:r>
      <w:r w:rsidRPr="00BB6462">
        <w:t>所犯危害人类罪与纽伦堡法庭管辖范围内其他罪行之间关系薄弱</w:t>
      </w:r>
      <w:r w:rsidRPr="00BB6462">
        <w:t>)(</w:t>
      </w:r>
      <w:r w:rsidRPr="00BB6462">
        <w:t>下称</w:t>
      </w:r>
      <w:r w:rsidRPr="00BB6462">
        <w:t>Kupreškić 2000)</w:t>
      </w:r>
      <w:r w:rsidRPr="00BB6462">
        <w:t>。</w:t>
      </w:r>
    </w:p>
  </w:footnote>
  <w:footnote w:id="9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1950</w:t>
      </w:r>
      <w:r w:rsidRPr="00BB6462">
        <w:rPr>
          <w:rFonts w:hint="eastAsia"/>
        </w:rPr>
        <w:t>年……</w:t>
      </w:r>
      <w:r w:rsidRPr="00BB6462">
        <w:t>年鉴》，第二卷，第</w:t>
      </w:r>
      <w:r w:rsidRPr="00BB6462">
        <w:t>377</w:t>
      </w:r>
      <w:r w:rsidRPr="00BB6462">
        <w:t>页，第</w:t>
      </w:r>
      <w:r w:rsidRPr="00BB6462">
        <w:t>119</w:t>
      </w:r>
      <w:r w:rsidRPr="00BB6462">
        <w:t>段。</w:t>
      </w:r>
    </w:p>
  </w:footnote>
  <w:footnote w:id="9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同上，第</w:t>
      </w:r>
      <w:r w:rsidRPr="00BB6462">
        <w:t>123</w:t>
      </w:r>
      <w:r w:rsidRPr="00BB6462">
        <w:t>段。</w:t>
      </w:r>
    </w:p>
  </w:footnote>
  <w:footnote w:id="10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同上，第</w:t>
      </w:r>
      <w:r w:rsidRPr="00BB6462">
        <w:t>124</w:t>
      </w:r>
      <w:r w:rsidRPr="00BB6462">
        <w:t>段。</w:t>
      </w:r>
    </w:p>
  </w:footnote>
  <w:footnote w:id="10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《战争罪及危害人类罪不适用法定时效公约》，</w:t>
      </w:r>
      <w:r w:rsidRPr="00BB6462">
        <w:t>1968</w:t>
      </w:r>
      <w:r w:rsidRPr="00BB6462">
        <w:t>年</w:t>
      </w:r>
      <w:r w:rsidRPr="00BB6462">
        <w:t>11</w:t>
      </w:r>
      <w:r w:rsidRPr="00BB6462">
        <w:t>月</w:t>
      </w:r>
      <w:r w:rsidRPr="00BB6462">
        <w:t>26</w:t>
      </w:r>
      <w:r w:rsidRPr="00BB6462">
        <w:t>日订于纽约，联合国，《条约汇编》，第</w:t>
      </w:r>
      <w:r w:rsidRPr="00BB6462">
        <w:t>754</w:t>
      </w:r>
      <w:r w:rsidRPr="00BB6462">
        <w:t>卷，第</w:t>
      </w:r>
      <w:r w:rsidRPr="00BB6462">
        <w:t>73</w:t>
      </w:r>
      <w:r w:rsidRPr="00BB6462">
        <w:t>页。截至</w:t>
      </w:r>
      <w:r w:rsidRPr="00BB6462">
        <w:t>2015</w:t>
      </w:r>
      <w:r w:rsidRPr="00BB6462">
        <w:t>年</w:t>
      </w:r>
      <w:r w:rsidRPr="00BB6462">
        <w:t>8</w:t>
      </w:r>
      <w:r w:rsidRPr="00BB6462">
        <w:t>月，该公约有</w:t>
      </w:r>
      <w:r w:rsidRPr="00BB6462">
        <w:t>55</w:t>
      </w:r>
      <w:r w:rsidRPr="00BB6462">
        <w:t>个缔约国。类似性质的区域公约，见《危害人类罪和战争罪不适用法定时效欧洲公约》，</w:t>
      </w:r>
      <w:r w:rsidRPr="00BB6462">
        <w:t>1974</w:t>
      </w:r>
      <w:r w:rsidRPr="00BB6462">
        <w:t>年</w:t>
      </w:r>
      <w:r w:rsidRPr="00BB6462">
        <w:t>1</w:t>
      </w:r>
      <w:r w:rsidRPr="00BB6462">
        <w:t>月</w:t>
      </w:r>
      <w:r w:rsidRPr="00BB6462">
        <w:t>25</w:t>
      </w:r>
      <w:r w:rsidRPr="00BB6462">
        <w:t>日订于斯特拉斯堡，欧洲委员会，</w:t>
      </w:r>
      <w:r w:rsidRPr="00BB6462">
        <w:rPr>
          <w:rFonts w:hint="eastAsia"/>
        </w:rPr>
        <w:t>《条约汇编》</w:t>
      </w:r>
      <w:r w:rsidRPr="00BB6462">
        <w:t>，</w:t>
      </w:r>
      <w:r w:rsidRPr="00BB6462">
        <w:rPr>
          <w:rFonts w:hint="eastAsia"/>
        </w:rPr>
        <w:t>第</w:t>
      </w:r>
      <w:r w:rsidRPr="00BB6462">
        <w:t>82</w:t>
      </w:r>
      <w:r w:rsidRPr="00BB6462">
        <w:rPr>
          <w:rFonts w:hint="eastAsia"/>
        </w:rPr>
        <w:t>号</w:t>
      </w:r>
      <w:r w:rsidRPr="00BB6462">
        <w:t>。截至</w:t>
      </w:r>
      <w:r w:rsidRPr="00BB6462">
        <w:t>2015</w:t>
      </w:r>
      <w:r w:rsidRPr="00BB6462">
        <w:t>年</w:t>
      </w:r>
      <w:r w:rsidRPr="00BB6462">
        <w:t>8</w:t>
      </w:r>
      <w:r w:rsidRPr="00BB6462">
        <w:t>月，该公约有</w:t>
      </w:r>
      <w:r w:rsidRPr="00BB6462">
        <w:t>8</w:t>
      </w:r>
      <w:r w:rsidRPr="00BB6462">
        <w:t>个缔约国。</w:t>
      </w:r>
    </w:p>
  </w:footnote>
  <w:footnote w:id="10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《前南斯拉夫问题国际刑事法庭规约》，安全理事会</w:t>
      </w:r>
      <w:r w:rsidRPr="00BB6462">
        <w:t>1993</w:t>
      </w:r>
      <w:r w:rsidRPr="00BB6462">
        <w:t>年</w:t>
      </w:r>
      <w:r w:rsidRPr="00BB6462">
        <w:t>5</w:t>
      </w:r>
      <w:r w:rsidRPr="00BB6462">
        <w:t>月</w:t>
      </w:r>
      <w:r w:rsidRPr="00BB6462">
        <w:t>25</w:t>
      </w:r>
      <w:r w:rsidRPr="00BB6462">
        <w:t>日第</w:t>
      </w:r>
      <w:r w:rsidRPr="00BB6462">
        <w:t>827</w:t>
      </w:r>
      <w:r>
        <w:rPr>
          <w:rFonts w:hint="eastAsia"/>
        </w:rPr>
        <w:t>(</w:t>
      </w:r>
      <w:r w:rsidRPr="00BB6462">
        <w:rPr>
          <w:rFonts w:hint="eastAsia"/>
        </w:rPr>
        <w:t>1993</w:t>
      </w:r>
      <w:r>
        <w:rPr>
          <w:rFonts w:hint="eastAsia"/>
        </w:rPr>
        <w:t>)</w:t>
      </w:r>
      <w:r w:rsidRPr="00BB6462">
        <w:t>号决议，</w:t>
      </w:r>
      <w:r w:rsidRPr="00BB6462">
        <w:t>S/RES/827</w:t>
      </w:r>
      <w:r w:rsidRPr="00BB6462">
        <w:rPr>
          <w:rFonts w:hint="eastAsia"/>
        </w:rPr>
        <w:t>号文件</w:t>
      </w:r>
      <w:r w:rsidRPr="00BB6462">
        <w:t>，第</w:t>
      </w:r>
      <w:r w:rsidRPr="00BB6462">
        <w:t>5</w:t>
      </w:r>
      <w:r w:rsidRPr="00BB6462">
        <w:t>条</w:t>
      </w:r>
      <w:r w:rsidRPr="00BB6462">
        <w:t>(</w:t>
      </w:r>
      <w:r w:rsidRPr="00BB6462">
        <w:t>下称《前南刑庭规约》</w:t>
      </w:r>
      <w:r w:rsidRPr="00BB6462">
        <w:t>)</w:t>
      </w:r>
      <w:r w:rsidRPr="00BB6462">
        <w:t>。</w:t>
      </w:r>
    </w:p>
  </w:footnote>
  <w:footnote w:id="10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16719C">
        <w:rPr>
          <w:rFonts w:ascii="楷体" w:eastAsia="楷体" w:hAnsi="楷体"/>
        </w:rPr>
        <w:t>检察官诉</w:t>
      </w:r>
      <w:r w:rsidRPr="00BB6462">
        <w:t>Tadić</w:t>
      </w:r>
      <w:r w:rsidRPr="00BB6462">
        <w:t>，上诉分庭对辩方就管辖权问题提出中间上诉的请求所做的裁决，案件号</w:t>
      </w:r>
      <w:r w:rsidRPr="00BB6462">
        <w:t>IT-94-1-AR7</w:t>
      </w:r>
      <w:r>
        <w:t xml:space="preserve">2, </w:t>
      </w:r>
      <w:r w:rsidRPr="00BB6462">
        <w:t>1995</w:t>
      </w:r>
      <w:r w:rsidRPr="00BB6462">
        <w:t>年</w:t>
      </w:r>
      <w:r w:rsidRPr="00BB6462">
        <w:t>10</w:t>
      </w:r>
      <w:r w:rsidRPr="00BB6462">
        <w:t>月</w:t>
      </w:r>
      <w:r w:rsidRPr="00BB6462">
        <w:t>2</w:t>
      </w:r>
      <w:r w:rsidRPr="00BB6462">
        <w:t>日，第</w:t>
      </w:r>
      <w:r w:rsidRPr="00BB6462">
        <w:t>140</w:t>
      </w:r>
      <w:r w:rsidRPr="00BB6462">
        <w:t>段</w:t>
      </w:r>
      <w:r w:rsidRPr="00BB6462">
        <w:rPr>
          <w:rFonts w:hint="eastAsia"/>
          <w:i/>
          <w:iCs/>
          <w:color w:val="0000FF"/>
        </w:rPr>
        <w:t>。</w:t>
      </w:r>
    </w:p>
  </w:footnote>
  <w:footnote w:id="10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同上</w:t>
      </w:r>
      <w:r w:rsidRPr="00BB6462">
        <w:t>。</w:t>
      </w:r>
    </w:p>
  </w:footnote>
  <w:footnote w:id="10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例如，见</w:t>
      </w:r>
      <w:r w:rsidRPr="0016719C">
        <w:rPr>
          <w:rFonts w:ascii="楷体" w:eastAsia="楷体" w:hAnsi="楷体"/>
        </w:rPr>
        <w:t>检察官诉</w:t>
      </w:r>
      <w:r w:rsidRPr="00BB6462">
        <w:t>Kordić &amp; Čerke</w:t>
      </w:r>
      <w:r>
        <w:t xml:space="preserve">z, </w:t>
      </w:r>
      <w:r w:rsidRPr="00BB6462">
        <w:rPr>
          <w:spacing w:val="-2"/>
        </w:rPr>
        <w:t>审判分庭</w:t>
      </w:r>
      <w:r w:rsidRPr="00BB6462">
        <w:rPr>
          <w:rFonts w:hint="eastAsia"/>
          <w:spacing w:val="-2"/>
        </w:rPr>
        <w:t>的判决</w:t>
      </w:r>
      <w:r w:rsidRPr="00BB6462">
        <w:rPr>
          <w:spacing w:val="-2"/>
        </w:rPr>
        <w:t>，案件号</w:t>
      </w:r>
      <w:r w:rsidRPr="00BB6462">
        <w:rPr>
          <w:spacing w:val="-2"/>
        </w:rPr>
        <w:t>IT-95-14/2-</w:t>
      </w:r>
      <w:r>
        <w:rPr>
          <w:spacing w:val="-2"/>
        </w:rPr>
        <w:t xml:space="preserve">T, </w:t>
      </w:r>
      <w:r w:rsidRPr="00BB6462">
        <w:rPr>
          <w:spacing w:val="-2"/>
        </w:rPr>
        <w:t>2001</w:t>
      </w:r>
      <w:r w:rsidRPr="00BB6462">
        <w:rPr>
          <w:spacing w:val="-2"/>
        </w:rPr>
        <w:t>年</w:t>
      </w:r>
      <w:r w:rsidRPr="00BB6462">
        <w:rPr>
          <w:spacing w:val="-2"/>
        </w:rPr>
        <w:t>2</w:t>
      </w:r>
      <w:r w:rsidRPr="00BB6462">
        <w:rPr>
          <w:spacing w:val="-2"/>
        </w:rPr>
        <w:t>月</w:t>
      </w:r>
      <w:r w:rsidRPr="00BB6462">
        <w:rPr>
          <w:spacing w:val="-2"/>
        </w:rPr>
        <w:t>26</w:t>
      </w:r>
      <w:r w:rsidRPr="00BB6462">
        <w:rPr>
          <w:spacing w:val="-2"/>
        </w:rPr>
        <w:t>日，第</w:t>
      </w:r>
      <w:r w:rsidRPr="00BB6462">
        <w:rPr>
          <w:spacing w:val="-2"/>
        </w:rPr>
        <w:t>33</w:t>
      </w:r>
      <w:r w:rsidRPr="00BB6462">
        <w:rPr>
          <w:spacing w:val="-2"/>
        </w:rPr>
        <w:t>段</w:t>
      </w:r>
      <w:r w:rsidRPr="00BB6462">
        <w:rPr>
          <w:spacing w:val="-2"/>
        </w:rPr>
        <w:t>(</w:t>
      </w:r>
      <w:r w:rsidRPr="00BB6462">
        <w:rPr>
          <w:spacing w:val="-2"/>
        </w:rPr>
        <w:t>下称</w:t>
      </w:r>
      <w:r w:rsidRPr="00BB6462">
        <w:rPr>
          <w:rFonts w:hint="eastAsia"/>
          <w:spacing w:val="-2"/>
        </w:rPr>
        <w:t>“</w:t>
      </w:r>
      <w:r w:rsidRPr="00BB6462">
        <w:t>Kordić 2001</w:t>
      </w:r>
      <w:r w:rsidRPr="00BB6462">
        <w:t>案</w:t>
      </w:r>
      <w:r w:rsidRPr="00BB6462">
        <w:rPr>
          <w:rFonts w:hint="eastAsia"/>
        </w:rPr>
        <w:t>”</w:t>
      </w:r>
      <w:r w:rsidRPr="00BB6462">
        <w:t>)</w:t>
      </w:r>
      <w:r w:rsidRPr="00BB6462">
        <w:t>；</w:t>
      </w:r>
      <w:r w:rsidRPr="003608E8">
        <w:rPr>
          <w:rFonts w:ascii="楷体" w:eastAsia="楷体" w:hAnsi="楷体"/>
        </w:rPr>
        <w:t>检察官诉</w:t>
      </w:r>
      <w:r w:rsidRPr="00B0157B">
        <w:rPr>
          <w:rFonts w:asciiTheme="majorBidi" w:eastAsia="楷体" w:hAnsiTheme="majorBidi" w:cstheme="majorBidi"/>
        </w:rPr>
        <w:t>Tadi</w:t>
      </w:r>
      <w:r w:rsidRPr="00B0157B">
        <w:rPr>
          <w:rFonts w:asciiTheme="majorBidi" w:eastAsia="MS Mincho" w:hAnsiTheme="majorBidi" w:cstheme="majorBidi"/>
        </w:rPr>
        <w:t>ć</w:t>
      </w:r>
      <w:r w:rsidRPr="00BB6462">
        <w:t>，</w:t>
      </w:r>
      <w:r w:rsidRPr="00BB6462">
        <w:rPr>
          <w:spacing w:val="-2"/>
        </w:rPr>
        <w:t>上诉分庭判决，案件号</w:t>
      </w:r>
      <w:r w:rsidRPr="00BB6462">
        <w:t>IT-94-1-</w:t>
      </w:r>
      <w:r>
        <w:t xml:space="preserve">A, </w:t>
      </w:r>
      <w:r w:rsidRPr="00BB6462">
        <w:t>1999</w:t>
      </w:r>
      <w:r w:rsidRPr="00BB6462">
        <w:t>年</w:t>
      </w:r>
      <w:r w:rsidRPr="00BB6462">
        <w:t>7</w:t>
      </w:r>
      <w:r w:rsidRPr="00BB6462">
        <w:t>月</w:t>
      </w:r>
      <w:r w:rsidRPr="00BB6462">
        <w:t>15</w:t>
      </w:r>
      <w:r w:rsidRPr="00BB6462">
        <w:t>日，第</w:t>
      </w:r>
      <w:r w:rsidRPr="00BB6462">
        <w:t>249-</w:t>
      </w:r>
      <w:r w:rsidRPr="00BB6462">
        <w:rPr>
          <w:rFonts w:hint="eastAsia"/>
        </w:rPr>
        <w:t>2</w:t>
      </w:r>
      <w:r w:rsidRPr="00BB6462">
        <w:t>51</w:t>
      </w:r>
      <w:r w:rsidRPr="00BB6462">
        <w:t>段</w:t>
      </w:r>
      <w:r w:rsidRPr="00BB6462">
        <w:t>)(</w:t>
      </w:r>
      <w:r w:rsidRPr="00BB6462">
        <w:t>下称</w:t>
      </w:r>
      <w:r w:rsidRPr="00BB6462">
        <w:rPr>
          <w:rFonts w:hint="eastAsia"/>
        </w:rPr>
        <w:t>“</w:t>
      </w:r>
      <w:r w:rsidRPr="00BB6462">
        <w:t>Tadić 1999</w:t>
      </w:r>
      <w:r w:rsidRPr="00BB6462">
        <w:rPr>
          <w:rFonts w:hint="eastAsia"/>
        </w:rPr>
        <w:t>”</w:t>
      </w:r>
      <w:r w:rsidRPr="00BB6462">
        <w:t>) (</w:t>
      </w:r>
      <w:r w:rsidRPr="00BB6462">
        <w:rPr>
          <w:rFonts w:hint="eastAsia"/>
        </w:rPr>
        <w:t>“</w:t>
      </w:r>
      <w:r w:rsidRPr="00BB6462">
        <w:t>证明存在武装冲突即满足了需存在武装冲突的要求；《规约》的要求仅此而已，而这样要求即已超过习惯国际法</w:t>
      </w:r>
      <w:r w:rsidRPr="00BB6462">
        <w:rPr>
          <w:rFonts w:hint="eastAsia"/>
        </w:rPr>
        <w:t>。”</w:t>
      </w:r>
      <w:r w:rsidRPr="00BB6462">
        <w:t>)</w:t>
      </w:r>
      <w:r w:rsidRPr="00BB6462">
        <w:t>。</w:t>
      </w:r>
    </w:p>
  </w:footnote>
  <w:footnote w:id="10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《卢旺达问题国际刑事法庭规约》，安全理事会</w:t>
      </w:r>
      <w:r w:rsidRPr="00BB6462">
        <w:t>1994</w:t>
      </w:r>
      <w:r w:rsidRPr="00BB6462">
        <w:t>年</w:t>
      </w:r>
      <w:r w:rsidRPr="00BB6462">
        <w:t>11</w:t>
      </w:r>
      <w:r w:rsidRPr="00BB6462">
        <w:t>月</w:t>
      </w:r>
      <w:r w:rsidRPr="00BB6462">
        <w:t>8</w:t>
      </w:r>
      <w:r w:rsidRPr="00BB6462">
        <w:t>日第</w:t>
      </w:r>
      <w:r w:rsidRPr="00BB6462">
        <w:t>955</w:t>
      </w:r>
      <w:r>
        <w:rPr>
          <w:rFonts w:hint="eastAsia"/>
        </w:rPr>
        <w:t>(</w:t>
      </w:r>
      <w:r w:rsidRPr="00BB6462">
        <w:rPr>
          <w:rFonts w:hint="eastAsia"/>
        </w:rPr>
        <w:t>1994</w:t>
      </w:r>
      <w:r>
        <w:rPr>
          <w:rFonts w:hint="eastAsia"/>
        </w:rPr>
        <w:t>)</w:t>
      </w:r>
      <w:r w:rsidRPr="00BB6462">
        <w:t>号决议，</w:t>
      </w:r>
      <w:r w:rsidRPr="00BB6462">
        <w:t>S/RES/955</w:t>
      </w:r>
      <w:r w:rsidRPr="00BB6462">
        <w:rPr>
          <w:rFonts w:hint="eastAsia"/>
        </w:rPr>
        <w:t>号文件</w:t>
      </w:r>
      <w:r w:rsidRPr="00BB6462">
        <w:t>附件，第</w:t>
      </w:r>
      <w:r w:rsidRPr="00BB6462">
        <w:t>3</w:t>
      </w:r>
      <w:r w:rsidRPr="00BB6462">
        <w:t>条</w:t>
      </w:r>
      <w:r w:rsidRPr="00BB6462">
        <w:t>(</w:t>
      </w:r>
      <w:r w:rsidRPr="00BB6462">
        <w:t>下称《卢刑庭规约》</w:t>
      </w:r>
      <w:r w:rsidRPr="00BB6462">
        <w:t>)</w:t>
      </w:r>
      <w:r w:rsidRPr="00BB6462">
        <w:t>；见</w:t>
      </w:r>
      <w:r w:rsidRPr="00BB6462">
        <w:t>Semanza</w:t>
      </w:r>
      <w:r w:rsidRPr="003608E8">
        <w:rPr>
          <w:rFonts w:ascii="楷体" w:eastAsia="楷体" w:hAnsi="楷体"/>
        </w:rPr>
        <w:t>诉检察官</w:t>
      </w:r>
      <w:r w:rsidRPr="00BB6462">
        <w:t>，上诉分庭判决，案件号</w:t>
      </w:r>
      <w:r w:rsidRPr="00BB6462">
        <w:t>ICTR-97-20-</w:t>
      </w:r>
      <w:r>
        <w:t xml:space="preserve">A, </w:t>
      </w:r>
      <w:r w:rsidRPr="00BB6462">
        <w:t>2005</w:t>
      </w:r>
      <w:r w:rsidRPr="00BB6462">
        <w:t>年</w:t>
      </w:r>
      <w:r w:rsidRPr="00BB6462">
        <w:t>5</w:t>
      </w:r>
      <w:r w:rsidRPr="00BB6462">
        <w:t>月</w:t>
      </w:r>
      <w:r w:rsidRPr="00BB6462">
        <w:t>20</w:t>
      </w:r>
      <w:r w:rsidRPr="00BB6462">
        <w:t>日，第</w:t>
      </w:r>
      <w:r w:rsidRPr="00BB6462">
        <w:t>269</w:t>
      </w:r>
      <w:r w:rsidRPr="00BB6462">
        <w:t>段</w:t>
      </w:r>
      <w:r w:rsidRPr="00BB6462">
        <w:t>(</w:t>
      </w:r>
      <w:r w:rsidRPr="00BB6462">
        <w:rPr>
          <w:rFonts w:hint="eastAsia"/>
        </w:rPr>
        <w:t>“……与</w:t>
      </w:r>
      <w:r w:rsidRPr="00BB6462">
        <w:t>《前南刑庭规约》第</w:t>
      </w:r>
      <w:r w:rsidRPr="00BB6462">
        <w:t>5</w:t>
      </w:r>
      <w:r w:rsidRPr="00BB6462">
        <w:t>条相反</w:t>
      </w:r>
      <w:r>
        <w:rPr>
          <w:rFonts w:hint="eastAsia"/>
        </w:rPr>
        <w:t>，</w:t>
      </w:r>
      <w:r w:rsidRPr="00BB6462">
        <w:t>《卢刑庭规约》第</w:t>
      </w:r>
      <w:r w:rsidRPr="00BB6462">
        <w:t>3</w:t>
      </w:r>
      <w:r w:rsidRPr="00BB6462">
        <w:t>条没有关于犯罪须与武装冲突相关的规定。这是一个重要的差别。</w:t>
      </w:r>
      <w:r w:rsidRPr="00BB6462">
        <w:rPr>
          <w:rFonts w:hint="eastAsia"/>
        </w:rPr>
        <w:t>”</w:t>
      </w:r>
      <w:r w:rsidRPr="00BB6462">
        <w:t>)</w:t>
      </w:r>
      <w:r w:rsidRPr="00BB6462">
        <w:t>。</w:t>
      </w:r>
    </w:p>
  </w:footnote>
  <w:footnote w:id="10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《纽伦堡宪章》，前注</w:t>
      </w:r>
      <w:r w:rsidRPr="00BB6462">
        <w:rPr>
          <w:rFonts w:hint="eastAsia"/>
        </w:rPr>
        <w:t>8</w:t>
      </w:r>
      <w:r>
        <w:rPr>
          <w:rFonts w:hint="eastAsia"/>
        </w:rPr>
        <w:t xml:space="preserve">5, </w:t>
      </w:r>
      <w:r w:rsidRPr="00BB6462">
        <w:t>第</w:t>
      </w:r>
      <w:r w:rsidRPr="00BB6462">
        <w:t>6</w:t>
      </w:r>
      <w:r w:rsidRPr="00BB6462">
        <w:t>条</w:t>
      </w:r>
      <w:r w:rsidRPr="00BB6462">
        <w:t>(c)</w:t>
      </w:r>
      <w:r w:rsidRPr="00BB6462">
        <w:rPr>
          <w:rFonts w:hint="eastAsia"/>
        </w:rPr>
        <w:t>项</w:t>
      </w:r>
      <w:r w:rsidRPr="00BB6462">
        <w:t>。</w:t>
      </w:r>
    </w:p>
  </w:footnote>
  <w:footnote w:id="10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1950</w:t>
      </w:r>
      <w:r w:rsidRPr="00BB6462">
        <w:rPr>
          <w:rFonts w:hint="eastAsia"/>
        </w:rPr>
        <w:t>年……</w:t>
      </w:r>
      <w:r w:rsidRPr="00BB6462">
        <w:t>年鉴》，第二卷，第</w:t>
      </w:r>
      <w:r w:rsidRPr="00BB6462">
        <w:t>377</w:t>
      </w:r>
      <w:r w:rsidRPr="00BB6462">
        <w:t>页，第</w:t>
      </w:r>
      <w:r w:rsidRPr="00BB6462">
        <w:t>119</w:t>
      </w:r>
      <w:r w:rsidRPr="00BB6462">
        <w:t>段。</w:t>
      </w:r>
    </w:p>
  </w:footnote>
  <w:footnote w:id="10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1954</w:t>
      </w:r>
      <w:r w:rsidRPr="00BB6462">
        <w:rPr>
          <w:rFonts w:hint="eastAsia"/>
        </w:rPr>
        <w:t>年……</w:t>
      </w:r>
      <w:r w:rsidRPr="00BB6462">
        <w:t>年鉴》，第二卷，第</w:t>
      </w:r>
      <w:r w:rsidRPr="00BB6462">
        <w:t>150</w:t>
      </w:r>
      <w:r w:rsidRPr="00BB6462">
        <w:t>页，第</w:t>
      </w:r>
      <w:r w:rsidRPr="00BB6462">
        <w:t>49</w:t>
      </w:r>
      <w:r w:rsidRPr="00BB6462">
        <w:t>段</w:t>
      </w:r>
      <w:r w:rsidRPr="00BB6462">
        <w:t>(</w:t>
      </w:r>
      <w:r w:rsidRPr="00BB6462">
        <w:t>第</w:t>
      </w:r>
      <w:r w:rsidRPr="00BB6462">
        <w:t>2(11)</w:t>
      </w:r>
      <w:r w:rsidRPr="00BB6462">
        <w:t>条</w:t>
      </w:r>
      <w:r w:rsidRPr="00BB6462">
        <w:t>)</w:t>
      </w:r>
      <w:r w:rsidRPr="00BB6462">
        <w:t>。</w:t>
      </w:r>
    </w:p>
  </w:footnote>
  <w:footnote w:id="11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《前南刑庭规约》，前注</w:t>
      </w:r>
      <w:r w:rsidRPr="00BB6462">
        <w:t>1</w:t>
      </w:r>
      <w:r w:rsidRPr="00BB6462">
        <w:rPr>
          <w:rFonts w:hint="eastAsia"/>
        </w:rPr>
        <w:t>0</w:t>
      </w:r>
      <w:r>
        <w:rPr>
          <w:rFonts w:hint="eastAsia"/>
        </w:rPr>
        <w:t xml:space="preserve">2, </w:t>
      </w:r>
      <w:r w:rsidRPr="00BB6462">
        <w:t>第</w:t>
      </w:r>
      <w:r w:rsidRPr="00BB6462">
        <w:t>5</w:t>
      </w:r>
      <w:r w:rsidRPr="00BB6462">
        <w:t>条。</w:t>
      </w:r>
    </w:p>
  </w:footnote>
  <w:footnote w:id="11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安全理事会，秘书长按照安全理事会第</w:t>
      </w:r>
      <w:r w:rsidRPr="00BB6462">
        <w:t>808(1993)</w:t>
      </w:r>
      <w:r w:rsidRPr="00BB6462">
        <w:t>号决议第</w:t>
      </w:r>
      <w:r w:rsidRPr="00BB6462">
        <w:t>2</w:t>
      </w:r>
      <w:r w:rsidRPr="00BB6462">
        <w:t>段提出的报告</w:t>
      </w:r>
      <w:r>
        <w:rPr>
          <w:rFonts w:hint="eastAsia"/>
        </w:rPr>
        <w:t>，</w:t>
      </w:r>
      <w:r w:rsidRPr="00BB6462">
        <w:rPr>
          <w:rFonts w:hint="eastAsia"/>
        </w:rPr>
        <w:t xml:space="preserve"> </w:t>
      </w:r>
      <w:r w:rsidRPr="00BB6462">
        <w:t>S/25704</w:t>
      </w:r>
      <w:r w:rsidRPr="00BB6462">
        <w:t>号文件，第</w:t>
      </w:r>
      <w:r w:rsidRPr="00BB6462">
        <w:t>13</w:t>
      </w:r>
      <w:r w:rsidRPr="00BB6462">
        <w:t>页，第</w:t>
      </w:r>
      <w:r w:rsidRPr="00BB6462">
        <w:t>48</w:t>
      </w:r>
      <w:r w:rsidRPr="00BB6462">
        <w:t>段。</w:t>
      </w:r>
    </w:p>
  </w:footnote>
  <w:footnote w:id="11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《卢刑庭规约》，前注</w:t>
      </w:r>
      <w:r w:rsidRPr="00BB6462">
        <w:rPr>
          <w:rFonts w:hint="eastAsia"/>
        </w:rPr>
        <w:t>10</w:t>
      </w:r>
      <w:r>
        <w:rPr>
          <w:rFonts w:hint="eastAsia"/>
        </w:rPr>
        <w:t xml:space="preserve">6,  </w:t>
      </w:r>
      <w:r w:rsidRPr="00BB6462">
        <w:t>附件，第</w:t>
      </w:r>
      <w:r w:rsidRPr="00BB6462">
        <w:t>3</w:t>
      </w:r>
      <w:r w:rsidRPr="00BB6462">
        <w:t>条。</w:t>
      </w:r>
    </w:p>
  </w:footnote>
  <w:footnote w:id="11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tab/>
      </w:r>
      <w:r w:rsidRPr="00736AA5">
        <w:rPr>
          <w:rStyle w:val="a3"/>
          <w:szCs w:val="21"/>
        </w:rPr>
        <w:footnoteRef/>
      </w:r>
      <w:r w:rsidRPr="00BB6462">
        <w:tab/>
      </w:r>
      <w:r w:rsidRPr="00BB6462">
        <w:t>《</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页，第</w:t>
      </w:r>
      <w:r w:rsidRPr="00BB6462">
        <w:t>18</w:t>
      </w:r>
      <w:r w:rsidRPr="00BB6462">
        <w:t>条。</w:t>
      </w:r>
    </w:p>
  </w:footnote>
  <w:footnote w:id="11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spacing w:val="-3"/>
        </w:rPr>
        <w:t>例如，见</w:t>
      </w:r>
      <w:r w:rsidRPr="00BB6462">
        <w:t>《联合国和塞拉利昂政府关于设立塞拉利昂特别法庭协定》</w:t>
      </w:r>
      <w:r w:rsidRPr="00BB6462">
        <w:t>(</w:t>
      </w:r>
      <w:r w:rsidRPr="00BB6462">
        <w:t>附《规约》</w:t>
      </w:r>
      <w:r w:rsidRPr="00BB6462">
        <w:rPr>
          <w:spacing w:val="-1"/>
        </w:rPr>
        <w:t>)</w:t>
      </w:r>
      <w:r w:rsidRPr="00BB6462">
        <w:rPr>
          <w:spacing w:val="-1"/>
        </w:rPr>
        <w:t>，</w:t>
      </w:r>
      <w:r w:rsidRPr="00BB6462">
        <w:t>2002</w:t>
      </w:r>
      <w:r w:rsidRPr="00BB6462">
        <w:t>年</w:t>
      </w:r>
      <w:r w:rsidRPr="00BB6462">
        <w:t>1</w:t>
      </w:r>
      <w:r w:rsidRPr="00BB6462">
        <w:t>月</w:t>
      </w:r>
      <w:r w:rsidRPr="00BB6462">
        <w:t>16</w:t>
      </w:r>
      <w:r w:rsidRPr="00BB6462">
        <w:t>日订于弗里敦，联合国，《条约汇编》</w:t>
      </w:r>
      <w:r w:rsidRPr="00BB6462">
        <w:rPr>
          <w:spacing w:val="-3"/>
        </w:rPr>
        <w:t>，第</w:t>
      </w:r>
      <w:r w:rsidRPr="00BB6462">
        <w:rPr>
          <w:spacing w:val="-3"/>
        </w:rPr>
        <w:t>2178</w:t>
      </w:r>
      <w:r w:rsidRPr="00BB6462">
        <w:rPr>
          <w:spacing w:val="-3"/>
        </w:rPr>
        <w:t>卷，第</w:t>
      </w:r>
      <w:r w:rsidRPr="00BB6462">
        <w:rPr>
          <w:spacing w:val="-3"/>
        </w:rPr>
        <w:t>137</w:t>
      </w:r>
      <w:r w:rsidRPr="00BB6462">
        <w:rPr>
          <w:spacing w:val="-3"/>
        </w:rPr>
        <w:t>页，第</w:t>
      </w:r>
      <w:r w:rsidRPr="00BB6462">
        <w:rPr>
          <w:spacing w:val="-3"/>
        </w:rPr>
        <w:t>145</w:t>
      </w:r>
      <w:r w:rsidRPr="00BB6462">
        <w:rPr>
          <w:spacing w:val="-3"/>
        </w:rPr>
        <w:t>页；</w:t>
      </w:r>
      <w:r w:rsidRPr="00BB6462">
        <w:rPr>
          <w:rFonts w:hint="eastAsia"/>
          <w:spacing w:val="-3"/>
        </w:rPr>
        <w:t>“</w:t>
      </w:r>
      <w:r w:rsidRPr="00BB6462">
        <w:t>建立柬埔寨</w:t>
      </w:r>
      <w:r w:rsidRPr="00BB6462">
        <w:rPr>
          <w:spacing w:val="-2"/>
        </w:rPr>
        <w:t>特别</w:t>
      </w:r>
      <w:r w:rsidRPr="00BB6462">
        <w:rPr>
          <w:spacing w:val="-4"/>
        </w:rPr>
        <w:t>法庭以起诉民主高棉期间所犯罪行法</w:t>
      </w:r>
      <w:r w:rsidRPr="00BB6462">
        <w:rPr>
          <w:rFonts w:hint="eastAsia"/>
          <w:spacing w:val="-4"/>
        </w:rPr>
        <w:t>”</w:t>
      </w:r>
      <w:r w:rsidRPr="00BB6462">
        <w:rPr>
          <w:spacing w:val="-4"/>
        </w:rPr>
        <w:t>，第</w:t>
      </w:r>
      <w:r w:rsidRPr="00BB6462">
        <w:rPr>
          <w:spacing w:val="-4"/>
        </w:rPr>
        <w:t>5</w:t>
      </w:r>
      <w:r w:rsidRPr="00BB6462">
        <w:rPr>
          <w:spacing w:val="-4"/>
        </w:rPr>
        <w:t>条，</w:t>
      </w:r>
      <w:r w:rsidRPr="00BB6462">
        <w:rPr>
          <w:spacing w:val="-4"/>
        </w:rPr>
        <w:t>2004</w:t>
      </w:r>
      <w:r w:rsidRPr="00BB6462">
        <w:rPr>
          <w:spacing w:val="-4"/>
        </w:rPr>
        <w:t>年</w:t>
      </w:r>
      <w:r w:rsidRPr="00BB6462">
        <w:rPr>
          <w:spacing w:val="-4"/>
        </w:rPr>
        <w:t>10</w:t>
      </w:r>
      <w:r w:rsidRPr="00BB6462">
        <w:rPr>
          <w:spacing w:val="-4"/>
        </w:rPr>
        <w:t>月</w:t>
      </w:r>
      <w:r w:rsidRPr="00BB6462">
        <w:rPr>
          <w:spacing w:val="-4"/>
        </w:rPr>
        <w:t>27</w:t>
      </w:r>
      <w:r w:rsidRPr="00BB6462">
        <w:rPr>
          <w:spacing w:val="-4"/>
        </w:rPr>
        <w:t>日，</w:t>
      </w:r>
      <w:r w:rsidRPr="00BB6462">
        <w:rPr>
          <w:rFonts w:hint="eastAsia"/>
          <w:spacing w:val="-4"/>
        </w:rPr>
        <w:t>案文见</w:t>
      </w:r>
      <w:r w:rsidRPr="00BB6462">
        <w:rPr>
          <w:spacing w:val="-4"/>
        </w:rPr>
        <w:t>于</w:t>
      </w:r>
      <w:r w:rsidRPr="00BB6462">
        <w:t xml:space="preserve"> &lt;http</w:t>
      </w:r>
      <w:r>
        <w:t>://</w:t>
      </w:r>
      <w:r w:rsidRPr="00BB6462">
        <w:t>www.eccc.gov.kh/sites/default/files/leg</w:t>
      </w:r>
      <w:r>
        <w:t>al-documents/KR_Law_as_amended_</w:t>
      </w:r>
      <w:r w:rsidRPr="00BB6462">
        <w:t>27_Oct_2004_Eng.pdf&gt;(</w:t>
      </w:r>
      <w:r w:rsidRPr="00BB6462">
        <w:t>最近查阅日期：</w:t>
      </w:r>
      <w:r w:rsidRPr="00BB6462">
        <w:t>2015</w:t>
      </w:r>
      <w:r w:rsidRPr="00BB6462">
        <w:t>年</w:t>
      </w:r>
      <w:r w:rsidRPr="00BB6462">
        <w:t>6</w:t>
      </w:r>
      <w:r w:rsidRPr="00BB6462">
        <w:t>月</w:t>
      </w:r>
      <w:r w:rsidRPr="00BB6462">
        <w:t>22</w:t>
      </w:r>
      <w:r w:rsidRPr="00BB6462">
        <w:t>日</w:t>
      </w:r>
      <w:r w:rsidRPr="00BB6462">
        <w:t>)</w:t>
      </w:r>
      <w:r w:rsidRPr="00BB6462">
        <w:t>。</w:t>
      </w:r>
    </w:p>
  </w:footnote>
  <w:footnote w:id="11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《罗马规约》，前注</w:t>
      </w:r>
      <w:r w:rsidRPr="00BB6462">
        <w:rPr>
          <w:rFonts w:hint="eastAsia"/>
        </w:rPr>
        <w:t>84</w:t>
      </w:r>
      <w:r w:rsidRPr="00BB6462">
        <w:t>。</w:t>
      </w:r>
    </w:p>
  </w:footnote>
  <w:footnote w:id="11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同上。</w:t>
      </w:r>
    </w:p>
  </w:footnote>
  <w:footnote w:id="11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同上。</w:t>
      </w:r>
    </w:p>
  </w:footnote>
  <w:footnote w:id="11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rFonts w:eastAsia="楷体"/>
        </w:rPr>
      </w:pPr>
      <w:r w:rsidRPr="00BB6462">
        <w:tab/>
      </w:r>
      <w:r w:rsidRPr="00736AA5">
        <w:rPr>
          <w:rStyle w:val="a3"/>
          <w:szCs w:val="21"/>
        </w:rPr>
        <w:footnoteRef/>
      </w:r>
      <w:r w:rsidRPr="00BB6462">
        <w:tab/>
      </w:r>
      <w:r w:rsidRPr="00BB6462">
        <w:t>同上。</w:t>
      </w:r>
    </w:p>
  </w:footnote>
  <w:footnote w:id="11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同上，第七条第</w:t>
      </w:r>
      <w:r w:rsidRPr="00BB6462">
        <w:t>(</w:t>
      </w:r>
      <w:r>
        <w:rPr>
          <w:rFonts w:hint="eastAsia"/>
        </w:rPr>
        <w:t>一</w:t>
      </w:r>
      <w:r w:rsidRPr="00BB6462">
        <w:t>)</w:t>
      </w:r>
      <w:r w:rsidRPr="00BB6462">
        <w:t>款</w:t>
      </w:r>
      <w:r>
        <w:rPr>
          <w:rFonts w:hint="eastAsia"/>
        </w:rPr>
        <w:t>第</w:t>
      </w:r>
      <w:r>
        <w:rPr>
          <w:rFonts w:hint="eastAsia"/>
        </w:rPr>
        <w:t>8</w:t>
      </w:r>
      <w:r>
        <w:rPr>
          <w:rFonts w:hint="eastAsia"/>
        </w:rPr>
        <w:t>项</w:t>
      </w:r>
      <w:r w:rsidRPr="00BB6462">
        <w:t>。</w:t>
      </w:r>
    </w:p>
  </w:footnote>
  <w:footnote w:id="12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《卢刑庭规约》第</w:t>
      </w:r>
      <w:r w:rsidRPr="00BB6462">
        <w:t>3</w:t>
      </w:r>
      <w:r w:rsidRPr="00BB6462">
        <w:t>条的法文本与英文本不同，使用了联合式的表述</w:t>
      </w:r>
      <w:r w:rsidRPr="00BB6462">
        <w:t>(</w:t>
      </w:r>
      <w:r w:rsidRPr="00BB6462">
        <w:rPr>
          <w:rFonts w:hint="eastAsia"/>
        </w:rPr>
        <w:t>“</w:t>
      </w:r>
      <w:r w:rsidRPr="00BB6462">
        <w:t>généralisée et systématique</w:t>
      </w:r>
      <w:r w:rsidRPr="00BB6462">
        <w:rPr>
          <w:rFonts w:hint="eastAsia"/>
        </w:rPr>
        <w:t>”</w:t>
      </w:r>
      <w:r w:rsidRPr="00BB6462">
        <w:t>)</w:t>
      </w:r>
      <w:r w:rsidRPr="00BB6462">
        <w:t>。在</w:t>
      </w:r>
      <w:r w:rsidRPr="00BB6462">
        <w:t>Akayesu</w:t>
      </w:r>
      <w:r w:rsidRPr="00BB6462">
        <w:t>案中，审判分庭指出：</w:t>
      </w:r>
      <w:r w:rsidRPr="00BB6462">
        <w:rPr>
          <w:rFonts w:hint="eastAsia"/>
        </w:rPr>
        <w:t>“</w:t>
      </w:r>
      <w:r w:rsidRPr="00BB6462">
        <w:t>在《规约》最初的法文本中，对这些条件使用了累加式</w:t>
      </w:r>
      <w:r w:rsidRPr="00BB6462">
        <w:rPr>
          <w:rFonts w:hint="eastAsia"/>
        </w:rPr>
        <w:t>措辞……</w:t>
      </w:r>
      <w:r w:rsidRPr="00BB6462">
        <w:t>进而大大提高了适用这一条款的门槛。习惯国际法只要求有关攻击是广泛或有系统的，鉴此，有充分理由认为法文本存在翻译错误。</w:t>
      </w:r>
      <w:r w:rsidRPr="00BB6462">
        <w:rPr>
          <w:rFonts w:hint="eastAsia"/>
        </w:rPr>
        <w:t>”</w:t>
      </w:r>
      <w:r w:rsidRPr="003608E8">
        <w:rPr>
          <w:rFonts w:ascii="楷体_GB2312" w:eastAsia="楷体_GB2312"/>
        </w:rPr>
        <w:t>检察官诉</w:t>
      </w:r>
      <w:r w:rsidRPr="00BB6462">
        <w:t>Jean-Paul Akayes</w:t>
      </w:r>
      <w:r>
        <w:t xml:space="preserve">u, </w:t>
      </w:r>
      <w:r w:rsidRPr="00BB6462">
        <w:t>审判分庭</w:t>
      </w:r>
      <w:r w:rsidRPr="00BB6462">
        <w:rPr>
          <w:rFonts w:hint="eastAsia"/>
        </w:rPr>
        <w:t>的</w:t>
      </w:r>
      <w:r w:rsidRPr="00BB6462">
        <w:t>判决，案件号</w:t>
      </w:r>
      <w:r w:rsidRPr="00BB6462">
        <w:t>ICTR-96-4-</w:t>
      </w:r>
      <w:r>
        <w:t xml:space="preserve">T, </w:t>
      </w:r>
      <w:r w:rsidRPr="00BB6462">
        <w:t>1998</w:t>
      </w:r>
      <w:r w:rsidRPr="00BB6462">
        <w:t>年</w:t>
      </w:r>
      <w:r w:rsidRPr="00BB6462">
        <w:t>9</w:t>
      </w:r>
      <w:r w:rsidRPr="00BB6462">
        <w:t>月</w:t>
      </w:r>
      <w:r w:rsidRPr="00BB6462">
        <w:t>2</w:t>
      </w:r>
      <w:r w:rsidRPr="00BB6462">
        <w:t>日，第</w:t>
      </w:r>
      <w:r w:rsidRPr="00BB6462">
        <w:t>579</w:t>
      </w:r>
      <w:r w:rsidRPr="00BB6462">
        <w:t>段，注</w:t>
      </w:r>
      <w:r w:rsidRPr="00BB6462">
        <w:t>144 (</w:t>
      </w:r>
      <w:r w:rsidRPr="00BB6462">
        <w:t>下称</w:t>
      </w:r>
      <w:r w:rsidRPr="00BB6462">
        <w:t>Akayesu 1998)</w:t>
      </w:r>
      <w:r w:rsidRPr="00BB6462">
        <w:t>。</w:t>
      </w:r>
    </w:p>
  </w:footnote>
  <w:footnote w:id="12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3608E8">
        <w:rPr>
          <w:rFonts w:ascii="楷体_GB2312" w:eastAsia="楷体_GB2312"/>
        </w:rPr>
        <w:t>检察官诉</w:t>
      </w:r>
      <w:r w:rsidRPr="007D7E36">
        <w:t>Blaškić</w:t>
      </w:r>
      <w:r w:rsidRPr="007D7E36">
        <w:t>，审判分庭</w:t>
      </w:r>
      <w:r w:rsidRPr="007D7E36">
        <w:rPr>
          <w:rFonts w:hint="eastAsia"/>
        </w:rPr>
        <w:t>的</w:t>
      </w:r>
      <w:r w:rsidRPr="007D7E36">
        <w:t>判决，案件号</w:t>
      </w:r>
      <w:r w:rsidRPr="007D7E36">
        <w:t>IT-95-14-T, 2000</w:t>
      </w:r>
      <w:r w:rsidRPr="007D7E36">
        <w:t>年</w:t>
      </w:r>
      <w:r w:rsidRPr="007D7E36">
        <w:t>3</w:t>
      </w:r>
      <w:r w:rsidRPr="007D7E36">
        <w:t>月</w:t>
      </w:r>
      <w:r w:rsidRPr="007D7E36">
        <w:t>3</w:t>
      </w:r>
      <w:r w:rsidRPr="007D7E36">
        <w:t>日，第</w:t>
      </w:r>
      <w:r w:rsidRPr="007D7E36">
        <w:t>202</w:t>
      </w:r>
      <w:r w:rsidRPr="007D7E36">
        <w:t>段</w:t>
      </w:r>
      <w:r w:rsidRPr="007D7E36">
        <w:t>(</w:t>
      </w:r>
      <w:r w:rsidRPr="007D7E36">
        <w:t>下称</w:t>
      </w:r>
      <w:r w:rsidRPr="007D7E36">
        <w:t xml:space="preserve">Blaškić </w:t>
      </w:r>
      <w:r>
        <w:rPr>
          <w:rFonts w:hint="eastAsia"/>
        </w:rPr>
        <w:t xml:space="preserve"> </w:t>
      </w:r>
      <w:r w:rsidRPr="007D7E36">
        <w:t>2000)</w:t>
      </w:r>
      <w:r w:rsidRPr="007D7E36">
        <w:rPr>
          <w:spacing w:val="6"/>
        </w:rPr>
        <w:t>；</w:t>
      </w:r>
      <w:r w:rsidRPr="00EB5B5E">
        <w:rPr>
          <w:rFonts w:ascii="楷体" w:eastAsia="楷体" w:hAnsi="楷体"/>
        </w:rPr>
        <w:t>检察官诉</w:t>
      </w:r>
      <w:r w:rsidRPr="00BB6462">
        <w:t>Tadić</w:t>
      </w:r>
      <w:r w:rsidRPr="00BB6462">
        <w:t>，审判分庭</w:t>
      </w:r>
      <w:r w:rsidRPr="00BB6462">
        <w:rPr>
          <w:rFonts w:hint="eastAsia"/>
        </w:rPr>
        <w:t>的</w:t>
      </w:r>
      <w:r w:rsidRPr="00BB6462">
        <w:t>意见和判决，案件号</w:t>
      </w:r>
      <w:r w:rsidRPr="00BB6462">
        <w:t>IT-94-1-</w:t>
      </w:r>
      <w:r>
        <w:t xml:space="preserve">T, </w:t>
      </w:r>
      <w:r w:rsidRPr="00BB6462">
        <w:t>1997</w:t>
      </w:r>
      <w:r w:rsidRPr="00BB6462">
        <w:t>年</w:t>
      </w:r>
      <w:r w:rsidRPr="00BB6462">
        <w:t>5</w:t>
      </w:r>
      <w:r w:rsidRPr="00BB6462">
        <w:t>月</w:t>
      </w:r>
      <w:r w:rsidRPr="00BB6462">
        <w:t>7</w:t>
      </w:r>
      <w:r w:rsidRPr="00BB6462">
        <w:t>日，第</w:t>
      </w:r>
      <w:r w:rsidRPr="00BB6462">
        <w:t>648</w:t>
      </w:r>
      <w:r w:rsidRPr="00BB6462">
        <w:t>段</w:t>
      </w:r>
      <w:r w:rsidRPr="00BB6462">
        <w:t>(</w:t>
      </w:r>
      <w:r w:rsidRPr="00BB6462">
        <w:t>下称</w:t>
      </w:r>
      <w:r w:rsidRPr="00BB6462">
        <w:t>Tadić 1997)</w:t>
      </w:r>
      <w:r w:rsidRPr="00BB6462">
        <w:t>。</w:t>
      </w:r>
    </w:p>
  </w:footnote>
  <w:footnote w:id="12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例如，见</w:t>
      </w:r>
      <w:r w:rsidRPr="003608E8">
        <w:rPr>
          <w:rFonts w:ascii="楷体_GB2312" w:eastAsia="楷体_GB2312"/>
        </w:rPr>
        <w:t>检察官诉</w:t>
      </w:r>
      <w:r w:rsidRPr="00BB6462">
        <w:t>Mrkšić</w:t>
      </w:r>
      <w:r w:rsidRPr="00BB6462">
        <w:t>，</w:t>
      </w:r>
      <w:r>
        <w:rPr>
          <w:rFonts w:hint="eastAsia"/>
        </w:rPr>
        <w:t>第二</w:t>
      </w:r>
      <w:r w:rsidRPr="00BB6462">
        <w:t>审判分庭的判决，案件号</w:t>
      </w:r>
      <w:r w:rsidRPr="00BB6462">
        <w:t>IT-95-13/1-</w:t>
      </w:r>
      <w:r>
        <w:t xml:space="preserve">T, </w:t>
      </w:r>
      <w:r w:rsidRPr="00BB6462">
        <w:t>2007</w:t>
      </w:r>
      <w:r w:rsidRPr="00BB6462">
        <w:t>年</w:t>
      </w:r>
      <w:r w:rsidRPr="00BB6462">
        <w:t>9</w:t>
      </w:r>
      <w:r w:rsidRPr="00BB6462">
        <w:t>月</w:t>
      </w:r>
      <w:r w:rsidRPr="00BB6462">
        <w:t>27</w:t>
      </w:r>
      <w:r w:rsidRPr="00BB6462">
        <w:t>日，第</w:t>
      </w:r>
      <w:r w:rsidRPr="00BB6462">
        <w:t>437</w:t>
      </w:r>
      <w:r w:rsidRPr="00BB6462">
        <w:t>段</w:t>
      </w:r>
      <w:r w:rsidRPr="00BB6462">
        <w:t>(</w:t>
      </w:r>
      <w:r w:rsidRPr="00BB6462">
        <w:t>下称</w:t>
      </w:r>
      <w:r w:rsidRPr="00BB6462">
        <w:t>Mrkšić 2007) (</w:t>
      </w:r>
      <w:r w:rsidRPr="00BB6462">
        <w:rPr>
          <w:rFonts w:hint="eastAsia"/>
        </w:rPr>
        <w:t>“</w:t>
      </w:r>
      <w:r w:rsidRPr="00BB6462">
        <w:t>攻击必须是广泛或有系统的，这是择一条件而非累加条件。</w:t>
      </w:r>
      <w:r w:rsidRPr="00BB6462">
        <w:rPr>
          <w:rFonts w:hint="eastAsia"/>
        </w:rPr>
        <w:t>”</w:t>
      </w:r>
      <w:r w:rsidRPr="00BB6462">
        <w:t>)</w:t>
      </w:r>
      <w:r w:rsidRPr="00BB6462">
        <w:t>；</w:t>
      </w:r>
      <w:r w:rsidRPr="003608E8">
        <w:rPr>
          <w:rFonts w:ascii="楷体_GB2312" w:eastAsia="楷体_GB2312"/>
        </w:rPr>
        <w:t>检察官诉</w:t>
      </w:r>
      <w:r w:rsidRPr="00BB6462">
        <w:t>Kayishem</w:t>
      </w:r>
      <w:r>
        <w:t xml:space="preserve">a, </w:t>
      </w:r>
      <w:r w:rsidRPr="00BB6462">
        <w:t>审判分庭的判决，案件号</w:t>
      </w:r>
      <w:r w:rsidRPr="00BB6462">
        <w:t>ICTR-95-1-</w:t>
      </w:r>
      <w:r>
        <w:t xml:space="preserve">T, </w:t>
      </w:r>
      <w:r w:rsidRPr="00BB6462">
        <w:t>1999</w:t>
      </w:r>
      <w:r w:rsidRPr="00BB6462">
        <w:t>年</w:t>
      </w:r>
      <w:r w:rsidRPr="00BB6462">
        <w:t>5</w:t>
      </w:r>
      <w:r w:rsidRPr="00BB6462">
        <w:t>月</w:t>
      </w:r>
      <w:r w:rsidRPr="00BB6462">
        <w:t>21</w:t>
      </w:r>
      <w:r w:rsidRPr="00BB6462">
        <w:t>日，第</w:t>
      </w:r>
      <w:r w:rsidRPr="00BB6462">
        <w:t>123</w:t>
      </w:r>
      <w:r w:rsidRPr="00BB6462">
        <w:t>段</w:t>
      </w:r>
      <w:r w:rsidRPr="00BB6462">
        <w:t>(</w:t>
      </w:r>
      <w:r w:rsidRPr="00BB6462">
        <w:t>下称</w:t>
      </w:r>
      <w:r w:rsidRPr="00BB6462">
        <w:t>Kayishema 1999) (</w:t>
      </w:r>
      <w:r w:rsidRPr="00BB6462">
        <w:rPr>
          <w:rFonts w:hint="eastAsia"/>
        </w:rPr>
        <w:t>“</w:t>
      </w:r>
      <w:r w:rsidRPr="00BB6462">
        <w:t>有关攻击必须包括广泛或有系统这两个条件中的任意一个。</w:t>
      </w:r>
      <w:r w:rsidRPr="00BB6462">
        <w:rPr>
          <w:rFonts w:hint="eastAsia"/>
        </w:rPr>
        <w:t>”</w:t>
      </w:r>
      <w:r w:rsidRPr="00BB6462">
        <w:t>)</w:t>
      </w:r>
      <w:r w:rsidRPr="00BB6462">
        <w:t>；</w:t>
      </w:r>
      <w:r w:rsidRPr="00BB6462">
        <w:t>Akayesu 199</w:t>
      </w:r>
      <w:r>
        <w:t xml:space="preserve">8, </w:t>
      </w:r>
      <w:r w:rsidRPr="00BB6462">
        <w:t>前注</w:t>
      </w:r>
      <w:r w:rsidRPr="00BB6462">
        <w:rPr>
          <w:rFonts w:hint="eastAsia"/>
        </w:rPr>
        <w:t>12</w:t>
      </w:r>
      <w:r>
        <w:rPr>
          <w:rFonts w:hint="eastAsia"/>
        </w:rPr>
        <w:t xml:space="preserve">0, </w:t>
      </w:r>
      <w:r w:rsidRPr="00BB6462">
        <w:t>第</w:t>
      </w:r>
      <w:r w:rsidRPr="00BB6462">
        <w:t>579</w:t>
      </w:r>
      <w:r w:rsidRPr="00BB6462">
        <w:t>段；</w:t>
      </w:r>
      <w:r w:rsidRPr="00BB6462">
        <w:t>Tadić 199</w:t>
      </w:r>
      <w:r>
        <w:t xml:space="preserve">7, </w:t>
      </w:r>
      <w:r w:rsidRPr="00BB6462">
        <w:t>前注</w:t>
      </w:r>
      <w:r w:rsidRPr="00BB6462">
        <w:t>12</w:t>
      </w:r>
      <w:r>
        <w:t xml:space="preserve">1, </w:t>
      </w:r>
      <w:r w:rsidRPr="00BB6462">
        <w:t>第</w:t>
      </w:r>
      <w:r w:rsidRPr="00BB6462">
        <w:t>648</w:t>
      </w:r>
      <w:r w:rsidRPr="00BB6462">
        <w:t>段</w:t>
      </w:r>
      <w:r w:rsidRPr="00BB6462">
        <w:t>(</w:t>
      </w:r>
      <w:r w:rsidRPr="00BB6462">
        <w:rPr>
          <w:rFonts w:hint="eastAsia"/>
        </w:rPr>
        <w:t>“</w:t>
      </w:r>
      <w:r w:rsidRPr="00BB6462">
        <w:t>只要认定存在广泛</w:t>
      </w:r>
      <w:r w:rsidRPr="00BB6462">
        <w:rPr>
          <w:rFonts w:hint="eastAsia"/>
        </w:rPr>
        <w:t>性……</w:t>
      </w:r>
      <w:r w:rsidRPr="00BB6462">
        <w:t>或系统</w:t>
      </w:r>
      <w:r w:rsidRPr="00BB6462">
        <w:rPr>
          <w:rFonts w:hint="eastAsia"/>
        </w:rPr>
        <w:t>性……</w:t>
      </w:r>
      <w:r w:rsidRPr="00BB6462">
        <w:t>二者之一，即达到这一条件。</w:t>
      </w:r>
      <w:r w:rsidRPr="00BB6462">
        <w:rPr>
          <w:rFonts w:hint="eastAsia"/>
        </w:rPr>
        <w:t>”</w:t>
      </w:r>
      <w:r w:rsidRPr="00BB6462">
        <w:t>)</w:t>
      </w:r>
      <w:r w:rsidRPr="00BB6462">
        <w:t>。</w:t>
      </w:r>
    </w:p>
  </w:footnote>
  <w:footnote w:id="12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页。另见《大会正式记录：第五十届会议，补编第</w:t>
      </w:r>
      <w:r w:rsidRPr="00BB6462">
        <w:t>22</w:t>
      </w:r>
      <w:r w:rsidRPr="00BB6462">
        <w:t>号》</w:t>
      </w:r>
      <w:r w:rsidRPr="00BB6462">
        <w:t>(A/50/22)</w:t>
      </w:r>
      <w:r w:rsidRPr="00BB6462">
        <w:t>，第</w:t>
      </w:r>
      <w:r w:rsidRPr="00BB6462">
        <w:t>78</w:t>
      </w:r>
      <w:r w:rsidRPr="00BB6462">
        <w:t>段</w:t>
      </w:r>
      <w:r w:rsidRPr="00BB6462">
        <w:t>(</w:t>
      </w:r>
      <w:r w:rsidRPr="00BB6462">
        <w:t>设立国际刑事法院问题特设委员会的报告</w:t>
      </w:r>
      <w:r w:rsidRPr="00BB6462">
        <w:t>)(</w:t>
      </w:r>
      <w:r w:rsidRPr="00BB6462">
        <w:rPr>
          <w:rFonts w:hint="eastAsia"/>
        </w:rPr>
        <w:t>“</w:t>
      </w:r>
      <w:r w:rsidRPr="00BB6462">
        <w:t>关于危害人类罪行定义中所应反映</w:t>
      </w:r>
      <w:r w:rsidRPr="00BB6462">
        <w:t>[</w:t>
      </w:r>
      <w:r w:rsidRPr="00BB6462">
        <w:t>的</w:t>
      </w:r>
      <w:r w:rsidRPr="00BB6462">
        <w:t>]</w:t>
      </w:r>
      <w:r w:rsidRPr="00BB6462">
        <w:t>成</w:t>
      </w:r>
      <w:r w:rsidRPr="00BB6462">
        <w:rPr>
          <w:rFonts w:hint="eastAsia"/>
        </w:rPr>
        <w:t>分……</w:t>
      </w:r>
      <w:r w:rsidRPr="00BB6462">
        <w:t>罪行通常涉及广泛或有系统</w:t>
      </w:r>
      <w:r w:rsidRPr="00BB6462">
        <w:rPr>
          <w:rFonts w:hint="eastAsia"/>
        </w:rPr>
        <w:t>的……</w:t>
      </w:r>
      <w:r w:rsidRPr="00BB6462">
        <w:t>攻击</w:t>
      </w:r>
      <w:r w:rsidRPr="00BB6462">
        <w:rPr>
          <w:rFonts w:hint="eastAsia"/>
        </w:rPr>
        <w:t>”</w:t>
      </w:r>
      <w:r w:rsidRPr="00BB6462">
        <w:t>)(</w:t>
      </w:r>
      <w:r w:rsidRPr="00BB6462">
        <w:t>着重号是本文所加</w:t>
      </w:r>
      <w:r w:rsidRPr="00BB6462">
        <w:t>)</w:t>
      </w:r>
      <w:r w:rsidRPr="00BB6462">
        <w:t>；《</w:t>
      </w:r>
      <w:r w:rsidRPr="00BB6462">
        <w:t>1995</w:t>
      </w:r>
      <w:r w:rsidRPr="00BB6462">
        <w:t>年</w:t>
      </w:r>
      <w:r w:rsidRPr="00BB6462">
        <w:rPr>
          <w:rFonts w:hint="eastAsia"/>
        </w:rPr>
        <w:t>……</w:t>
      </w:r>
      <w:r w:rsidRPr="00BB6462">
        <w:t>年鉴》，第二卷</w:t>
      </w:r>
      <w:r w:rsidRPr="00BB6462">
        <w:t>(</w:t>
      </w:r>
      <w:r w:rsidRPr="00BB6462">
        <w:t>第二部分</w:t>
      </w:r>
      <w:r w:rsidRPr="00BB6462">
        <w:t>)</w:t>
      </w:r>
      <w:r w:rsidRPr="00BB6462">
        <w:t>，第</w:t>
      </w:r>
      <w:r w:rsidRPr="00BB6462">
        <w:t>25</w:t>
      </w:r>
      <w:r w:rsidRPr="00BB6462">
        <w:t>页，第</w:t>
      </w:r>
      <w:r w:rsidRPr="00BB6462">
        <w:t>90</w:t>
      </w:r>
      <w:r w:rsidRPr="00BB6462">
        <w:t>段</w:t>
      </w:r>
      <w:r w:rsidRPr="00BB6462">
        <w:t>(</w:t>
      </w:r>
      <w:r w:rsidRPr="00BB6462">
        <w:rPr>
          <w:rFonts w:hint="eastAsia"/>
        </w:rPr>
        <w:t>“</w:t>
      </w:r>
      <w:r w:rsidRPr="00BB6462">
        <w:t>‘</w:t>
      </w:r>
      <w:r w:rsidRPr="00BB6462">
        <w:t>有计划</w:t>
      </w:r>
      <w:r w:rsidRPr="00BB6462">
        <w:t>’</w:t>
      </w:r>
      <w:r w:rsidRPr="00BB6462">
        <w:t>和</w:t>
      </w:r>
      <w:r w:rsidRPr="00BB6462">
        <w:t>‘</w:t>
      </w:r>
      <w:r w:rsidRPr="00BB6462">
        <w:t>大规模</w:t>
      </w:r>
      <w:r w:rsidRPr="00BB6462">
        <w:t>’</w:t>
      </w:r>
      <w:r w:rsidRPr="00BB6462">
        <w:t>侵害等概念是有关罪行的补充要素</w:t>
      </w:r>
      <w:r w:rsidRPr="00BB6462">
        <w:rPr>
          <w:rFonts w:hint="eastAsia"/>
        </w:rPr>
        <w:t>”</w:t>
      </w:r>
      <w:r w:rsidRPr="00BB6462">
        <w:t>)</w:t>
      </w:r>
      <w:r w:rsidRPr="00BB6462">
        <w:t>；《</w:t>
      </w:r>
      <w:r w:rsidRPr="00BB6462">
        <w:t>1994</w:t>
      </w:r>
      <w:r w:rsidRPr="00BB6462">
        <w:t>年</w:t>
      </w:r>
      <w:r w:rsidRPr="00BB6462">
        <w:rPr>
          <w:rFonts w:hint="eastAsia"/>
        </w:rPr>
        <w:t>……</w:t>
      </w:r>
      <w:r w:rsidRPr="00BB6462">
        <w:t>年鉴》，第二卷</w:t>
      </w:r>
      <w:r w:rsidRPr="00BB6462">
        <w:t>(</w:t>
      </w:r>
      <w:r w:rsidRPr="00BB6462">
        <w:t>第二部分</w:t>
      </w:r>
      <w:r w:rsidRPr="00BB6462">
        <w:t>)</w:t>
      </w:r>
      <w:r w:rsidRPr="00BB6462">
        <w:t>，第</w:t>
      </w:r>
      <w:r w:rsidRPr="00BB6462">
        <w:t>40</w:t>
      </w:r>
      <w:r w:rsidRPr="00BB6462">
        <w:t>页</w:t>
      </w:r>
      <w:r w:rsidRPr="00BB6462">
        <w:t>(</w:t>
      </w:r>
      <w:r w:rsidRPr="00BB6462">
        <w:rPr>
          <w:rFonts w:hint="eastAsia"/>
        </w:rPr>
        <w:t>“</w:t>
      </w:r>
      <w:r w:rsidRPr="00BB6462">
        <w:t>危害人类罪的定义</w:t>
      </w:r>
      <w:r w:rsidRPr="00BB6462">
        <w:rPr>
          <w:rFonts w:hint="eastAsia"/>
        </w:rPr>
        <w:t>包括……</w:t>
      </w:r>
      <w:r w:rsidRPr="00BB6462">
        <w:t>性质非常严重的不人道行为。这种罪行的特点在于其大规模或有计划的性质。</w:t>
      </w:r>
      <w:r w:rsidRPr="00BB6462">
        <w:rPr>
          <w:rFonts w:hint="eastAsia"/>
        </w:rPr>
        <w:t>”</w:t>
      </w:r>
      <w:r w:rsidRPr="00BB6462">
        <w:t>)</w:t>
      </w:r>
      <w:r w:rsidRPr="00BB6462">
        <w:t>；《</w:t>
      </w:r>
      <w:r w:rsidRPr="00BB6462">
        <w:t>1991</w:t>
      </w:r>
      <w:r w:rsidRPr="00BB6462">
        <w:t>年</w:t>
      </w:r>
      <w:r w:rsidRPr="00BB6462">
        <w:rPr>
          <w:rFonts w:hint="eastAsia"/>
        </w:rPr>
        <w:t>……</w:t>
      </w:r>
      <w:r w:rsidRPr="00BB6462">
        <w:t>年鉴》，第二卷</w:t>
      </w:r>
      <w:r w:rsidRPr="00BB6462">
        <w:t>(</w:t>
      </w:r>
      <w:r w:rsidRPr="00BB6462">
        <w:t>第二部分</w:t>
      </w:r>
      <w:r w:rsidRPr="00BB6462">
        <w:t>)</w:t>
      </w:r>
      <w:r w:rsidRPr="00BB6462">
        <w:t>，第</w:t>
      </w:r>
      <w:r w:rsidRPr="00BB6462">
        <w:t>103</w:t>
      </w:r>
      <w:r w:rsidRPr="00BB6462">
        <w:t>页</w:t>
      </w:r>
      <w:r w:rsidRPr="00BB6462">
        <w:t>(</w:t>
      </w:r>
      <w:r w:rsidRPr="00BB6462">
        <w:rPr>
          <w:rFonts w:hint="eastAsia"/>
        </w:rPr>
        <w:t>“</w:t>
      </w:r>
      <w:r w:rsidRPr="00BB6462">
        <w:t>实</w:t>
      </w:r>
      <w:r w:rsidRPr="00BB6462">
        <w:rPr>
          <w:rFonts w:hint="eastAsia"/>
        </w:rPr>
        <w:t>现……</w:t>
      </w:r>
      <w:r w:rsidRPr="00BB6462">
        <w:t>所列举的任何一项行为，无论是有系统还是大规模，只要具有其中一方面，就足以构成侵害行为。</w:t>
      </w:r>
      <w:r w:rsidRPr="00BB6462">
        <w:rPr>
          <w:rFonts w:hint="eastAsia"/>
        </w:rPr>
        <w:t>”</w:t>
      </w:r>
      <w:r w:rsidRPr="00BB6462">
        <w:t>)</w:t>
      </w:r>
      <w:r w:rsidRPr="00BB6462">
        <w:t>。</w:t>
      </w:r>
    </w:p>
  </w:footnote>
  <w:footnote w:id="12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见联合国，设立国际刑事法院全权代表外交会议，</w:t>
      </w:r>
      <w:r w:rsidRPr="00BB6462">
        <w:t>A/CONF/183/13 (Vol. II)</w:t>
      </w:r>
      <w:r w:rsidRPr="00BB6462">
        <w:t>号文件，第</w:t>
      </w:r>
      <w:r w:rsidRPr="00BB6462">
        <w:t>148</w:t>
      </w:r>
      <w:r w:rsidRPr="00BB6462">
        <w:t>页</w:t>
      </w:r>
      <w:r w:rsidRPr="00BB6462">
        <w:t>(</w:t>
      </w:r>
      <w:r w:rsidRPr="00BB6462">
        <w:t>印度</w:t>
      </w:r>
      <w:r w:rsidRPr="00BB6462">
        <w:t>)</w:t>
      </w:r>
      <w:r w:rsidRPr="00BB6462">
        <w:t>；同上，第</w:t>
      </w:r>
      <w:r w:rsidRPr="00BB6462">
        <w:t>150</w:t>
      </w:r>
      <w:r w:rsidRPr="00BB6462">
        <w:t>页</w:t>
      </w:r>
      <w:r w:rsidRPr="00BB6462">
        <w:t>(</w:t>
      </w:r>
      <w:r w:rsidRPr="00BB6462">
        <w:t>大不列颠及北爱尔兰联合王国、法国</w:t>
      </w:r>
      <w:r w:rsidRPr="00BB6462">
        <w:t>)</w:t>
      </w:r>
      <w:r w:rsidRPr="00BB6462">
        <w:t>；同上，第</w:t>
      </w:r>
      <w:r w:rsidRPr="00BB6462">
        <w:t>151</w:t>
      </w:r>
      <w:r w:rsidRPr="00BB6462">
        <w:t>页</w:t>
      </w:r>
      <w:r w:rsidRPr="00BB6462">
        <w:t>(</w:t>
      </w:r>
      <w:r w:rsidRPr="00BB6462">
        <w:t>泰国、埃及</w:t>
      </w:r>
      <w:r w:rsidRPr="00BB6462">
        <w:t>)</w:t>
      </w:r>
      <w:r w:rsidRPr="00BB6462">
        <w:t>；同上，第</w:t>
      </w:r>
      <w:r w:rsidRPr="00BB6462">
        <w:t>152</w:t>
      </w:r>
      <w:r w:rsidRPr="00BB6462">
        <w:t>页</w:t>
      </w:r>
      <w:r w:rsidRPr="00BB6462">
        <w:t>(</w:t>
      </w:r>
      <w:r w:rsidRPr="00BB6462">
        <w:t>伊朗伊斯兰共和国</w:t>
      </w:r>
      <w:r w:rsidRPr="00BB6462">
        <w:t>)</w:t>
      </w:r>
      <w:r w:rsidRPr="00BB6462">
        <w:t>；同上，第</w:t>
      </w:r>
      <w:r w:rsidRPr="00BB6462">
        <w:t>154</w:t>
      </w:r>
      <w:r w:rsidRPr="00BB6462">
        <w:t>页</w:t>
      </w:r>
      <w:r w:rsidRPr="00BB6462">
        <w:t>(</w:t>
      </w:r>
      <w:r w:rsidRPr="00BB6462">
        <w:t>土耳其</w:t>
      </w:r>
      <w:r w:rsidRPr="00BB6462">
        <w:t>)</w:t>
      </w:r>
      <w:r w:rsidRPr="00BB6462">
        <w:t>；同上，第</w:t>
      </w:r>
      <w:r w:rsidRPr="00BB6462">
        <w:t>155</w:t>
      </w:r>
      <w:r w:rsidRPr="00BB6462">
        <w:t>页</w:t>
      </w:r>
      <w:r w:rsidRPr="00BB6462">
        <w:t>(</w:t>
      </w:r>
      <w:r w:rsidRPr="00BB6462">
        <w:t>俄罗斯联邦</w:t>
      </w:r>
      <w:r w:rsidRPr="00BB6462">
        <w:t>)</w:t>
      </w:r>
      <w:r w:rsidRPr="00BB6462">
        <w:t>；同上，第</w:t>
      </w:r>
      <w:r w:rsidRPr="00BB6462">
        <w:t>156</w:t>
      </w:r>
      <w:r w:rsidRPr="00BB6462">
        <w:t>页</w:t>
      </w:r>
      <w:r w:rsidRPr="00BB6462">
        <w:t>(</w:t>
      </w:r>
      <w:r w:rsidRPr="00BB6462">
        <w:t>日本</w:t>
      </w:r>
      <w:r w:rsidRPr="00BB6462">
        <w:t>)</w:t>
      </w:r>
      <w:r w:rsidRPr="00BB6462">
        <w:t>。</w:t>
      </w:r>
    </w:p>
  </w:footnote>
  <w:footnote w:id="12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国际刑院判例法已经确认，《罗马规约》第七条中</w:t>
      </w:r>
      <w:r w:rsidRPr="00BB6462">
        <w:rPr>
          <w:rFonts w:hint="eastAsia"/>
        </w:rPr>
        <w:t>“</w:t>
      </w:r>
      <w:r w:rsidRPr="00BB6462">
        <w:t>广泛</w:t>
      </w:r>
      <w:r w:rsidRPr="00BB6462">
        <w:rPr>
          <w:rFonts w:hint="eastAsia"/>
        </w:rPr>
        <w:t>”</w:t>
      </w:r>
      <w:r w:rsidRPr="00BB6462">
        <w:t>和</w:t>
      </w:r>
      <w:r w:rsidRPr="00BB6462">
        <w:rPr>
          <w:rFonts w:hint="eastAsia"/>
        </w:rPr>
        <w:t>“</w:t>
      </w:r>
      <w:r w:rsidRPr="00BB6462">
        <w:t>有系统</w:t>
      </w:r>
      <w:r w:rsidRPr="00BB6462">
        <w:rPr>
          <w:rFonts w:hint="eastAsia"/>
        </w:rPr>
        <w:t>”</w:t>
      </w:r>
      <w:r w:rsidRPr="00BB6462">
        <w:t>这两项条件为择一条件。见</w:t>
      </w:r>
      <w:r w:rsidRPr="00BB6462">
        <w:rPr>
          <w:rFonts w:hint="eastAsia"/>
        </w:rPr>
        <w:t>“肯尼亚共和国状况”，第二</w:t>
      </w:r>
      <w:r w:rsidRPr="00BB6462">
        <w:t>预审分庭根据《罗马规约》第十五条作出的关于授权调查肯尼亚共和国状况的决定，</w:t>
      </w:r>
      <w:r w:rsidRPr="00BB6462">
        <w:t>ICC-01/0</w:t>
      </w:r>
      <w:r>
        <w:t xml:space="preserve">9, </w:t>
      </w:r>
      <w:r w:rsidRPr="00BB6462">
        <w:t>2010</w:t>
      </w:r>
      <w:r w:rsidRPr="00BB6462">
        <w:t>年</w:t>
      </w:r>
      <w:r w:rsidRPr="00BB6462">
        <w:t>3</w:t>
      </w:r>
      <w:r w:rsidRPr="00BB6462">
        <w:t>月</w:t>
      </w:r>
      <w:r w:rsidRPr="00BB6462">
        <w:t>31</w:t>
      </w:r>
      <w:r w:rsidRPr="00BB6462">
        <w:t>日，第</w:t>
      </w:r>
      <w:r w:rsidRPr="00BB6462">
        <w:t>94</w:t>
      </w:r>
      <w:r w:rsidRPr="00BB6462">
        <w:t>段</w:t>
      </w:r>
      <w:r w:rsidRPr="00BB6462">
        <w:t>(</w:t>
      </w:r>
      <w:r w:rsidRPr="00BB6462">
        <w:t>下称</w:t>
      </w:r>
      <w:r w:rsidRPr="00BB6462">
        <w:rPr>
          <w:rFonts w:hint="eastAsia"/>
        </w:rPr>
        <w:t>“</w:t>
      </w:r>
      <w:r w:rsidRPr="00BB6462">
        <w:rPr>
          <w:rFonts w:hint="eastAsia"/>
        </w:rPr>
        <w:t>2010</w:t>
      </w:r>
      <w:r w:rsidRPr="00BB6462">
        <w:rPr>
          <w:rFonts w:hint="eastAsia"/>
        </w:rPr>
        <w:t>年</w:t>
      </w:r>
      <w:r w:rsidRPr="00BB6462">
        <w:t>肯尼亚授权决定</w:t>
      </w:r>
      <w:r w:rsidRPr="00BB6462">
        <w:rPr>
          <w:rFonts w:hint="eastAsia"/>
        </w:rPr>
        <w:t>”</w:t>
      </w:r>
      <w:r w:rsidRPr="00BB6462">
        <w:t>)</w:t>
      </w:r>
      <w:r w:rsidRPr="00BB6462">
        <w:t>；另见</w:t>
      </w:r>
      <w:r w:rsidRPr="00EB5B5E">
        <w:rPr>
          <w:rFonts w:ascii="楷体" w:eastAsia="楷体" w:hAnsi="楷体"/>
        </w:rPr>
        <w:t>检察官诉</w:t>
      </w:r>
      <w:r w:rsidRPr="00BB6462">
        <w:t>Jean-Pierre Bemba Gomb</w:t>
      </w:r>
      <w:r>
        <w:t xml:space="preserve">o, </w:t>
      </w:r>
      <w:r w:rsidRPr="00BB6462">
        <w:rPr>
          <w:rFonts w:hint="eastAsia"/>
        </w:rPr>
        <w:t>第二</w:t>
      </w:r>
      <w:r w:rsidRPr="00BB6462">
        <w:t>预审分庭根据《罗马规约》第六十一条第</w:t>
      </w:r>
      <w:r w:rsidRPr="00BB6462">
        <w:t>(</w:t>
      </w:r>
      <w:r w:rsidRPr="00BB6462">
        <w:t>七</w:t>
      </w:r>
      <w:r w:rsidRPr="00BB6462">
        <w:t>)</w:t>
      </w:r>
      <w:r w:rsidRPr="00BB6462">
        <w:t>款第</w:t>
      </w:r>
      <w:r w:rsidRPr="00BB6462">
        <w:t>1</w:t>
      </w:r>
      <w:r w:rsidRPr="00BB6462">
        <w:t>项和第</w:t>
      </w:r>
      <w:r w:rsidRPr="00BB6462">
        <w:t>2</w:t>
      </w:r>
      <w:r w:rsidRPr="00BB6462">
        <w:t>项作出的关于指控的决定，</w:t>
      </w:r>
      <w:r w:rsidRPr="00BB6462">
        <w:t>ICC-01/05-01/0</w:t>
      </w:r>
      <w:r>
        <w:t xml:space="preserve">8, </w:t>
      </w:r>
      <w:r w:rsidRPr="00BB6462">
        <w:t>2009</w:t>
      </w:r>
      <w:r w:rsidRPr="00BB6462">
        <w:t>年</w:t>
      </w:r>
      <w:r w:rsidRPr="00BB6462">
        <w:t>6</w:t>
      </w:r>
      <w:r w:rsidRPr="00BB6462">
        <w:t>月</w:t>
      </w:r>
      <w:r w:rsidRPr="00BB6462">
        <w:t>15</w:t>
      </w:r>
      <w:r w:rsidRPr="00BB6462">
        <w:t>日，第</w:t>
      </w:r>
      <w:r w:rsidRPr="00BB6462">
        <w:t>82</w:t>
      </w:r>
      <w:r w:rsidRPr="00BB6462">
        <w:t>段</w:t>
      </w:r>
      <w:r w:rsidRPr="00BB6462">
        <w:t>(</w:t>
      </w:r>
      <w:r w:rsidRPr="00BB6462">
        <w:t>下称</w:t>
      </w:r>
      <w:r w:rsidRPr="00BB6462">
        <w:rPr>
          <w:rFonts w:hint="eastAsia"/>
        </w:rPr>
        <w:t>“</w:t>
      </w:r>
      <w:r w:rsidRPr="00BB6462">
        <w:t>Bemba</w:t>
      </w:r>
      <w:r w:rsidRPr="00BB6462">
        <w:rPr>
          <w:rFonts w:hint="eastAsia"/>
        </w:rPr>
        <w:t xml:space="preserve"> 2009</w:t>
      </w:r>
      <w:r w:rsidRPr="00BB6462">
        <w:rPr>
          <w:rFonts w:hint="eastAsia"/>
        </w:rPr>
        <w:t>”</w:t>
      </w:r>
      <w:r w:rsidRPr="00BB6462">
        <w:t>)</w:t>
      </w:r>
      <w:r w:rsidRPr="00BB6462">
        <w:t>。</w:t>
      </w:r>
    </w:p>
  </w:footnote>
  <w:footnote w:id="12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0157B">
        <w:rPr>
          <w:rFonts w:ascii="楷体_GB2312" w:eastAsia="楷体_GB2312"/>
        </w:rPr>
        <w:t>检察官诉</w:t>
      </w:r>
      <w:r w:rsidRPr="00BB6462">
        <w:t>Kunara</w:t>
      </w:r>
      <w:r>
        <w:t xml:space="preserve">c, </w:t>
      </w:r>
      <w:r w:rsidRPr="00BB6462">
        <w:t>审判分庭</w:t>
      </w:r>
      <w:r w:rsidRPr="00BB6462">
        <w:rPr>
          <w:rFonts w:hint="eastAsia"/>
        </w:rPr>
        <w:t>的</w:t>
      </w:r>
      <w:r w:rsidRPr="00BB6462">
        <w:t>判决，案件号</w:t>
      </w:r>
      <w:r w:rsidRPr="00BB6462">
        <w:t>IT-96-23-</w:t>
      </w:r>
      <w:r>
        <w:t xml:space="preserve">T, </w:t>
      </w:r>
      <w:r w:rsidRPr="00BB6462">
        <w:t>2001</w:t>
      </w:r>
      <w:r w:rsidRPr="00BB6462">
        <w:t>年</w:t>
      </w:r>
      <w:r w:rsidRPr="00BB6462">
        <w:t>2</w:t>
      </w:r>
      <w:r w:rsidRPr="00BB6462">
        <w:t>月</w:t>
      </w:r>
      <w:r w:rsidRPr="00BB6462">
        <w:t>22</w:t>
      </w:r>
      <w:r w:rsidRPr="00BB6462">
        <w:t>日，第</w:t>
      </w:r>
      <w:r w:rsidRPr="00BB6462">
        <w:t>428</w:t>
      </w:r>
      <w:r w:rsidRPr="00BB6462">
        <w:t>段</w:t>
      </w:r>
      <w:r w:rsidRPr="00BB6462">
        <w:t>(</w:t>
      </w:r>
      <w:r w:rsidRPr="00BB6462">
        <w:t>下称</w:t>
      </w:r>
      <w:r w:rsidRPr="00BB6462">
        <w:t>Kunarac 2001)</w:t>
      </w:r>
      <w:r w:rsidRPr="00BB6462">
        <w:t>；见</w:t>
      </w:r>
      <w:r w:rsidRPr="0041050A">
        <w:rPr>
          <w:rFonts w:ascii="楷体_GB2312" w:eastAsia="楷体_GB2312"/>
        </w:rPr>
        <w:t>检察官诉</w:t>
      </w:r>
      <w:r w:rsidRPr="00BB6462">
        <w:t>Katang</w:t>
      </w:r>
      <w:r>
        <w:t xml:space="preserve">a, </w:t>
      </w:r>
      <w:r>
        <w:rPr>
          <w:rFonts w:hint="eastAsia"/>
        </w:rPr>
        <w:t>第二</w:t>
      </w:r>
      <w:r w:rsidRPr="00BB6462">
        <w:t>审判分庭</w:t>
      </w:r>
      <w:r w:rsidRPr="00BB6462">
        <w:rPr>
          <w:rFonts w:hint="eastAsia"/>
        </w:rPr>
        <w:t>的</w:t>
      </w:r>
      <w:r w:rsidRPr="00BB6462">
        <w:t>判决，</w:t>
      </w:r>
      <w:r w:rsidRPr="00BB6462">
        <w:t>ICC-01/04-01/0</w:t>
      </w:r>
      <w:r>
        <w:t xml:space="preserve">7, </w:t>
      </w:r>
      <w:r w:rsidRPr="00BB6462">
        <w:t>2014</w:t>
      </w:r>
      <w:r w:rsidRPr="00BB6462">
        <w:t>年</w:t>
      </w:r>
      <w:r w:rsidRPr="00BB6462">
        <w:t>3</w:t>
      </w:r>
      <w:r w:rsidRPr="00BB6462">
        <w:t>月</w:t>
      </w:r>
      <w:r w:rsidRPr="00BB6462">
        <w:t>7</w:t>
      </w:r>
      <w:r w:rsidRPr="00BB6462">
        <w:t>日，第</w:t>
      </w:r>
      <w:r w:rsidRPr="00BB6462">
        <w:t>1123</w:t>
      </w:r>
      <w:r w:rsidRPr="00BB6462">
        <w:t>段</w:t>
      </w:r>
      <w:r w:rsidRPr="00BB6462">
        <w:t>(</w:t>
      </w:r>
      <w:r w:rsidRPr="00BB6462">
        <w:t>下称</w:t>
      </w:r>
      <w:r w:rsidRPr="00BB6462">
        <w:t>Katanga 2014)</w:t>
      </w:r>
      <w:r w:rsidRPr="00BB6462">
        <w:t>；</w:t>
      </w:r>
      <w:r w:rsidRPr="0041050A">
        <w:rPr>
          <w:rFonts w:ascii="楷体_GB2312" w:eastAsia="楷体_GB2312"/>
        </w:rPr>
        <w:t>检察官诉</w:t>
      </w:r>
      <w:r w:rsidRPr="00BB6462">
        <w:t>Katang</w:t>
      </w:r>
      <w:r>
        <w:t xml:space="preserve">a, </w:t>
      </w:r>
      <w:r w:rsidRPr="00BB6462">
        <w:rPr>
          <w:rFonts w:hint="eastAsia"/>
        </w:rPr>
        <w:t>第一</w:t>
      </w:r>
      <w:r w:rsidRPr="00BB6462">
        <w:t>预审分庭关于确认指控的决定，</w:t>
      </w:r>
      <w:r w:rsidRPr="00BB6462">
        <w:t>ICC-01/04-01/0</w:t>
      </w:r>
      <w:r>
        <w:t xml:space="preserve">7, </w:t>
      </w:r>
      <w:r w:rsidRPr="00BB6462">
        <w:t>2008</w:t>
      </w:r>
      <w:r w:rsidRPr="00BB6462">
        <w:t>年</w:t>
      </w:r>
      <w:r w:rsidRPr="00BB6462">
        <w:t>9</w:t>
      </w:r>
      <w:r w:rsidRPr="00BB6462">
        <w:t>月</w:t>
      </w:r>
      <w:r w:rsidRPr="00BB6462">
        <w:t>26</w:t>
      </w:r>
      <w:r w:rsidRPr="00BB6462">
        <w:t>日，第</w:t>
      </w:r>
      <w:r w:rsidRPr="00BB6462">
        <w:t>394</w:t>
      </w:r>
      <w:r w:rsidRPr="00BB6462">
        <w:t>段</w:t>
      </w:r>
      <w:r w:rsidRPr="00BB6462">
        <w:t>(</w:t>
      </w:r>
      <w:r w:rsidRPr="00BB6462">
        <w:t>下称</w:t>
      </w:r>
      <w:r w:rsidRPr="00BB6462">
        <w:rPr>
          <w:rFonts w:hint="eastAsia"/>
        </w:rPr>
        <w:t>“</w:t>
      </w:r>
      <w:r w:rsidRPr="00BB6462">
        <w:t xml:space="preserve">Katanga </w:t>
      </w:r>
      <w:r w:rsidRPr="00BB6462">
        <w:rPr>
          <w:rFonts w:hint="eastAsia"/>
        </w:rPr>
        <w:t>2008</w:t>
      </w:r>
      <w:r w:rsidRPr="00BB6462">
        <w:rPr>
          <w:rFonts w:hint="eastAsia"/>
        </w:rPr>
        <w:t>”</w:t>
      </w:r>
      <w:r w:rsidRPr="00BB6462">
        <w:t>)</w:t>
      </w:r>
      <w:r w:rsidRPr="00BB6462">
        <w:t>；</w:t>
      </w:r>
      <w:r w:rsidRPr="0041050A">
        <w:rPr>
          <w:rFonts w:ascii="楷体_GB2312" w:eastAsia="楷体_GB2312"/>
        </w:rPr>
        <w:t>检察官诉</w:t>
      </w:r>
      <w:r w:rsidRPr="00BB6462">
        <w:t>Blagojević</w:t>
      </w:r>
      <w:r w:rsidRPr="0041050A">
        <w:rPr>
          <w:rFonts w:ascii="楷体_GB2312" w:eastAsia="楷体_GB2312"/>
        </w:rPr>
        <w:t>和</w:t>
      </w:r>
      <w:r w:rsidRPr="00BB6462">
        <w:t>Jokić</w:t>
      </w:r>
      <w:r w:rsidRPr="00BB6462">
        <w:t>，</w:t>
      </w:r>
      <w:r>
        <w:rPr>
          <w:rFonts w:hint="eastAsia"/>
        </w:rPr>
        <w:t>第一</w:t>
      </w:r>
      <w:r w:rsidRPr="00BB6462">
        <w:t>审判分庭</w:t>
      </w:r>
      <w:r w:rsidRPr="00BB6462">
        <w:rPr>
          <w:rFonts w:hint="eastAsia"/>
        </w:rPr>
        <w:t>的</w:t>
      </w:r>
      <w:r w:rsidRPr="00BB6462">
        <w:t>判决，案件号</w:t>
      </w:r>
      <w:r w:rsidRPr="00BB6462">
        <w:t>IT-02-60-</w:t>
      </w:r>
      <w:r>
        <w:t xml:space="preserve">T, </w:t>
      </w:r>
      <w:r w:rsidRPr="00BB6462">
        <w:t>2005</w:t>
      </w:r>
      <w:r w:rsidRPr="00BB6462">
        <w:t>年</w:t>
      </w:r>
      <w:r w:rsidRPr="00BB6462">
        <w:t>1</w:t>
      </w:r>
      <w:r w:rsidRPr="00BB6462">
        <w:t>月</w:t>
      </w:r>
      <w:r w:rsidRPr="00BB6462">
        <w:t>17</w:t>
      </w:r>
      <w:r w:rsidRPr="00BB6462">
        <w:t>日，第</w:t>
      </w:r>
      <w:r w:rsidRPr="00BB6462">
        <w:t>545-46</w:t>
      </w:r>
      <w:r w:rsidRPr="00BB6462">
        <w:t>段；</w:t>
      </w:r>
      <w:r w:rsidRPr="0041050A">
        <w:rPr>
          <w:rFonts w:ascii="楷体_GB2312" w:eastAsia="楷体_GB2312"/>
        </w:rPr>
        <w:t>检察官诉</w:t>
      </w:r>
      <w:r w:rsidRPr="00BB6462">
        <w:t>Kordić</w:t>
      </w:r>
      <w:r w:rsidRPr="0041050A">
        <w:rPr>
          <w:rFonts w:ascii="楷体_GB2312" w:eastAsia="楷体_GB2312"/>
        </w:rPr>
        <w:t>和</w:t>
      </w:r>
      <w:r w:rsidRPr="00BB6462">
        <w:t>Ćerke</w:t>
      </w:r>
      <w:r>
        <w:t xml:space="preserve">z, </w:t>
      </w:r>
      <w:r w:rsidRPr="00BB6462">
        <w:t>上诉分庭</w:t>
      </w:r>
      <w:r w:rsidRPr="00BB6462">
        <w:rPr>
          <w:rFonts w:hint="eastAsia"/>
        </w:rPr>
        <w:t>的</w:t>
      </w:r>
      <w:r w:rsidRPr="00BB6462">
        <w:t>判决，案件号</w:t>
      </w:r>
      <w:r w:rsidRPr="00BB6462">
        <w:t>IT-95-14/2-</w:t>
      </w:r>
      <w:r>
        <w:t xml:space="preserve">A, </w:t>
      </w:r>
      <w:r w:rsidRPr="00BB6462">
        <w:t>2004</w:t>
      </w:r>
      <w:r w:rsidRPr="00BB6462">
        <w:t>年</w:t>
      </w:r>
      <w:r w:rsidRPr="00BB6462">
        <w:t>12</w:t>
      </w:r>
      <w:r w:rsidRPr="00BB6462">
        <w:t>月</w:t>
      </w:r>
      <w:r w:rsidRPr="00BB6462">
        <w:t>17</w:t>
      </w:r>
      <w:r w:rsidRPr="00BB6462">
        <w:t>日，第</w:t>
      </w:r>
      <w:r w:rsidRPr="00BB6462">
        <w:t>94</w:t>
      </w:r>
      <w:r w:rsidRPr="00BB6462">
        <w:t>段</w:t>
      </w:r>
      <w:r w:rsidRPr="00BB6462">
        <w:t>(</w:t>
      </w:r>
      <w:r w:rsidRPr="00BB6462">
        <w:t>下称</w:t>
      </w:r>
      <w:r w:rsidRPr="00BB6462">
        <w:rPr>
          <w:rFonts w:hint="eastAsia"/>
        </w:rPr>
        <w:t>“</w:t>
      </w:r>
      <w:r w:rsidRPr="00BB6462">
        <w:t>Kordić</w:t>
      </w:r>
      <w:r w:rsidRPr="00BB6462">
        <w:rPr>
          <w:rFonts w:hint="eastAsia"/>
        </w:rPr>
        <w:t xml:space="preserve"> 2004</w:t>
      </w:r>
      <w:r w:rsidRPr="00BB6462">
        <w:rPr>
          <w:rFonts w:hint="eastAsia"/>
        </w:rPr>
        <w:t>”</w:t>
      </w:r>
      <w:r w:rsidRPr="00BB6462">
        <w:t>)</w:t>
      </w:r>
      <w:r w:rsidRPr="00BB6462">
        <w:t>。</w:t>
      </w:r>
    </w:p>
  </w:footnote>
  <w:footnote w:id="12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Bemba</w:t>
      </w:r>
      <w:r w:rsidRPr="00BB6462">
        <w:rPr>
          <w:rFonts w:hint="eastAsia"/>
        </w:rPr>
        <w:t xml:space="preserve"> 200</w:t>
      </w:r>
      <w:r>
        <w:rPr>
          <w:rFonts w:hint="eastAsia"/>
        </w:rPr>
        <w:t xml:space="preserve">9, </w:t>
      </w:r>
      <w:r w:rsidRPr="00BB6462">
        <w:t>前注</w:t>
      </w:r>
      <w:r w:rsidRPr="00BB6462">
        <w:rPr>
          <w:rFonts w:hint="eastAsia"/>
        </w:rPr>
        <w:t>12</w:t>
      </w:r>
      <w:r>
        <w:rPr>
          <w:rFonts w:hint="eastAsia"/>
        </w:rPr>
        <w:t xml:space="preserve">5, </w:t>
      </w:r>
      <w:r w:rsidRPr="00BB6462">
        <w:t>第</w:t>
      </w:r>
      <w:r w:rsidRPr="00BB6462">
        <w:t>83</w:t>
      </w:r>
      <w:r w:rsidRPr="00BB6462">
        <w:t>段；</w:t>
      </w:r>
      <w:r w:rsidRPr="00BB6462">
        <w:t>Kayishema 199</w:t>
      </w:r>
      <w:r>
        <w:t xml:space="preserve">9, </w:t>
      </w:r>
      <w:r w:rsidRPr="00BB6462">
        <w:t>前注</w:t>
      </w:r>
      <w:r w:rsidRPr="00BB6462">
        <w:rPr>
          <w:rFonts w:hint="eastAsia"/>
        </w:rPr>
        <w:t>12</w:t>
      </w:r>
      <w:r>
        <w:rPr>
          <w:rFonts w:hint="eastAsia"/>
        </w:rPr>
        <w:t xml:space="preserve">2, </w:t>
      </w:r>
      <w:r w:rsidRPr="00BB6462">
        <w:t>第</w:t>
      </w:r>
      <w:r w:rsidRPr="00BB6462">
        <w:t>123</w:t>
      </w:r>
      <w:r w:rsidRPr="00BB6462">
        <w:t>段；</w:t>
      </w:r>
      <w:r w:rsidRPr="00BB6462">
        <w:t>Akayesu 199</w:t>
      </w:r>
      <w:r>
        <w:t xml:space="preserve">8, </w:t>
      </w:r>
      <w:r w:rsidRPr="00BB6462">
        <w:t>前注</w:t>
      </w:r>
      <w:r w:rsidRPr="00BB6462">
        <w:rPr>
          <w:rFonts w:hint="eastAsia"/>
        </w:rPr>
        <w:t>12</w:t>
      </w:r>
      <w:r>
        <w:rPr>
          <w:rFonts w:hint="eastAsia"/>
        </w:rPr>
        <w:t xml:space="preserve">0, </w:t>
      </w:r>
      <w:r w:rsidRPr="00BB6462">
        <w:t>第</w:t>
      </w:r>
      <w:r w:rsidRPr="00BB6462">
        <w:t>580</w:t>
      </w:r>
      <w:r w:rsidRPr="00BB6462">
        <w:t>段；《</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页，第</w:t>
      </w:r>
      <w:r w:rsidRPr="00BB6462">
        <w:t>18</w:t>
      </w:r>
      <w:r w:rsidRPr="00BB6462">
        <w:t>条</w:t>
      </w:r>
      <w:r w:rsidRPr="00BB6462">
        <w:t>(</w:t>
      </w:r>
      <w:r w:rsidRPr="00BB6462">
        <w:t>使用了</w:t>
      </w:r>
      <w:r w:rsidRPr="00BB6462">
        <w:rPr>
          <w:rFonts w:hint="eastAsia"/>
        </w:rPr>
        <w:t>“</w:t>
      </w:r>
      <w:r w:rsidRPr="00BB6462">
        <w:t>大规模</w:t>
      </w:r>
      <w:r w:rsidRPr="00BB6462">
        <w:rPr>
          <w:rFonts w:hint="eastAsia"/>
        </w:rPr>
        <w:t>”</w:t>
      </w:r>
      <w:r w:rsidRPr="00BB6462">
        <w:t>这一短语，而非</w:t>
      </w:r>
      <w:r w:rsidRPr="00BB6462">
        <w:rPr>
          <w:rFonts w:hint="eastAsia"/>
        </w:rPr>
        <w:t>“</w:t>
      </w:r>
      <w:r w:rsidRPr="00BB6462">
        <w:t>广泛</w:t>
      </w:r>
      <w:r w:rsidRPr="00BB6462">
        <w:rPr>
          <w:rFonts w:hint="eastAsia"/>
        </w:rPr>
        <w:t>”</w:t>
      </w:r>
      <w:r w:rsidRPr="00BB6462">
        <w:t>)</w:t>
      </w:r>
      <w:r w:rsidRPr="00BB6462">
        <w:t>；另见</w:t>
      </w:r>
      <w:r w:rsidRPr="00BB6462">
        <w:t>Mrkšić 200</w:t>
      </w:r>
      <w:r>
        <w:t xml:space="preserve">7, </w:t>
      </w:r>
      <w:r w:rsidRPr="00BB6462">
        <w:t>前注</w:t>
      </w:r>
      <w:r w:rsidRPr="00BB6462">
        <w:rPr>
          <w:rFonts w:hint="eastAsia"/>
        </w:rPr>
        <w:t>12</w:t>
      </w:r>
      <w:r>
        <w:rPr>
          <w:rFonts w:hint="eastAsia"/>
        </w:rPr>
        <w:t xml:space="preserve">2, </w:t>
      </w:r>
      <w:r w:rsidRPr="00BB6462">
        <w:t>第</w:t>
      </w:r>
      <w:r w:rsidRPr="00BB6462">
        <w:t>437</w:t>
      </w:r>
      <w:r w:rsidRPr="00BB6462">
        <w:t>段</w:t>
      </w:r>
      <w:r w:rsidRPr="00BB6462">
        <w:t>(</w:t>
      </w:r>
      <w:r w:rsidRPr="00BB6462">
        <w:rPr>
          <w:rFonts w:hint="eastAsia"/>
        </w:rPr>
        <w:t>“</w:t>
      </w:r>
      <w:r w:rsidRPr="00BB6462">
        <w:t>‘</w:t>
      </w:r>
      <w:r w:rsidRPr="00BB6462">
        <w:t>广泛</w:t>
      </w:r>
      <w:r w:rsidRPr="00BB6462">
        <w:t>’</w:t>
      </w:r>
      <w:r w:rsidRPr="00BB6462">
        <w:t>指攻击的大规模性质及其受害者人数的众多。</w:t>
      </w:r>
      <w:r w:rsidRPr="00BB6462">
        <w:rPr>
          <w:rFonts w:hint="eastAsia"/>
        </w:rPr>
        <w:t>”</w:t>
      </w:r>
      <w:r w:rsidRPr="00BB6462">
        <w:t>)</w:t>
      </w:r>
      <w:r w:rsidRPr="00BB6462">
        <w:t>。在</w:t>
      </w:r>
      <w:r w:rsidRPr="00EB5B5E">
        <w:rPr>
          <w:rFonts w:ascii="楷体" w:eastAsia="楷体" w:hAnsi="楷体"/>
        </w:rPr>
        <w:t>检察官诉</w:t>
      </w:r>
      <w:r w:rsidRPr="00BB6462">
        <w:t>Ntagand</w:t>
      </w:r>
      <w:r>
        <w:t xml:space="preserve">a, </w:t>
      </w:r>
      <w:r w:rsidRPr="00BB6462">
        <w:rPr>
          <w:rFonts w:hint="eastAsia"/>
        </w:rPr>
        <w:t>第二</w:t>
      </w:r>
      <w:r w:rsidRPr="00BB6462">
        <w:t>预审分庭根据《罗马规约》第六十一条第</w:t>
      </w:r>
      <w:r w:rsidRPr="00BB6462">
        <w:t>(</w:t>
      </w:r>
      <w:r w:rsidRPr="00BB6462">
        <w:t>七</w:t>
      </w:r>
      <w:r w:rsidRPr="00BB6462">
        <w:t>)</w:t>
      </w:r>
      <w:r w:rsidRPr="00BB6462">
        <w:t>款第</w:t>
      </w:r>
      <w:r w:rsidRPr="00BB6462">
        <w:t>1</w:t>
      </w:r>
      <w:r w:rsidRPr="00BB6462">
        <w:t>项和第</w:t>
      </w:r>
      <w:r w:rsidRPr="00BB6462">
        <w:t>2</w:t>
      </w:r>
      <w:r w:rsidRPr="00BB6462">
        <w:t>项作出的关于检察官</w:t>
      </w:r>
      <w:r w:rsidRPr="00BB6462">
        <w:rPr>
          <w:rFonts w:hint="eastAsia"/>
        </w:rPr>
        <w:t>对</w:t>
      </w:r>
      <w:r w:rsidRPr="00BB6462">
        <w:t>Bosco Ntagand</w:t>
      </w:r>
      <w:r w:rsidRPr="00BB6462">
        <w:rPr>
          <w:rFonts w:hint="eastAsia"/>
        </w:rPr>
        <w:t>提出</w:t>
      </w:r>
      <w:r w:rsidRPr="00BB6462">
        <w:t>指控的决定，</w:t>
      </w:r>
      <w:r w:rsidRPr="00BB6462">
        <w:t>ICC-01/04-02/0</w:t>
      </w:r>
      <w:r>
        <w:t xml:space="preserve">6, </w:t>
      </w:r>
      <w:r w:rsidRPr="00BB6462">
        <w:t>2014</w:t>
      </w:r>
      <w:r w:rsidRPr="00BB6462">
        <w:t>年</w:t>
      </w:r>
      <w:r w:rsidRPr="00BB6462">
        <w:t>6</w:t>
      </w:r>
      <w:r w:rsidRPr="00BB6462">
        <w:t>月</w:t>
      </w:r>
      <w:r w:rsidRPr="00BB6462">
        <w:t>9</w:t>
      </w:r>
      <w:r w:rsidRPr="00BB6462">
        <w:t>日，第</w:t>
      </w:r>
      <w:r w:rsidRPr="00BB6462">
        <w:t>24</w:t>
      </w:r>
      <w:r w:rsidRPr="00BB6462">
        <w:t>段</w:t>
      </w:r>
      <w:r w:rsidRPr="00BB6462">
        <w:t>(</w:t>
      </w:r>
      <w:r w:rsidRPr="00BB6462">
        <w:t>下称</w:t>
      </w:r>
      <w:r w:rsidRPr="00BB6462">
        <w:rPr>
          <w:rFonts w:hint="eastAsia"/>
        </w:rPr>
        <w:t>“</w:t>
      </w:r>
      <w:r w:rsidRPr="00BB6462">
        <w:t>Ntaganda 2014</w:t>
      </w:r>
      <w:r w:rsidRPr="00BB6462">
        <w:rPr>
          <w:rFonts w:hint="eastAsia"/>
        </w:rPr>
        <w:t>”</w:t>
      </w:r>
      <w:r w:rsidRPr="00BB6462">
        <w:t>)</w:t>
      </w:r>
      <w:r w:rsidRPr="00BB6462">
        <w:t>中，分庭认定对平民人口的攻击是广泛的，</w:t>
      </w:r>
      <w:r w:rsidRPr="00BB6462">
        <w:rPr>
          <w:rFonts w:hint="eastAsia"/>
        </w:rPr>
        <w:t>“</w:t>
      </w:r>
      <w:r w:rsidRPr="00BB6462">
        <w:t>因为产生了大量平民受害者。</w:t>
      </w:r>
      <w:r w:rsidRPr="00BB6462">
        <w:rPr>
          <w:rFonts w:hint="eastAsia"/>
        </w:rPr>
        <w:t>”</w:t>
      </w:r>
    </w:p>
  </w:footnote>
  <w:footnote w:id="12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见</w:t>
      </w:r>
      <w:r w:rsidRPr="0041050A">
        <w:rPr>
          <w:rFonts w:ascii="楷体_GB2312" w:eastAsia="楷体_GB2312"/>
        </w:rPr>
        <w:t>检察官诉</w:t>
      </w:r>
      <w:r w:rsidRPr="00BB6462">
        <w:t>Ntagand</w:t>
      </w:r>
      <w:r>
        <w:t xml:space="preserve">a, </w:t>
      </w:r>
      <w:r w:rsidRPr="00BB6462">
        <w:rPr>
          <w:rFonts w:hint="eastAsia"/>
        </w:rPr>
        <w:t>第二</w:t>
      </w:r>
      <w:r w:rsidRPr="00BB6462">
        <w:t>预审分庭根据第五十八条作出的关于检察官申请书的决定，</w:t>
      </w:r>
      <w:r w:rsidRPr="00BB6462">
        <w:t>ICC-01/04-02/0</w:t>
      </w:r>
      <w:r>
        <w:t xml:space="preserve">6, </w:t>
      </w:r>
      <w:r w:rsidRPr="00BB6462">
        <w:t>2012</w:t>
      </w:r>
      <w:r w:rsidRPr="00BB6462">
        <w:t>年</w:t>
      </w:r>
      <w:r w:rsidRPr="00BB6462">
        <w:t>7</w:t>
      </w:r>
      <w:r w:rsidRPr="00BB6462">
        <w:t>月</w:t>
      </w:r>
      <w:r w:rsidRPr="00BB6462">
        <w:t>13</w:t>
      </w:r>
      <w:r w:rsidRPr="00BB6462">
        <w:t>日，第</w:t>
      </w:r>
      <w:r w:rsidRPr="00BB6462">
        <w:t>19</w:t>
      </w:r>
      <w:r w:rsidRPr="00BB6462">
        <w:t>段</w:t>
      </w:r>
      <w:r w:rsidRPr="00BB6462">
        <w:t>(</w:t>
      </w:r>
      <w:r w:rsidRPr="00BB6462">
        <w:t>下称</w:t>
      </w:r>
      <w:r w:rsidRPr="00BB6462">
        <w:rPr>
          <w:rFonts w:hint="eastAsia"/>
        </w:rPr>
        <w:t>“</w:t>
      </w:r>
      <w:r w:rsidRPr="00BB6462">
        <w:t>Ntaganda 2012</w:t>
      </w:r>
      <w:r w:rsidRPr="00BB6462">
        <w:rPr>
          <w:rFonts w:hint="eastAsia"/>
        </w:rPr>
        <w:t>”</w:t>
      </w:r>
      <w:r w:rsidRPr="00BB6462">
        <w:t>)</w:t>
      </w:r>
      <w:r w:rsidRPr="00BB6462">
        <w:t>；</w:t>
      </w:r>
      <w:r w:rsidRPr="0041050A">
        <w:rPr>
          <w:rFonts w:ascii="楷体_GB2312" w:eastAsia="楷体_GB2312"/>
        </w:rPr>
        <w:t>检察官诉</w:t>
      </w:r>
      <w:r w:rsidRPr="00BB6462">
        <w:t>Haru</w:t>
      </w:r>
      <w:r>
        <w:t xml:space="preserve">n, </w:t>
      </w:r>
      <w:r w:rsidRPr="00BB6462">
        <w:rPr>
          <w:rFonts w:hint="eastAsia"/>
        </w:rPr>
        <w:t>第一</w:t>
      </w:r>
      <w:r w:rsidRPr="00BB6462">
        <w:t>预审分庭根据《规约》第五十八条第</w:t>
      </w:r>
      <w:r w:rsidRPr="00BB6462">
        <w:t>(</w:t>
      </w:r>
      <w:r w:rsidRPr="00BB6462">
        <w:t>七</w:t>
      </w:r>
      <w:r w:rsidRPr="00BB6462">
        <w:t>)</w:t>
      </w:r>
      <w:r w:rsidRPr="00BB6462">
        <w:t>款作出的关于检察官申请书的决定，</w:t>
      </w:r>
      <w:r w:rsidRPr="00BB6462">
        <w:t>ICC-02/05-01/0</w:t>
      </w:r>
      <w:r>
        <w:t xml:space="preserve">7, </w:t>
      </w:r>
      <w:r w:rsidRPr="00BB6462">
        <w:t>2007</w:t>
      </w:r>
      <w:r w:rsidRPr="00BB6462">
        <w:t>年</w:t>
      </w:r>
      <w:r w:rsidRPr="00BB6462">
        <w:t>4</w:t>
      </w:r>
      <w:r w:rsidRPr="00BB6462">
        <w:t>月</w:t>
      </w:r>
      <w:r w:rsidRPr="00BB6462">
        <w:t>27</w:t>
      </w:r>
      <w:r w:rsidRPr="00BB6462">
        <w:t>日，第</w:t>
      </w:r>
      <w:r w:rsidRPr="00BB6462">
        <w:t>62</w:t>
      </w:r>
      <w:r w:rsidRPr="00BB6462">
        <w:t>段</w:t>
      </w:r>
      <w:r w:rsidRPr="00BB6462">
        <w:t>(</w:t>
      </w:r>
      <w:r w:rsidRPr="00BB6462">
        <w:t>下称</w:t>
      </w:r>
      <w:r w:rsidRPr="00BB6462">
        <w:t>Harun 2007)</w:t>
      </w:r>
      <w:r w:rsidRPr="00BB6462">
        <w:t>；另见</w:t>
      </w:r>
      <w:r w:rsidRPr="00B0157B">
        <w:rPr>
          <w:rFonts w:ascii="楷体_GB2312" w:eastAsia="楷体_GB2312"/>
        </w:rPr>
        <w:t>检察官诉</w:t>
      </w:r>
      <w:r w:rsidRPr="00BB6462">
        <w:t>Rutagand</w:t>
      </w:r>
      <w:r>
        <w:t xml:space="preserve">a, </w:t>
      </w:r>
      <w:r w:rsidRPr="00BB6462">
        <w:rPr>
          <w:rFonts w:hint="eastAsia"/>
        </w:rPr>
        <w:t>第一</w:t>
      </w:r>
      <w:r w:rsidRPr="00BB6462">
        <w:t>审判分庭</w:t>
      </w:r>
      <w:r w:rsidRPr="00BB6462">
        <w:rPr>
          <w:rFonts w:hint="eastAsia"/>
        </w:rPr>
        <w:t>的</w:t>
      </w:r>
      <w:r w:rsidRPr="00BB6462">
        <w:t>判决，案件号</w:t>
      </w:r>
      <w:r w:rsidRPr="00BB6462">
        <w:t>ICTR-96-3-</w:t>
      </w:r>
      <w:r>
        <w:t xml:space="preserve">T, </w:t>
      </w:r>
      <w:r w:rsidRPr="00BB6462">
        <w:t>1999</w:t>
      </w:r>
      <w:r w:rsidRPr="00BB6462">
        <w:t>年</w:t>
      </w:r>
      <w:r w:rsidRPr="00BB6462">
        <w:t>12</w:t>
      </w:r>
      <w:r w:rsidRPr="00BB6462">
        <w:t>月</w:t>
      </w:r>
      <w:r w:rsidRPr="00BB6462">
        <w:t>6</w:t>
      </w:r>
      <w:r w:rsidRPr="00BB6462">
        <w:t>日，第</w:t>
      </w:r>
      <w:r w:rsidRPr="00BB6462">
        <w:t>67-69</w:t>
      </w:r>
      <w:r w:rsidRPr="00BB6462">
        <w:t>段；</w:t>
      </w:r>
      <w:r w:rsidRPr="00BB6462">
        <w:t>Kayishema 199</w:t>
      </w:r>
      <w:r>
        <w:t>9,</w:t>
      </w:r>
      <w:r>
        <w:rPr>
          <w:rFonts w:hint="eastAsia"/>
        </w:rPr>
        <w:t xml:space="preserve"> </w:t>
      </w:r>
      <w:r w:rsidRPr="00BB6462">
        <w:t>前注</w:t>
      </w:r>
      <w:r w:rsidRPr="00BB6462">
        <w:rPr>
          <w:rFonts w:hint="eastAsia"/>
        </w:rPr>
        <w:t>12</w:t>
      </w:r>
      <w:r>
        <w:rPr>
          <w:rFonts w:hint="eastAsia"/>
        </w:rPr>
        <w:t xml:space="preserve">2, </w:t>
      </w:r>
      <w:r w:rsidRPr="00BB6462">
        <w:t>第</w:t>
      </w:r>
      <w:r w:rsidRPr="00BB6462">
        <w:t>122-</w:t>
      </w:r>
      <w:r w:rsidRPr="00BB6462">
        <w:rPr>
          <w:rFonts w:hint="eastAsia"/>
        </w:rPr>
        <w:t>1</w:t>
      </w:r>
      <w:r w:rsidRPr="00BB6462">
        <w:t>23</w:t>
      </w:r>
      <w:r w:rsidRPr="00BB6462">
        <w:t>段；《</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w:t>
      </w:r>
      <w:r w:rsidRPr="00BB6462">
        <w:t>1991</w:t>
      </w:r>
      <w:r w:rsidRPr="00BB6462">
        <w:rPr>
          <w:rFonts w:hint="eastAsia"/>
        </w:rPr>
        <w:t>年……</w:t>
      </w:r>
      <w:r w:rsidRPr="00BB6462">
        <w:t>年鉴》，第二卷</w:t>
      </w:r>
      <w:r w:rsidRPr="00BB6462">
        <w:t>(</w:t>
      </w:r>
      <w:r w:rsidRPr="00BB6462">
        <w:t>第二部分</w:t>
      </w:r>
      <w:r w:rsidRPr="00BB6462">
        <w:t>)</w:t>
      </w:r>
      <w:r w:rsidRPr="00BB6462">
        <w:t>，第</w:t>
      </w:r>
      <w:r w:rsidRPr="00BB6462">
        <w:t>103</w:t>
      </w:r>
      <w:r w:rsidRPr="00BB6462">
        <w:t>页。</w:t>
      </w:r>
    </w:p>
  </w:footnote>
  <w:footnote w:id="12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Kupreškić 200</w:t>
      </w:r>
      <w:r>
        <w:t>0,</w:t>
      </w:r>
      <w:r>
        <w:rPr>
          <w:rFonts w:hint="eastAsia"/>
        </w:rPr>
        <w:t xml:space="preserve"> </w:t>
      </w:r>
      <w:r w:rsidRPr="00BB6462">
        <w:t>前注</w:t>
      </w:r>
      <w:r w:rsidRPr="00BB6462">
        <w:rPr>
          <w:rFonts w:hint="eastAsia"/>
        </w:rPr>
        <w:t>9</w:t>
      </w:r>
      <w:r>
        <w:rPr>
          <w:rFonts w:hint="eastAsia"/>
        </w:rPr>
        <w:t xml:space="preserve">7, </w:t>
      </w:r>
      <w:r w:rsidRPr="00BB6462">
        <w:t>第</w:t>
      </w:r>
      <w:r w:rsidRPr="00BB6462">
        <w:t>550</w:t>
      </w:r>
      <w:r w:rsidRPr="00BB6462">
        <w:t>段；</w:t>
      </w:r>
      <w:r w:rsidRPr="00BB6462">
        <w:t>Tadić 199</w:t>
      </w:r>
      <w:r>
        <w:t>7,</w:t>
      </w:r>
      <w:r>
        <w:rPr>
          <w:rFonts w:hint="eastAsia"/>
        </w:rPr>
        <w:t xml:space="preserve"> </w:t>
      </w:r>
      <w:r w:rsidRPr="00BB6462">
        <w:t>前注</w:t>
      </w:r>
      <w:r w:rsidRPr="00BB6462">
        <w:rPr>
          <w:rFonts w:hint="eastAsia"/>
        </w:rPr>
        <w:t>12</w:t>
      </w:r>
      <w:r>
        <w:rPr>
          <w:rFonts w:hint="eastAsia"/>
        </w:rPr>
        <w:t xml:space="preserve">1, </w:t>
      </w:r>
      <w:r w:rsidRPr="00BB6462">
        <w:t>第</w:t>
      </w:r>
      <w:r w:rsidRPr="00BB6462">
        <w:t>649</w:t>
      </w:r>
      <w:r w:rsidRPr="00BB6462">
        <w:t>段。</w:t>
      </w:r>
    </w:p>
  </w:footnote>
  <w:footnote w:id="13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例如，见</w:t>
      </w:r>
      <w:r w:rsidRPr="00BB6462">
        <w:t>Ntaganda 201</w:t>
      </w:r>
      <w:r>
        <w:t xml:space="preserve">2, </w:t>
      </w:r>
      <w:r w:rsidRPr="00BB6462">
        <w:t>前注</w:t>
      </w:r>
      <w:r w:rsidRPr="00BB6462">
        <w:rPr>
          <w:rFonts w:hint="eastAsia"/>
        </w:rPr>
        <w:t>12</w:t>
      </w:r>
      <w:r>
        <w:rPr>
          <w:rFonts w:hint="eastAsia"/>
        </w:rPr>
        <w:t xml:space="preserve">8, </w:t>
      </w:r>
      <w:r w:rsidRPr="00BB6462">
        <w:t>第</w:t>
      </w:r>
      <w:r w:rsidRPr="00BB6462">
        <w:t>30</w:t>
      </w:r>
      <w:r w:rsidRPr="00BB6462">
        <w:t>段；</w:t>
      </w:r>
      <w:r w:rsidRPr="0041050A">
        <w:rPr>
          <w:rFonts w:ascii="楷体_GB2312" w:eastAsia="楷体_GB2312"/>
        </w:rPr>
        <w:t>检察官诉</w:t>
      </w:r>
      <w:r w:rsidRPr="00BB6462">
        <w:t>Rut</w:t>
      </w:r>
      <w:r>
        <w:t xml:space="preserve">o, </w:t>
      </w:r>
      <w:r w:rsidRPr="00BB6462">
        <w:rPr>
          <w:rFonts w:hint="eastAsia"/>
        </w:rPr>
        <w:t>第二</w:t>
      </w:r>
      <w:r w:rsidRPr="00BB6462">
        <w:t>预审分庭根据《罗马规约》第六十一条第</w:t>
      </w:r>
      <w:r w:rsidRPr="00BB6462">
        <w:t>(</w:t>
      </w:r>
      <w:r w:rsidRPr="00BB6462">
        <w:t>七</w:t>
      </w:r>
      <w:r w:rsidRPr="00BB6462">
        <w:t>)</w:t>
      </w:r>
      <w:r w:rsidRPr="00BB6462">
        <w:t>款第</w:t>
      </w:r>
      <w:r w:rsidRPr="00BB6462">
        <w:t>1</w:t>
      </w:r>
      <w:r w:rsidRPr="00BB6462">
        <w:t>项和第</w:t>
      </w:r>
      <w:r w:rsidRPr="00BB6462">
        <w:t>2</w:t>
      </w:r>
      <w:r w:rsidRPr="00BB6462">
        <w:t>项作出的关于确认指控的决定，</w:t>
      </w:r>
      <w:r w:rsidRPr="00BB6462">
        <w:t>ICC-01/09-01/1</w:t>
      </w:r>
      <w:r>
        <w:t>1,</w:t>
      </w:r>
      <w:r>
        <w:rPr>
          <w:rFonts w:hint="eastAsia"/>
        </w:rPr>
        <w:t xml:space="preserve"> </w:t>
      </w:r>
      <w:r w:rsidRPr="00BB6462">
        <w:t>2012</w:t>
      </w:r>
      <w:r w:rsidRPr="00BB6462">
        <w:t>年</w:t>
      </w:r>
      <w:r w:rsidRPr="00BB6462">
        <w:t>1</w:t>
      </w:r>
      <w:r w:rsidRPr="00BB6462">
        <w:t>月</w:t>
      </w:r>
      <w:r w:rsidRPr="00BB6462">
        <w:t>23</w:t>
      </w:r>
      <w:r w:rsidRPr="00BB6462">
        <w:t>日，第</w:t>
      </w:r>
      <w:r w:rsidRPr="00BB6462">
        <w:t>177</w:t>
      </w:r>
      <w:r w:rsidRPr="00BB6462">
        <w:t>段</w:t>
      </w:r>
      <w:r w:rsidRPr="00BB6462">
        <w:t>(</w:t>
      </w:r>
      <w:r w:rsidRPr="00BB6462">
        <w:t>下称</w:t>
      </w:r>
      <w:r w:rsidRPr="00BB6462">
        <w:rPr>
          <w:rFonts w:hint="eastAsia"/>
        </w:rPr>
        <w:t>“</w:t>
      </w:r>
      <w:r w:rsidRPr="00BB6462">
        <w:t>Ruto 2012</w:t>
      </w:r>
      <w:r w:rsidRPr="00BB6462">
        <w:rPr>
          <w:rFonts w:hint="eastAsia"/>
        </w:rPr>
        <w:t>”</w:t>
      </w:r>
      <w:r w:rsidRPr="00BB6462">
        <w:t>)</w:t>
      </w:r>
      <w:r w:rsidRPr="00BB6462">
        <w:t>。</w:t>
      </w:r>
    </w:p>
  </w:footnote>
  <w:footnote w:id="13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Bemba 200</w:t>
      </w:r>
      <w:r>
        <w:t>9,</w:t>
      </w:r>
      <w:r>
        <w:rPr>
          <w:rFonts w:hint="eastAsia"/>
        </w:rPr>
        <w:t xml:space="preserve"> </w:t>
      </w:r>
      <w:r w:rsidRPr="00BB6462">
        <w:t>前注</w:t>
      </w:r>
      <w:r w:rsidRPr="00BB6462">
        <w:rPr>
          <w:rFonts w:hint="eastAsia"/>
        </w:rPr>
        <w:t>12</w:t>
      </w:r>
      <w:r>
        <w:rPr>
          <w:rFonts w:hint="eastAsia"/>
        </w:rPr>
        <w:t xml:space="preserve">5, </w:t>
      </w:r>
      <w:r w:rsidRPr="00BB6462">
        <w:t>第</w:t>
      </w:r>
      <w:r w:rsidRPr="00BB6462">
        <w:t>117-24</w:t>
      </w:r>
      <w:r w:rsidRPr="00BB6462">
        <w:t>段。</w:t>
      </w:r>
    </w:p>
  </w:footnote>
  <w:footnote w:id="13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Kordić 200</w:t>
      </w:r>
      <w:r>
        <w:t>4,</w:t>
      </w:r>
      <w:r>
        <w:rPr>
          <w:rFonts w:hint="eastAsia"/>
        </w:rPr>
        <w:t xml:space="preserve"> </w:t>
      </w:r>
      <w:r w:rsidRPr="00BB6462">
        <w:t>前注</w:t>
      </w:r>
      <w:r w:rsidRPr="00BB6462">
        <w:rPr>
          <w:rFonts w:hint="eastAsia"/>
        </w:rPr>
        <w:t>12</w:t>
      </w:r>
      <w:r>
        <w:rPr>
          <w:rFonts w:hint="eastAsia"/>
        </w:rPr>
        <w:t xml:space="preserve">6, </w:t>
      </w:r>
      <w:r w:rsidRPr="00BB6462">
        <w:t>第</w:t>
      </w:r>
      <w:r w:rsidRPr="00BB6462">
        <w:t>94</w:t>
      </w:r>
      <w:r w:rsidRPr="00BB6462">
        <w:t>段；</w:t>
      </w:r>
      <w:r w:rsidRPr="00BB6462">
        <w:t>Blaškić 200</w:t>
      </w:r>
      <w:r>
        <w:t>0,</w:t>
      </w:r>
      <w:r>
        <w:rPr>
          <w:rFonts w:hint="eastAsia"/>
        </w:rPr>
        <w:t xml:space="preserve"> </w:t>
      </w:r>
      <w:r w:rsidRPr="00BB6462">
        <w:t>前注</w:t>
      </w:r>
      <w:r w:rsidRPr="00BB6462">
        <w:rPr>
          <w:rFonts w:hint="eastAsia"/>
        </w:rPr>
        <w:t>12</w:t>
      </w:r>
      <w:r>
        <w:rPr>
          <w:rFonts w:hint="eastAsia"/>
        </w:rPr>
        <w:t xml:space="preserve">1, </w:t>
      </w:r>
      <w:r w:rsidRPr="00BB6462">
        <w:t>第</w:t>
      </w:r>
      <w:r w:rsidRPr="00BB6462">
        <w:t>206</w:t>
      </w:r>
      <w:r w:rsidRPr="00BB6462">
        <w:t>段。</w:t>
      </w:r>
    </w:p>
  </w:footnote>
  <w:footnote w:id="13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2010</w:t>
      </w:r>
      <w:r w:rsidRPr="00BB6462">
        <w:rPr>
          <w:rFonts w:hint="eastAsia"/>
        </w:rPr>
        <w:t>年</w:t>
      </w:r>
      <w:r w:rsidRPr="00BB6462">
        <w:t>肯尼亚授权决定，前注</w:t>
      </w:r>
      <w:r w:rsidRPr="00BB6462">
        <w:rPr>
          <w:rFonts w:hint="eastAsia"/>
        </w:rPr>
        <w:t>12</w:t>
      </w:r>
      <w:r>
        <w:rPr>
          <w:rFonts w:hint="eastAsia"/>
        </w:rPr>
        <w:t xml:space="preserve">5, </w:t>
      </w:r>
      <w:r w:rsidRPr="00BB6462">
        <w:t>第</w:t>
      </w:r>
      <w:r w:rsidRPr="00BB6462">
        <w:t>95-96</w:t>
      </w:r>
      <w:r w:rsidRPr="00BB6462">
        <w:t>段。</w:t>
      </w:r>
    </w:p>
  </w:footnote>
  <w:footnote w:id="13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rFonts w:eastAsia="楷体"/>
          <w:szCs w:val="21"/>
        </w:rPr>
        <w:footnoteRef/>
      </w:r>
      <w:r w:rsidRPr="00BB6462">
        <w:rPr>
          <w:rFonts w:eastAsia="楷体"/>
        </w:rPr>
        <w:tab/>
      </w:r>
      <w:r w:rsidRPr="00BB6462">
        <w:t>《</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页；另见</w:t>
      </w:r>
      <w:r w:rsidRPr="00BB6462">
        <w:t>Bemba 200</w:t>
      </w:r>
      <w:r>
        <w:t>9,</w:t>
      </w:r>
      <w:r>
        <w:rPr>
          <w:rFonts w:hint="eastAsia"/>
        </w:rPr>
        <w:t xml:space="preserve"> </w:t>
      </w:r>
      <w:r w:rsidRPr="00BB6462">
        <w:t>前注</w:t>
      </w:r>
      <w:r w:rsidRPr="00BB6462">
        <w:rPr>
          <w:rFonts w:hint="eastAsia"/>
        </w:rPr>
        <w:t>12</w:t>
      </w:r>
      <w:r>
        <w:rPr>
          <w:rFonts w:hint="eastAsia"/>
        </w:rPr>
        <w:t xml:space="preserve">5, </w:t>
      </w:r>
      <w:r w:rsidRPr="00BB6462">
        <w:t>第</w:t>
      </w:r>
      <w:r w:rsidRPr="00BB6462">
        <w:t>83</w:t>
      </w:r>
      <w:r w:rsidRPr="00BB6462">
        <w:t>段</w:t>
      </w:r>
      <w:r w:rsidRPr="00BB6462">
        <w:t>(</w:t>
      </w:r>
      <w:r w:rsidRPr="00BB6462">
        <w:t>认定广泛</w:t>
      </w:r>
      <w:r w:rsidRPr="00BB6462">
        <w:rPr>
          <w:rFonts w:hint="eastAsia"/>
        </w:rPr>
        <w:t>“</w:t>
      </w:r>
      <w:r w:rsidRPr="00BB6462">
        <w:t>指在广大地域实施的攻击或在较小地域针对大量平民实施的攻击</w:t>
      </w:r>
      <w:r w:rsidRPr="00BB6462">
        <w:rPr>
          <w:rFonts w:hint="eastAsia"/>
        </w:rPr>
        <w:t>”</w:t>
      </w:r>
      <w:r w:rsidRPr="00BB6462">
        <w:t>)</w:t>
      </w:r>
      <w:r w:rsidRPr="00BB6462">
        <w:t>。</w:t>
      </w:r>
    </w:p>
  </w:footnote>
  <w:footnote w:id="13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见《</w:t>
      </w:r>
      <w:r w:rsidRPr="00BB6462">
        <w:t>1996</w:t>
      </w:r>
      <w:r w:rsidRPr="00BB6462">
        <w:rPr>
          <w:rFonts w:hint="eastAsia"/>
        </w:rPr>
        <w:t>年……</w:t>
      </w:r>
      <w:r w:rsidRPr="00BB6462">
        <w:t>年鉴》，第二卷</w:t>
      </w:r>
      <w:r w:rsidRPr="00BB6462">
        <w:t>(</w:t>
      </w:r>
      <w:r w:rsidRPr="00BB6462">
        <w:t>第二部分</w:t>
      </w:r>
      <w:r w:rsidRPr="00BB6462">
        <w:t>)</w:t>
      </w:r>
      <w:r w:rsidRPr="00BB6462">
        <w:t>，第</w:t>
      </w:r>
      <w:r w:rsidRPr="00BB6462">
        <w:t>47</w:t>
      </w:r>
      <w:r w:rsidRPr="00BB6462">
        <w:t>页；《</w:t>
      </w:r>
      <w:r w:rsidRPr="00BB6462">
        <w:t>1991</w:t>
      </w:r>
      <w:r w:rsidRPr="00BB6462">
        <w:rPr>
          <w:rFonts w:hint="eastAsia"/>
        </w:rPr>
        <w:t>年……</w:t>
      </w:r>
      <w:r w:rsidRPr="00BB6462">
        <w:t>年鉴》，第二卷</w:t>
      </w:r>
      <w:r w:rsidRPr="00BB6462">
        <w:t>(</w:t>
      </w:r>
      <w:r w:rsidRPr="00BB6462">
        <w:t>第二部分</w:t>
      </w:r>
      <w:r w:rsidRPr="00BB6462">
        <w:t>)</w:t>
      </w:r>
      <w:r w:rsidRPr="00BB6462">
        <w:t>，第</w:t>
      </w:r>
      <w:r w:rsidRPr="00BB6462">
        <w:t>103</w:t>
      </w:r>
      <w:r w:rsidRPr="00BB6462">
        <w:t>页。</w:t>
      </w:r>
    </w:p>
  </w:footnote>
  <w:footnote w:id="13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t>Mrkšić 200</w:t>
      </w:r>
      <w:r>
        <w:t>7,</w:t>
      </w:r>
      <w:r>
        <w:rPr>
          <w:rFonts w:hint="eastAsia"/>
        </w:rPr>
        <w:t xml:space="preserve"> </w:t>
      </w:r>
      <w:r w:rsidRPr="00BB6462">
        <w:t>前注</w:t>
      </w:r>
      <w:r w:rsidRPr="00BB6462">
        <w:rPr>
          <w:rFonts w:hint="eastAsia"/>
        </w:rPr>
        <w:t>12</w:t>
      </w:r>
      <w:r>
        <w:rPr>
          <w:rFonts w:hint="eastAsia"/>
        </w:rPr>
        <w:t xml:space="preserve">2, </w:t>
      </w:r>
      <w:r w:rsidRPr="00BB6462">
        <w:t>第</w:t>
      </w:r>
      <w:r w:rsidRPr="00BB6462">
        <w:t>437</w:t>
      </w:r>
      <w:r w:rsidRPr="00BB6462">
        <w:t>段；</w:t>
      </w:r>
      <w:r w:rsidRPr="00BB6462">
        <w:t>Kunarac 200</w:t>
      </w:r>
      <w:r>
        <w:t>1,</w:t>
      </w:r>
      <w:r>
        <w:rPr>
          <w:rFonts w:hint="eastAsia"/>
        </w:rPr>
        <w:t xml:space="preserve"> </w:t>
      </w:r>
      <w:r w:rsidRPr="00BB6462">
        <w:t>前注</w:t>
      </w:r>
      <w:r w:rsidRPr="00BB6462">
        <w:rPr>
          <w:rFonts w:hint="eastAsia"/>
        </w:rPr>
        <w:t>12</w:t>
      </w:r>
      <w:r>
        <w:rPr>
          <w:rFonts w:hint="eastAsia"/>
        </w:rPr>
        <w:t xml:space="preserve">6, </w:t>
      </w:r>
      <w:r w:rsidRPr="00BB6462">
        <w:t>第</w:t>
      </w:r>
      <w:r w:rsidRPr="00BB6462">
        <w:t>429</w:t>
      </w:r>
      <w:r w:rsidRPr="00BB6462">
        <w:t>段。</w:t>
      </w:r>
    </w:p>
  </w:footnote>
  <w:footnote w:id="13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t>例如，见</w:t>
      </w:r>
      <w:r w:rsidRPr="00BB6462">
        <w:t>Tadić 199</w:t>
      </w:r>
      <w:r>
        <w:t>7,</w:t>
      </w:r>
      <w:r>
        <w:rPr>
          <w:rFonts w:hint="eastAsia"/>
        </w:rPr>
        <w:t xml:space="preserve"> </w:t>
      </w:r>
      <w:r w:rsidRPr="00BB6462">
        <w:t>前注</w:t>
      </w:r>
      <w:r w:rsidRPr="00BB6462">
        <w:rPr>
          <w:rFonts w:hint="eastAsia"/>
        </w:rPr>
        <w:t>12</w:t>
      </w:r>
      <w:r>
        <w:rPr>
          <w:rFonts w:hint="eastAsia"/>
        </w:rPr>
        <w:t xml:space="preserve">1, </w:t>
      </w:r>
      <w:r w:rsidRPr="00BB6462">
        <w:t>第</w:t>
      </w:r>
      <w:r w:rsidRPr="00BB6462">
        <w:t>648</w:t>
      </w:r>
      <w:r w:rsidRPr="00BB6462">
        <w:t>段。</w:t>
      </w:r>
    </w:p>
  </w:footnote>
  <w:footnote w:id="13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szCs w:val="21"/>
        </w:rPr>
        <w:footnoteRef/>
      </w:r>
      <w:r w:rsidRPr="00BB6462">
        <w:rPr>
          <w:rFonts w:eastAsia="楷体"/>
        </w:rPr>
        <w:tab/>
      </w:r>
      <w:r w:rsidRPr="0041050A">
        <w:rPr>
          <w:rFonts w:ascii="楷体_GB2312" w:eastAsia="楷体_GB2312"/>
        </w:rPr>
        <w:t>检察官诉</w:t>
      </w:r>
      <w:r w:rsidRPr="00BB6462">
        <w:t>Kunara</w:t>
      </w:r>
      <w:r>
        <w:t xml:space="preserve">c, </w:t>
      </w:r>
      <w:r w:rsidRPr="00BB6462">
        <w:t>上诉分庭</w:t>
      </w:r>
      <w:r w:rsidRPr="00BB6462">
        <w:rPr>
          <w:rFonts w:hint="eastAsia"/>
        </w:rPr>
        <w:t>的</w:t>
      </w:r>
      <w:r w:rsidRPr="00BB6462">
        <w:t>判决，案件号</w:t>
      </w:r>
      <w:r w:rsidRPr="00BB6462">
        <w:t>IT-96-23/1-</w:t>
      </w:r>
      <w:r>
        <w:t xml:space="preserve">A, </w:t>
      </w:r>
      <w:r w:rsidRPr="00BB6462">
        <w:t>2002</w:t>
      </w:r>
      <w:r w:rsidRPr="00BB6462">
        <w:t>年</w:t>
      </w:r>
      <w:r w:rsidRPr="00BB6462">
        <w:t>6</w:t>
      </w:r>
      <w:r w:rsidRPr="00BB6462">
        <w:t>月</w:t>
      </w:r>
      <w:r w:rsidRPr="00BB6462">
        <w:t>12</w:t>
      </w:r>
      <w:r w:rsidRPr="00BB6462">
        <w:t>日，第</w:t>
      </w:r>
      <w:r w:rsidRPr="00BB6462">
        <w:t>94</w:t>
      </w:r>
      <w:r w:rsidRPr="00BB6462">
        <w:t>段</w:t>
      </w:r>
      <w:r w:rsidRPr="00BB6462">
        <w:t>(</w:t>
      </w:r>
      <w:r w:rsidRPr="00BB6462">
        <w:t>下称</w:t>
      </w:r>
      <w:r w:rsidRPr="00BB6462">
        <w:rPr>
          <w:rFonts w:hint="eastAsia"/>
        </w:rPr>
        <w:t>“</w:t>
      </w:r>
      <w:r w:rsidRPr="00BB6462">
        <w:t>Kunarac 2002</w:t>
      </w:r>
      <w:r w:rsidRPr="00BB6462">
        <w:rPr>
          <w:rFonts w:hint="eastAsia"/>
        </w:rPr>
        <w:t>”</w:t>
      </w:r>
      <w:r w:rsidRPr="00BB6462">
        <w:t>)</w:t>
      </w:r>
      <w:r w:rsidRPr="00BB6462">
        <w:t>。</w:t>
      </w:r>
    </w:p>
  </w:footnote>
  <w:footnote w:id="13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Kayishema 199</w:t>
      </w:r>
      <w:r>
        <w:t>9,</w:t>
      </w:r>
      <w:r>
        <w:rPr>
          <w:rFonts w:hint="eastAsia"/>
        </w:rPr>
        <w:t xml:space="preserve"> </w:t>
      </w:r>
      <w:r w:rsidRPr="00BB6462">
        <w:t>前注</w:t>
      </w:r>
      <w:r w:rsidRPr="00BB6462">
        <w:rPr>
          <w:rFonts w:hint="eastAsia"/>
        </w:rPr>
        <w:t>12</w:t>
      </w:r>
      <w:r>
        <w:rPr>
          <w:rFonts w:hint="eastAsia"/>
        </w:rPr>
        <w:t xml:space="preserve">2, </w:t>
      </w:r>
      <w:r w:rsidRPr="00BB6462">
        <w:t>第</w:t>
      </w:r>
      <w:r w:rsidRPr="00BB6462">
        <w:t>123</w:t>
      </w:r>
      <w:r w:rsidRPr="00BB6462">
        <w:t>段；</w:t>
      </w:r>
      <w:r w:rsidRPr="00BB6462">
        <w:t>Akayesu 199</w:t>
      </w:r>
      <w:r>
        <w:t>8,</w:t>
      </w:r>
      <w:r>
        <w:rPr>
          <w:rFonts w:hint="eastAsia"/>
        </w:rPr>
        <w:t xml:space="preserve"> </w:t>
      </w:r>
      <w:r w:rsidRPr="00BB6462">
        <w:t>前注</w:t>
      </w:r>
      <w:r w:rsidRPr="00BB6462">
        <w:rPr>
          <w:rFonts w:hint="eastAsia"/>
        </w:rPr>
        <w:t>12</w:t>
      </w:r>
      <w:r>
        <w:rPr>
          <w:rFonts w:hint="eastAsia"/>
        </w:rPr>
        <w:t xml:space="preserve">0, </w:t>
      </w:r>
      <w:r w:rsidRPr="00BB6462">
        <w:t>第</w:t>
      </w:r>
      <w:r w:rsidRPr="00BB6462">
        <w:t>580</w:t>
      </w:r>
      <w:r w:rsidRPr="00BB6462">
        <w:t>段。</w:t>
      </w:r>
    </w:p>
  </w:footnote>
  <w:footnote w:id="14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tab/>
      </w:r>
      <w:r w:rsidRPr="00736AA5">
        <w:rPr>
          <w:rStyle w:val="a3"/>
          <w:szCs w:val="21"/>
        </w:rPr>
        <w:footnoteRef/>
      </w:r>
      <w:r w:rsidRPr="00BB6462">
        <w:tab/>
        <w:t>Harun 200</w:t>
      </w:r>
      <w:r>
        <w:t>7,</w:t>
      </w:r>
      <w:r>
        <w:rPr>
          <w:rFonts w:hint="eastAsia"/>
        </w:rPr>
        <w:t xml:space="preserve"> </w:t>
      </w:r>
      <w:r w:rsidRPr="00BB6462">
        <w:t>前注</w:t>
      </w:r>
      <w:r w:rsidRPr="00BB6462">
        <w:t>12</w:t>
      </w:r>
      <w:r>
        <w:t>8,</w:t>
      </w:r>
      <w:r>
        <w:rPr>
          <w:rFonts w:hint="eastAsia"/>
        </w:rPr>
        <w:t xml:space="preserve"> </w:t>
      </w:r>
      <w:r w:rsidRPr="00BB6462">
        <w:t>第</w:t>
      </w:r>
      <w:r w:rsidRPr="00BB6462">
        <w:t>62</w:t>
      </w:r>
      <w:r w:rsidRPr="00BB6462">
        <w:t>段</w:t>
      </w:r>
      <w:r w:rsidRPr="00BB6462">
        <w:t>(</w:t>
      </w:r>
      <w:r w:rsidRPr="00BB6462">
        <w:t>引自</w:t>
      </w:r>
      <w:r w:rsidRPr="00BB6462">
        <w:t>Kordić 200</w:t>
      </w:r>
      <w:r>
        <w:t>4,</w:t>
      </w:r>
      <w:r>
        <w:rPr>
          <w:rFonts w:hint="eastAsia"/>
        </w:rPr>
        <w:t xml:space="preserve"> </w:t>
      </w:r>
      <w:r w:rsidRPr="00BB6462">
        <w:t>前注</w:t>
      </w:r>
      <w:r w:rsidRPr="00BB6462">
        <w:rPr>
          <w:rFonts w:hint="eastAsia"/>
        </w:rPr>
        <w:t>12</w:t>
      </w:r>
      <w:r>
        <w:rPr>
          <w:rFonts w:hint="eastAsia"/>
        </w:rPr>
        <w:t xml:space="preserve">8, </w:t>
      </w:r>
      <w:r w:rsidRPr="00BB6462">
        <w:t>第</w:t>
      </w:r>
      <w:r w:rsidRPr="00BB6462">
        <w:t>94</w:t>
      </w:r>
      <w:r w:rsidRPr="00BB6462">
        <w:t>段，原引自</w:t>
      </w:r>
      <w:r w:rsidRPr="00BB6462">
        <w:t>Kunarac 200</w:t>
      </w:r>
      <w:r>
        <w:t>1,</w:t>
      </w:r>
      <w:r>
        <w:rPr>
          <w:rFonts w:hint="eastAsia"/>
        </w:rPr>
        <w:t xml:space="preserve"> </w:t>
      </w:r>
      <w:r w:rsidRPr="00BB6462">
        <w:t>前注</w:t>
      </w:r>
      <w:r w:rsidRPr="00BB6462">
        <w:rPr>
          <w:rFonts w:hint="eastAsia"/>
        </w:rPr>
        <w:t>12</w:t>
      </w:r>
      <w:r>
        <w:rPr>
          <w:rFonts w:hint="eastAsia"/>
        </w:rPr>
        <w:t xml:space="preserve">6, </w:t>
      </w:r>
      <w:r w:rsidRPr="00BB6462">
        <w:t>第</w:t>
      </w:r>
      <w:r w:rsidRPr="00BB6462">
        <w:t>429</w:t>
      </w:r>
      <w:r w:rsidRPr="00BB6462">
        <w:t>段</w:t>
      </w:r>
      <w:r w:rsidRPr="00BB6462">
        <w:t>)</w:t>
      </w:r>
      <w:r w:rsidRPr="00BB6462">
        <w:t>；另见</w:t>
      </w:r>
      <w:r w:rsidRPr="00BB6462">
        <w:t>Ruto 201</w:t>
      </w:r>
      <w:r>
        <w:t>2,</w:t>
      </w:r>
      <w:r>
        <w:rPr>
          <w:rFonts w:hint="eastAsia"/>
        </w:rPr>
        <w:t xml:space="preserve"> </w:t>
      </w:r>
      <w:r w:rsidRPr="00BB6462">
        <w:t>前注</w:t>
      </w:r>
      <w:r w:rsidRPr="00BB6462">
        <w:rPr>
          <w:rFonts w:hint="eastAsia"/>
        </w:rPr>
        <w:t>13</w:t>
      </w:r>
      <w:r>
        <w:rPr>
          <w:rFonts w:hint="eastAsia"/>
        </w:rPr>
        <w:t xml:space="preserve">0, </w:t>
      </w:r>
      <w:r w:rsidRPr="00BB6462">
        <w:t>第</w:t>
      </w:r>
      <w:r w:rsidRPr="00BB6462">
        <w:t>179</w:t>
      </w:r>
      <w:r w:rsidRPr="00BB6462">
        <w:t>段；</w:t>
      </w:r>
      <w:r w:rsidRPr="00BB6462">
        <w:rPr>
          <w:rFonts w:hint="eastAsia"/>
        </w:rPr>
        <w:t>2010</w:t>
      </w:r>
      <w:r w:rsidRPr="00BB6462">
        <w:rPr>
          <w:rFonts w:hint="eastAsia"/>
        </w:rPr>
        <w:t>年</w:t>
      </w:r>
      <w:r w:rsidRPr="00BB6462">
        <w:t>肯尼亚授权决定，前注</w:t>
      </w:r>
      <w:r w:rsidRPr="00BB6462">
        <w:rPr>
          <w:rFonts w:hint="eastAsia"/>
        </w:rPr>
        <w:t>12</w:t>
      </w:r>
      <w:r>
        <w:rPr>
          <w:rFonts w:hint="eastAsia"/>
        </w:rPr>
        <w:t xml:space="preserve">5, </w:t>
      </w:r>
      <w:r w:rsidRPr="00BB6462">
        <w:t>第</w:t>
      </w:r>
      <w:r w:rsidRPr="00BB6462">
        <w:t>96</w:t>
      </w:r>
      <w:r w:rsidRPr="00BB6462">
        <w:t>段；</w:t>
      </w:r>
      <w:r w:rsidRPr="00BB6462">
        <w:t>Katanga 200</w:t>
      </w:r>
      <w:r>
        <w:t>8,</w:t>
      </w:r>
      <w:r>
        <w:rPr>
          <w:rFonts w:hint="eastAsia"/>
        </w:rPr>
        <w:t xml:space="preserve"> </w:t>
      </w:r>
      <w:r w:rsidRPr="00BB6462">
        <w:t>前注</w:t>
      </w:r>
      <w:r w:rsidRPr="00BB6462">
        <w:rPr>
          <w:rFonts w:hint="eastAsia"/>
        </w:rPr>
        <w:t>12</w:t>
      </w:r>
      <w:r>
        <w:rPr>
          <w:rFonts w:hint="eastAsia"/>
        </w:rPr>
        <w:t xml:space="preserve">6, </w:t>
      </w:r>
      <w:r w:rsidRPr="00BB6462">
        <w:t>第</w:t>
      </w:r>
      <w:r w:rsidRPr="00BB6462">
        <w:t>394</w:t>
      </w:r>
      <w:r w:rsidRPr="00BB6462">
        <w:t>段。</w:t>
      </w:r>
    </w:p>
  </w:footnote>
  <w:footnote w:id="14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t>Katanga 200</w:t>
      </w:r>
      <w:r>
        <w:t>8,</w:t>
      </w:r>
      <w:r>
        <w:rPr>
          <w:rFonts w:hint="eastAsia"/>
        </w:rPr>
        <w:t xml:space="preserve"> </w:t>
      </w:r>
      <w:r w:rsidRPr="00BB6462">
        <w:t>前注</w:t>
      </w:r>
      <w:r w:rsidRPr="00BB6462">
        <w:rPr>
          <w:rFonts w:hint="eastAsia"/>
        </w:rPr>
        <w:t>12</w:t>
      </w:r>
      <w:r>
        <w:rPr>
          <w:rFonts w:hint="eastAsia"/>
        </w:rPr>
        <w:t xml:space="preserve">6, </w:t>
      </w:r>
      <w:r w:rsidRPr="00BB6462">
        <w:t>第</w:t>
      </w:r>
      <w:r w:rsidRPr="00BB6462">
        <w:t>397</w:t>
      </w:r>
      <w:r w:rsidRPr="00BB6462">
        <w:t>段。</w:t>
      </w:r>
    </w:p>
  </w:footnote>
  <w:footnote w:id="14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en-GB"/>
        </w:rPr>
        <w:tab/>
      </w:r>
      <w:r w:rsidRPr="00736AA5">
        <w:rPr>
          <w:rStyle w:val="a3"/>
          <w:szCs w:val="21"/>
        </w:rPr>
        <w:footnoteRef/>
      </w:r>
      <w:r w:rsidRPr="00BB6462">
        <w:rPr>
          <w:lang w:val="en-GB"/>
        </w:rPr>
        <w:tab/>
      </w:r>
      <w:r w:rsidRPr="00BB6462">
        <w:t>Ntaganda 201</w:t>
      </w:r>
      <w:r>
        <w:t>2,</w:t>
      </w:r>
      <w:r>
        <w:rPr>
          <w:rFonts w:hint="eastAsia"/>
        </w:rPr>
        <w:t xml:space="preserve"> </w:t>
      </w:r>
      <w:r w:rsidRPr="00BB6462">
        <w:t>前注</w:t>
      </w:r>
      <w:r w:rsidRPr="00BB6462">
        <w:rPr>
          <w:rFonts w:hint="eastAsia"/>
        </w:rPr>
        <w:t>12</w:t>
      </w:r>
      <w:r>
        <w:rPr>
          <w:rFonts w:hint="eastAsia"/>
        </w:rPr>
        <w:t xml:space="preserve">8, </w:t>
      </w:r>
      <w:r w:rsidRPr="00BB6462">
        <w:t>第</w:t>
      </w:r>
      <w:r w:rsidRPr="00BB6462">
        <w:t>31</w:t>
      </w:r>
      <w:r w:rsidRPr="00BB6462">
        <w:t>段；另见</w:t>
      </w:r>
      <w:r w:rsidRPr="00BB6462">
        <w:t>Ruto 201</w:t>
      </w:r>
      <w:r>
        <w:t>2,</w:t>
      </w:r>
      <w:r>
        <w:rPr>
          <w:rFonts w:hint="eastAsia"/>
        </w:rPr>
        <w:t xml:space="preserve"> </w:t>
      </w:r>
      <w:r w:rsidRPr="00BB6462">
        <w:t>前注</w:t>
      </w:r>
      <w:r w:rsidRPr="00BB6462">
        <w:rPr>
          <w:rFonts w:hint="eastAsia"/>
        </w:rPr>
        <w:t>13</w:t>
      </w:r>
      <w:r>
        <w:rPr>
          <w:rFonts w:hint="eastAsia"/>
        </w:rPr>
        <w:t xml:space="preserve">0, </w:t>
      </w:r>
      <w:r w:rsidRPr="00BB6462">
        <w:t>第</w:t>
      </w:r>
      <w:r w:rsidRPr="00BB6462">
        <w:t>179</w:t>
      </w:r>
      <w:r w:rsidRPr="00BB6462">
        <w:t>段。</w:t>
      </w:r>
    </w:p>
  </w:footnote>
  <w:footnote w:id="14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t>Ntaganda 201</w:t>
      </w:r>
      <w:r>
        <w:t>4,</w:t>
      </w:r>
      <w:r>
        <w:rPr>
          <w:rFonts w:hint="eastAsia"/>
        </w:rPr>
        <w:t xml:space="preserve"> </w:t>
      </w:r>
      <w:r w:rsidRPr="00BB6462">
        <w:t>前注</w:t>
      </w:r>
      <w:r w:rsidRPr="00BB6462">
        <w:rPr>
          <w:rFonts w:hint="eastAsia"/>
        </w:rPr>
        <w:t>12</w:t>
      </w:r>
      <w:r>
        <w:rPr>
          <w:rFonts w:hint="eastAsia"/>
        </w:rPr>
        <w:t xml:space="preserve">7, </w:t>
      </w:r>
      <w:r w:rsidRPr="00BB6462">
        <w:t>第</w:t>
      </w:r>
      <w:r w:rsidRPr="00BB6462">
        <w:t>24</w:t>
      </w:r>
      <w:r w:rsidRPr="00BB6462">
        <w:t>段。</w:t>
      </w:r>
    </w:p>
  </w:footnote>
  <w:footnote w:id="14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41050A">
        <w:rPr>
          <w:rFonts w:ascii="楷体_GB2312" w:eastAsia="楷体_GB2312"/>
        </w:rPr>
        <w:t>检察官诉</w:t>
      </w:r>
      <w:r w:rsidRPr="00BB6462">
        <w:t>Gbagb</w:t>
      </w:r>
      <w:r>
        <w:t xml:space="preserve">o, </w:t>
      </w:r>
      <w:r w:rsidRPr="00BB6462">
        <w:rPr>
          <w:rFonts w:hint="eastAsia"/>
        </w:rPr>
        <w:t>第二</w:t>
      </w:r>
      <w:r w:rsidRPr="00BB6462">
        <w:t>预审分庭关于确认对</w:t>
      </w:r>
      <w:r w:rsidRPr="00BB6462">
        <w:t>Laurent Gbagbo</w:t>
      </w:r>
      <w:r w:rsidRPr="00BB6462">
        <w:t>指控的决定，</w:t>
      </w:r>
      <w:r w:rsidRPr="00BB6462">
        <w:t>ICC-02/11-01/1</w:t>
      </w:r>
      <w:r>
        <w:t>1,</w:t>
      </w:r>
      <w:r>
        <w:rPr>
          <w:rFonts w:hint="eastAsia"/>
        </w:rPr>
        <w:t xml:space="preserve"> </w:t>
      </w:r>
      <w:r w:rsidRPr="00BB6462">
        <w:t>2014</w:t>
      </w:r>
      <w:r w:rsidRPr="00BB6462">
        <w:t>年</w:t>
      </w:r>
      <w:r w:rsidRPr="00BB6462">
        <w:t>6</w:t>
      </w:r>
      <w:r w:rsidRPr="00BB6462">
        <w:t>月</w:t>
      </w:r>
      <w:r w:rsidRPr="00BB6462">
        <w:t>12</w:t>
      </w:r>
      <w:r w:rsidRPr="00BB6462">
        <w:t>日，第</w:t>
      </w:r>
      <w:r w:rsidRPr="00BB6462">
        <w:t>225</w:t>
      </w:r>
      <w:r w:rsidRPr="00BB6462">
        <w:t>段</w:t>
      </w:r>
      <w:r w:rsidRPr="00BB6462">
        <w:t>(</w:t>
      </w:r>
      <w:r w:rsidRPr="00BB6462">
        <w:t>下称</w:t>
      </w:r>
      <w:r w:rsidRPr="00BB6462">
        <w:rPr>
          <w:rFonts w:hint="eastAsia"/>
        </w:rPr>
        <w:t>“</w:t>
      </w:r>
      <w:r w:rsidRPr="00BB6462">
        <w:t>Gbagbo 2014</w:t>
      </w:r>
      <w:r w:rsidRPr="00BB6462">
        <w:rPr>
          <w:rFonts w:hint="eastAsia"/>
        </w:rPr>
        <w:t>”</w:t>
      </w:r>
      <w:r w:rsidRPr="00BB6462">
        <w:t>)</w:t>
      </w:r>
      <w:r w:rsidRPr="00BB6462">
        <w:t>。</w:t>
      </w:r>
    </w:p>
  </w:footnote>
  <w:footnote w:id="14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《罗马规约》，前注</w:t>
      </w:r>
      <w:r>
        <w:rPr>
          <w:rFonts w:hint="eastAsia"/>
        </w:rPr>
        <w:t>84</w:t>
      </w:r>
      <w:r w:rsidRPr="00BB6462">
        <w:t>；另见国际刑</w:t>
      </w:r>
      <w:r w:rsidRPr="00BB6462">
        <w:rPr>
          <w:rFonts w:hint="eastAsia"/>
        </w:rPr>
        <w:t>事法</w:t>
      </w:r>
      <w:r w:rsidRPr="00BB6462">
        <w:t>院</w:t>
      </w:r>
      <w:r>
        <w:rPr>
          <w:rFonts w:hint="eastAsia"/>
        </w:rPr>
        <w:t>，</w:t>
      </w:r>
      <w:r w:rsidRPr="00BB6462">
        <w:t>《犯罪要件》，</w:t>
      </w:r>
      <w:r w:rsidRPr="00BB6462">
        <w:t>PCNICC/2000/1/Add.2</w:t>
      </w:r>
      <w:r w:rsidRPr="00BB6462">
        <w:t>号文件，第</w:t>
      </w:r>
      <w:r w:rsidRPr="00BB6462">
        <w:t>5</w:t>
      </w:r>
      <w:r w:rsidRPr="00BB6462">
        <w:t>页</w:t>
      </w:r>
      <w:r w:rsidRPr="00BB6462">
        <w:t>(</w:t>
      </w:r>
      <w:r w:rsidRPr="00BB6462">
        <w:t>下称国际刑院，《犯罪要件》</w:t>
      </w:r>
      <w:r w:rsidRPr="00BB6462">
        <w:t>)</w:t>
      </w:r>
      <w:r w:rsidRPr="00BB6462">
        <w:t>。</w:t>
      </w:r>
    </w:p>
  </w:footnote>
  <w:footnote w:id="14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t>例如，见</w:t>
      </w:r>
      <w:r w:rsidRPr="00BB6462">
        <w:t>Kunarac 200</w:t>
      </w:r>
      <w:r>
        <w:t>1,</w:t>
      </w:r>
      <w:r>
        <w:rPr>
          <w:rFonts w:hint="eastAsia"/>
        </w:rPr>
        <w:t xml:space="preserve"> </w:t>
      </w:r>
      <w:r w:rsidRPr="00BB6462">
        <w:t>前注</w:t>
      </w:r>
      <w:r w:rsidRPr="00BB6462">
        <w:rPr>
          <w:rFonts w:hint="eastAsia"/>
        </w:rPr>
        <w:t>12</w:t>
      </w:r>
      <w:r>
        <w:rPr>
          <w:rFonts w:hint="eastAsia"/>
        </w:rPr>
        <w:t xml:space="preserve">6, </w:t>
      </w:r>
      <w:r w:rsidRPr="00BB6462">
        <w:t>第</w:t>
      </w:r>
      <w:r w:rsidRPr="00BB6462">
        <w:t>421</w:t>
      </w:r>
      <w:r w:rsidRPr="00BB6462">
        <w:t>段</w:t>
      </w:r>
      <w:r w:rsidRPr="00BB6462">
        <w:t>(</w:t>
      </w:r>
      <w:r w:rsidRPr="00BB6462">
        <w:rPr>
          <w:rFonts w:hint="eastAsia"/>
        </w:rPr>
        <w:t>“</w:t>
      </w:r>
      <w:r w:rsidRPr="00BB6462">
        <w:t>‘</w:t>
      </w:r>
      <w:r w:rsidRPr="00BB6462">
        <w:t>针对</w:t>
      </w:r>
      <w:r w:rsidRPr="00BB6462">
        <w:t>’</w:t>
      </w:r>
      <w:r w:rsidRPr="00BB6462">
        <w:t>这一表述说明，在某危害人类罪的罪行中，平民人口是攻击的首要目标。</w:t>
      </w:r>
      <w:r w:rsidRPr="00BB6462">
        <w:rPr>
          <w:rFonts w:hint="eastAsia"/>
        </w:rPr>
        <w:t>”</w:t>
      </w:r>
      <w:r w:rsidRPr="00BB6462">
        <w:t>)</w:t>
      </w:r>
      <w:r w:rsidRPr="00BB6462">
        <w:t>。</w:t>
      </w:r>
    </w:p>
  </w:footnote>
  <w:footnote w:id="14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2010</w:t>
      </w:r>
      <w:r w:rsidRPr="00BB6462">
        <w:rPr>
          <w:rFonts w:hint="eastAsia"/>
        </w:rPr>
        <w:t>年肯尼亚授权决定，</w:t>
      </w:r>
      <w:r w:rsidRPr="00BB6462">
        <w:t>前注</w:t>
      </w:r>
      <w:r w:rsidRPr="00BB6462">
        <w:rPr>
          <w:rFonts w:hint="eastAsia"/>
        </w:rPr>
        <w:t>12</w:t>
      </w:r>
      <w:r>
        <w:rPr>
          <w:rFonts w:hint="eastAsia"/>
        </w:rPr>
        <w:t xml:space="preserve">5, </w:t>
      </w:r>
      <w:r w:rsidRPr="00BB6462">
        <w:t>第</w:t>
      </w:r>
      <w:r w:rsidRPr="00BB6462">
        <w:t>82</w:t>
      </w:r>
      <w:r w:rsidRPr="00BB6462">
        <w:t>段；</w:t>
      </w:r>
      <w:r w:rsidRPr="00BB6462">
        <w:t>Bemba 200</w:t>
      </w:r>
      <w:r>
        <w:t>9,</w:t>
      </w:r>
      <w:r>
        <w:rPr>
          <w:rFonts w:hint="eastAsia"/>
        </w:rPr>
        <w:t xml:space="preserve"> </w:t>
      </w:r>
      <w:r w:rsidRPr="00BB6462">
        <w:t>前注</w:t>
      </w:r>
      <w:r w:rsidRPr="00BB6462">
        <w:rPr>
          <w:rFonts w:hint="eastAsia"/>
        </w:rPr>
        <w:t>12</w:t>
      </w:r>
      <w:r>
        <w:rPr>
          <w:rFonts w:hint="eastAsia"/>
        </w:rPr>
        <w:t xml:space="preserve">5, </w:t>
      </w:r>
      <w:r w:rsidRPr="00BB6462">
        <w:t>第</w:t>
      </w:r>
      <w:r w:rsidRPr="00BB6462">
        <w:t>76</w:t>
      </w:r>
      <w:r w:rsidRPr="00BB6462">
        <w:t>段。</w:t>
      </w:r>
    </w:p>
  </w:footnote>
  <w:footnote w:id="14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lang w:val="pt-BR"/>
        </w:rPr>
        <w:tab/>
      </w:r>
      <w:r w:rsidRPr="00736AA5">
        <w:rPr>
          <w:rStyle w:val="a3"/>
          <w:szCs w:val="21"/>
        </w:rPr>
        <w:footnoteRef/>
      </w:r>
      <w:r w:rsidRPr="00BB6462">
        <w:rPr>
          <w:lang w:val="pt-BR"/>
        </w:rPr>
        <w:tab/>
        <w:t>Katanga 201</w:t>
      </w:r>
      <w:r>
        <w:rPr>
          <w:lang w:val="pt-BR"/>
        </w:rPr>
        <w:t>4,</w:t>
      </w:r>
      <w:r>
        <w:rPr>
          <w:rFonts w:hint="eastAsia"/>
          <w:lang w:val="pt-BR"/>
        </w:rPr>
        <w:t xml:space="preserve"> </w:t>
      </w:r>
      <w:r w:rsidRPr="00BB6462">
        <w:rPr>
          <w:lang w:val="pt-BR"/>
        </w:rPr>
        <w:t>前注</w:t>
      </w:r>
      <w:r w:rsidRPr="00BB6462">
        <w:rPr>
          <w:lang w:val="pt-BR"/>
        </w:rPr>
        <w:t>12</w:t>
      </w:r>
      <w:r>
        <w:rPr>
          <w:lang w:val="pt-BR"/>
        </w:rPr>
        <w:t>6,</w:t>
      </w:r>
      <w:r>
        <w:rPr>
          <w:rFonts w:hint="eastAsia"/>
          <w:lang w:val="pt-BR"/>
        </w:rPr>
        <w:t xml:space="preserve"> </w:t>
      </w:r>
      <w:r w:rsidRPr="00BB6462">
        <w:t>第</w:t>
      </w:r>
      <w:r w:rsidRPr="00BB6462">
        <w:rPr>
          <w:lang w:val="pt-BR"/>
        </w:rPr>
        <w:t>1104</w:t>
      </w:r>
      <w:r w:rsidRPr="00BB6462">
        <w:t>段。</w:t>
      </w:r>
    </w:p>
  </w:footnote>
  <w:footnote w:id="14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lang w:val="pt-BR"/>
        </w:rPr>
        <w:tab/>
      </w:r>
      <w:r w:rsidRPr="00736AA5">
        <w:rPr>
          <w:rStyle w:val="a3"/>
          <w:szCs w:val="21"/>
        </w:rPr>
        <w:footnoteRef/>
      </w:r>
      <w:r w:rsidRPr="00BB6462">
        <w:rPr>
          <w:lang w:val="pt-BR"/>
        </w:rPr>
        <w:tab/>
        <w:t>Bemba 200</w:t>
      </w:r>
      <w:r>
        <w:rPr>
          <w:lang w:val="pt-BR"/>
        </w:rPr>
        <w:t>9,</w:t>
      </w:r>
      <w:r>
        <w:rPr>
          <w:rFonts w:hint="eastAsia"/>
          <w:lang w:val="pt-BR"/>
        </w:rPr>
        <w:t xml:space="preserve"> </w:t>
      </w:r>
      <w:r w:rsidRPr="00BB6462">
        <w:rPr>
          <w:lang w:val="pt-BR"/>
        </w:rPr>
        <w:t>前注</w:t>
      </w:r>
      <w:r>
        <w:rPr>
          <w:rFonts w:hint="eastAsia"/>
          <w:lang w:val="pt-BR"/>
        </w:rPr>
        <w:t>125</w:t>
      </w:r>
      <w:r w:rsidRPr="00BB6462">
        <w:rPr>
          <w:lang w:val="pt-BR"/>
        </w:rPr>
        <w:t>，第</w:t>
      </w:r>
      <w:r w:rsidRPr="00BB6462">
        <w:rPr>
          <w:lang w:val="pt-BR"/>
        </w:rPr>
        <w:t>94</w:t>
      </w:r>
      <w:r w:rsidRPr="00BB6462">
        <w:rPr>
          <w:lang w:val="pt-BR"/>
        </w:rPr>
        <w:t>段；另见</w:t>
      </w:r>
      <w:r w:rsidRPr="00BB6462">
        <w:rPr>
          <w:lang w:val="pt-BR"/>
        </w:rPr>
        <w:t>Ntaganda 201</w:t>
      </w:r>
      <w:r>
        <w:rPr>
          <w:lang w:val="pt-BR"/>
        </w:rPr>
        <w:t>2,</w:t>
      </w:r>
      <w:r>
        <w:rPr>
          <w:rFonts w:hint="eastAsia"/>
          <w:lang w:val="pt-BR"/>
        </w:rPr>
        <w:t xml:space="preserve"> </w:t>
      </w:r>
      <w:r w:rsidRPr="00BB6462">
        <w:rPr>
          <w:lang w:val="pt-BR"/>
        </w:rPr>
        <w:t>前注</w:t>
      </w:r>
      <w:r>
        <w:rPr>
          <w:rFonts w:hint="eastAsia"/>
          <w:lang w:val="pt-BR"/>
        </w:rPr>
        <w:t>128</w:t>
      </w:r>
      <w:r w:rsidRPr="00BB6462">
        <w:rPr>
          <w:lang w:val="pt-BR"/>
        </w:rPr>
        <w:t>，第</w:t>
      </w:r>
      <w:r w:rsidRPr="00BB6462">
        <w:rPr>
          <w:lang w:val="pt-BR"/>
        </w:rPr>
        <w:t>20-21</w:t>
      </w:r>
      <w:r w:rsidRPr="00BB6462">
        <w:rPr>
          <w:lang w:val="pt-BR"/>
        </w:rPr>
        <w:t>段。</w:t>
      </w:r>
    </w:p>
  </w:footnote>
  <w:footnote w:id="15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lang w:val="pt-BR"/>
        </w:rPr>
        <w:tab/>
      </w:r>
      <w:r w:rsidRPr="00736AA5">
        <w:rPr>
          <w:rStyle w:val="a3"/>
          <w:szCs w:val="21"/>
        </w:rPr>
        <w:footnoteRef/>
      </w:r>
      <w:r w:rsidRPr="00BB6462">
        <w:rPr>
          <w:lang w:val="pt-BR"/>
        </w:rPr>
        <w:tab/>
        <w:t>Bemba 200</w:t>
      </w:r>
      <w:r>
        <w:rPr>
          <w:lang w:val="pt-BR"/>
        </w:rPr>
        <w:t>9,</w:t>
      </w:r>
      <w:r>
        <w:rPr>
          <w:rFonts w:hint="eastAsia"/>
          <w:lang w:val="pt-BR"/>
        </w:rPr>
        <w:t xml:space="preserve"> </w:t>
      </w:r>
      <w:r w:rsidRPr="00BB6462">
        <w:rPr>
          <w:lang w:val="pt-BR"/>
        </w:rPr>
        <w:t>前注</w:t>
      </w:r>
      <w:r w:rsidRPr="00BB6462">
        <w:rPr>
          <w:rFonts w:hint="eastAsia"/>
          <w:lang w:val="pt-BR"/>
        </w:rPr>
        <w:t>12</w:t>
      </w:r>
      <w:r>
        <w:rPr>
          <w:rFonts w:hint="eastAsia"/>
          <w:lang w:val="pt-BR"/>
        </w:rPr>
        <w:t xml:space="preserve">5, </w:t>
      </w:r>
      <w:r w:rsidRPr="00BB6462">
        <w:rPr>
          <w:lang w:val="pt-BR"/>
        </w:rPr>
        <w:t>第</w:t>
      </w:r>
      <w:r w:rsidRPr="00BB6462">
        <w:rPr>
          <w:lang w:val="pt-BR"/>
        </w:rPr>
        <w:t>94</w:t>
      </w:r>
      <w:r w:rsidRPr="00BB6462">
        <w:rPr>
          <w:lang w:val="pt-BR"/>
        </w:rPr>
        <w:t>段。</w:t>
      </w:r>
    </w:p>
  </w:footnote>
  <w:footnote w:id="15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lang w:val="pt-BR"/>
        </w:rPr>
        <w:tab/>
      </w:r>
      <w:r w:rsidRPr="00736AA5">
        <w:rPr>
          <w:rStyle w:val="a3"/>
          <w:szCs w:val="21"/>
        </w:rPr>
        <w:footnoteRef/>
      </w:r>
      <w:r w:rsidRPr="00BB6462">
        <w:rPr>
          <w:lang w:val="pt-BR"/>
        </w:rPr>
        <w:tab/>
      </w:r>
      <w:r w:rsidRPr="00BB6462">
        <w:rPr>
          <w:lang w:val="pt-BR"/>
        </w:rPr>
        <w:t>同上，第</w:t>
      </w:r>
      <w:r w:rsidRPr="00BB6462">
        <w:rPr>
          <w:lang w:val="pt-BR"/>
        </w:rPr>
        <w:t>95-98</w:t>
      </w:r>
      <w:r w:rsidRPr="00BB6462">
        <w:rPr>
          <w:lang w:val="pt-BR"/>
        </w:rPr>
        <w:t>段。</w:t>
      </w:r>
    </w:p>
  </w:footnote>
  <w:footnote w:id="15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pt-BR"/>
        </w:rPr>
        <w:tab/>
      </w:r>
      <w:r w:rsidRPr="00736AA5">
        <w:rPr>
          <w:rStyle w:val="a3"/>
          <w:szCs w:val="21"/>
        </w:rPr>
        <w:footnoteRef/>
      </w:r>
      <w:r w:rsidRPr="00BB6462">
        <w:rPr>
          <w:lang w:val="pt-BR"/>
        </w:rPr>
        <w:tab/>
      </w:r>
      <w:r w:rsidRPr="00BB6462">
        <w:rPr>
          <w:lang w:val="pt-BR"/>
        </w:rPr>
        <w:t>例如，见</w:t>
      </w:r>
      <w:r w:rsidRPr="00BB6462">
        <w:rPr>
          <w:lang w:val="pt-BR"/>
        </w:rPr>
        <w:t>Blaškić 200</w:t>
      </w:r>
      <w:r>
        <w:rPr>
          <w:lang w:val="pt-BR"/>
        </w:rPr>
        <w:t>0,</w:t>
      </w:r>
      <w:r>
        <w:rPr>
          <w:rFonts w:hint="eastAsia"/>
          <w:lang w:val="pt-BR"/>
        </w:rPr>
        <w:t xml:space="preserve"> </w:t>
      </w:r>
      <w:r w:rsidRPr="00BB6462">
        <w:rPr>
          <w:lang w:val="pt-BR"/>
        </w:rPr>
        <w:t>前注</w:t>
      </w:r>
      <w:r>
        <w:rPr>
          <w:rFonts w:hint="eastAsia"/>
          <w:lang w:val="pt-BR"/>
        </w:rPr>
        <w:t xml:space="preserve">121, </w:t>
      </w:r>
      <w:r w:rsidRPr="00BB6462">
        <w:rPr>
          <w:lang w:val="pt-BR"/>
        </w:rPr>
        <w:t>第</w:t>
      </w:r>
      <w:r w:rsidRPr="00BB6462">
        <w:rPr>
          <w:lang w:val="pt-BR"/>
        </w:rPr>
        <w:t>208</w:t>
      </w:r>
      <w:r w:rsidRPr="00BB6462">
        <w:rPr>
          <w:lang w:val="pt-BR"/>
        </w:rPr>
        <w:t>段，注</w:t>
      </w:r>
      <w:r w:rsidRPr="00BB6462">
        <w:rPr>
          <w:lang w:val="pt-BR"/>
        </w:rPr>
        <w:t>401</w:t>
      </w:r>
      <w:r w:rsidRPr="00BB6462">
        <w:rPr>
          <w:lang w:val="pt-BR"/>
        </w:rPr>
        <w:t>。</w:t>
      </w:r>
    </w:p>
  </w:footnote>
  <w:footnote w:id="15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Kunarac 200</w:t>
      </w:r>
      <w:r>
        <w:rPr>
          <w:lang w:val="pt-BR"/>
        </w:rPr>
        <w:t>2,</w:t>
      </w:r>
      <w:r>
        <w:rPr>
          <w:rFonts w:hint="eastAsia"/>
          <w:lang w:val="pt-BR"/>
        </w:rPr>
        <w:t xml:space="preserve"> </w:t>
      </w:r>
      <w:r w:rsidRPr="00BB6462">
        <w:rPr>
          <w:lang w:val="pt-BR"/>
        </w:rPr>
        <w:t>前注</w:t>
      </w:r>
      <w:r>
        <w:rPr>
          <w:rFonts w:hint="eastAsia"/>
          <w:lang w:val="pt-BR"/>
        </w:rPr>
        <w:t xml:space="preserve">138, </w:t>
      </w:r>
      <w:r w:rsidRPr="00BB6462">
        <w:rPr>
          <w:lang w:val="pt-BR"/>
        </w:rPr>
        <w:t>第</w:t>
      </w:r>
      <w:r w:rsidRPr="00BB6462">
        <w:rPr>
          <w:lang w:val="pt-BR"/>
        </w:rPr>
        <w:t>103</w:t>
      </w:r>
      <w:r w:rsidRPr="00BB6462">
        <w:rPr>
          <w:lang w:val="pt-BR"/>
        </w:rPr>
        <w:t>段。</w:t>
      </w:r>
    </w:p>
  </w:footnote>
  <w:footnote w:id="15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例如，见</w:t>
      </w:r>
      <w:r w:rsidRPr="00BB6462">
        <w:rPr>
          <w:lang w:val="pt-BR"/>
        </w:rPr>
        <w:t>Mrkšić 200</w:t>
      </w:r>
      <w:r>
        <w:rPr>
          <w:lang w:val="pt-BR"/>
        </w:rPr>
        <w:t>7,</w:t>
      </w:r>
      <w:r>
        <w:rPr>
          <w:rFonts w:hint="eastAsia"/>
          <w:lang w:val="pt-BR"/>
        </w:rPr>
        <w:t xml:space="preserve"> </w:t>
      </w:r>
      <w:r w:rsidRPr="00BB6462">
        <w:rPr>
          <w:lang w:val="pt-BR"/>
        </w:rPr>
        <w:t>前注</w:t>
      </w:r>
      <w:r w:rsidRPr="00BB6462">
        <w:rPr>
          <w:lang w:val="pt-BR"/>
        </w:rPr>
        <w:t>12</w:t>
      </w:r>
      <w:r>
        <w:rPr>
          <w:lang w:val="pt-BR"/>
        </w:rPr>
        <w:t xml:space="preserve">2, </w:t>
      </w:r>
      <w:r w:rsidRPr="00BB6462">
        <w:rPr>
          <w:lang w:val="pt-BR"/>
        </w:rPr>
        <w:t>第</w:t>
      </w:r>
      <w:r w:rsidRPr="00BB6462">
        <w:rPr>
          <w:lang w:val="pt-BR"/>
        </w:rPr>
        <w:t>442</w:t>
      </w:r>
      <w:r w:rsidRPr="00BB6462">
        <w:rPr>
          <w:lang w:val="pt-BR"/>
        </w:rPr>
        <w:t>段；</w:t>
      </w:r>
      <w:r w:rsidRPr="00BB6462">
        <w:rPr>
          <w:lang w:val="pt-BR"/>
        </w:rPr>
        <w:t>Kupreškić 200</w:t>
      </w:r>
      <w:r>
        <w:rPr>
          <w:lang w:val="pt-BR"/>
        </w:rPr>
        <w:t xml:space="preserve">0, </w:t>
      </w:r>
      <w:r w:rsidRPr="00BB6462">
        <w:rPr>
          <w:lang w:val="pt-BR"/>
        </w:rPr>
        <w:t>前注</w:t>
      </w:r>
      <w:r w:rsidRPr="00BB6462">
        <w:rPr>
          <w:lang w:val="pt-BR"/>
        </w:rPr>
        <w:t>9</w:t>
      </w:r>
      <w:r>
        <w:rPr>
          <w:lang w:val="pt-BR"/>
        </w:rPr>
        <w:t>7,</w:t>
      </w:r>
      <w:r>
        <w:rPr>
          <w:rFonts w:hint="eastAsia"/>
          <w:lang w:val="pt-BR"/>
        </w:rPr>
        <w:t xml:space="preserve"> </w:t>
      </w:r>
      <w:r w:rsidRPr="00BB6462">
        <w:rPr>
          <w:lang w:val="pt-BR"/>
        </w:rPr>
        <w:t>第</w:t>
      </w:r>
      <w:r w:rsidRPr="00BB6462">
        <w:rPr>
          <w:lang w:val="pt-BR"/>
        </w:rPr>
        <w:t>547</w:t>
      </w:r>
      <w:r w:rsidRPr="00BB6462">
        <w:rPr>
          <w:lang w:val="pt-BR"/>
        </w:rPr>
        <w:t>段</w:t>
      </w:r>
      <w:r w:rsidRPr="00BB6462">
        <w:rPr>
          <w:lang w:val="pt-BR"/>
        </w:rPr>
        <w:t>(</w:t>
      </w:r>
      <w:r w:rsidRPr="00BB6462">
        <w:rPr>
          <w:rFonts w:hint="eastAsia"/>
          <w:lang w:val="pt-BR"/>
        </w:rPr>
        <w:t>“</w:t>
      </w:r>
      <w:r w:rsidRPr="00BB6462">
        <w:rPr>
          <w:lang w:val="pt-BR"/>
        </w:rPr>
        <w:t>对</w:t>
      </w:r>
      <w:r w:rsidRPr="00BB6462">
        <w:rPr>
          <w:lang w:val="pt-BR"/>
        </w:rPr>
        <w:t>‘</w:t>
      </w:r>
      <w:r w:rsidRPr="00BB6462">
        <w:rPr>
          <w:lang w:val="pt-BR"/>
        </w:rPr>
        <w:t>平民</w:t>
      </w:r>
      <w:r w:rsidRPr="00BB6462">
        <w:rPr>
          <w:lang w:val="pt-BR"/>
        </w:rPr>
        <w:t>’</w:t>
      </w:r>
      <w:r w:rsidRPr="00BB6462">
        <w:rPr>
          <w:lang w:val="pt-BR"/>
        </w:rPr>
        <w:t>和</w:t>
      </w:r>
      <w:r w:rsidRPr="00BB6462">
        <w:rPr>
          <w:lang w:val="pt-BR"/>
        </w:rPr>
        <w:t>‘</w:t>
      </w:r>
      <w:r w:rsidRPr="00BB6462">
        <w:rPr>
          <w:lang w:val="pt-BR"/>
        </w:rPr>
        <w:t>人口</w:t>
      </w:r>
      <w:r w:rsidRPr="00BB6462">
        <w:rPr>
          <w:lang w:val="pt-BR"/>
        </w:rPr>
        <w:t>’</w:t>
      </w:r>
      <w:r w:rsidRPr="00BB6462">
        <w:rPr>
          <w:lang w:val="pt-BR"/>
        </w:rPr>
        <w:t>予以广泛定义是有意之举。这首先是人道主义法各项一般原则和规则</w:t>
      </w:r>
      <w:r w:rsidRPr="00BB6462">
        <w:rPr>
          <w:lang w:val="pt-BR"/>
        </w:rPr>
        <w:t>(</w:t>
      </w:r>
      <w:r w:rsidRPr="00BB6462">
        <w:rPr>
          <w:lang w:val="pt-BR"/>
        </w:rPr>
        <w:t>特别是禁止危害人类罪的规则</w:t>
      </w:r>
      <w:r w:rsidRPr="00BB6462">
        <w:rPr>
          <w:lang w:val="pt-BR"/>
        </w:rPr>
        <w:t>)</w:t>
      </w:r>
      <w:r w:rsidRPr="00BB6462">
        <w:rPr>
          <w:lang w:val="pt-BR"/>
        </w:rPr>
        <w:t>的目的和宗旨所保障的。</w:t>
      </w:r>
      <w:r w:rsidRPr="00BB6462">
        <w:rPr>
          <w:rFonts w:hint="eastAsia"/>
          <w:lang w:val="pt-BR"/>
        </w:rPr>
        <w:t>”</w:t>
      </w:r>
      <w:r w:rsidRPr="00BB6462">
        <w:rPr>
          <w:lang w:val="pt-BR"/>
        </w:rPr>
        <w:t>)</w:t>
      </w:r>
      <w:r w:rsidRPr="00BB6462">
        <w:rPr>
          <w:lang w:val="pt-BR"/>
        </w:rPr>
        <w:t>；</w:t>
      </w:r>
      <w:r w:rsidRPr="00BB6462">
        <w:rPr>
          <w:lang w:val="pt-BR"/>
        </w:rPr>
        <w:t>Kayishema 199</w:t>
      </w:r>
      <w:r>
        <w:rPr>
          <w:lang w:val="pt-BR"/>
        </w:rPr>
        <w:t>9,</w:t>
      </w:r>
      <w:r>
        <w:rPr>
          <w:rFonts w:hint="eastAsia"/>
          <w:lang w:val="pt-BR"/>
        </w:rPr>
        <w:t xml:space="preserve"> </w:t>
      </w:r>
      <w:r w:rsidRPr="00BB6462">
        <w:rPr>
          <w:lang w:val="pt-BR"/>
        </w:rPr>
        <w:t>前注</w:t>
      </w:r>
      <w:r>
        <w:rPr>
          <w:rFonts w:hint="eastAsia"/>
          <w:lang w:val="pt-BR"/>
        </w:rPr>
        <w:t xml:space="preserve">122, </w:t>
      </w:r>
      <w:r w:rsidRPr="00BB6462">
        <w:rPr>
          <w:lang w:val="pt-BR"/>
        </w:rPr>
        <w:t>第</w:t>
      </w:r>
      <w:r w:rsidRPr="00BB6462">
        <w:rPr>
          <w:lang w:val="pt-BR"/>
        </w:rPr>
        <w:t>127</w:t>
      </w:r>
      <w:r w:rsidRPr="00BB6462">
        <w:rPr>
          <w:lang w:val="pt-BR"/>
        </w:rPr>
        <w:t>段；</w:t>
      </w:r>
      <w:r w:rsidRPr="00BB6462">
        <w:rPr>
          <w:lang w:val="pt-BR"/>
        </w:rPr>
        <w:t>Tadić 199</w:t>
      </w:r>
      <w:r>
        <w:rPr>
          <w:lang w:val="pt-BR"/>
        </w:rPr>
        <w:t>7,</w:t>
      </w:r>
      <w:r>
        <w:rPr>
          <w:rFonts w:hint="eastAsia"/>
          <w:lang w:val="pt-BR"/>
        </w:rPr>
        <w:t xml:space="preserve"> </w:t>
      </w:r>
      <w:r w:rsidRPr="00BB6462">
        <w:rPr>
          <w:lang w:val="pt-BR"/>
        </w:rPr>
        <w:t>前注</w:t>
      </w:r>
      <w:r w:rsidRPr="00BB6462">
        <w:rPr>
          <w:rFonts w:hint="eastAsia"/>
          <w:lang w:val="pt-BR"/>
        </w:rPr>
        <w:t>12</w:t>
      </w:r>
      <w:r>
        <w:rPr>
          <w:rFonts w:hint="eastAsia"/>
          <w:lang w:val="pt-BR"/>
        </w:rPr>
        <w:t xml:space="preserve">1, </w:t>
      </w:r>
      <w:r w:rsidRPr="00BB6462">
        <w:rPr>
          <w:lang w:val="pt-BR"/>
        </w:rPr>
        <w:t>第</w:t>
      </w:r>
      <w:r w:rsidRPr="00BB6462">
        <w:rPr>
          <w:lang w:val="pt-BR"/>
        </w:rPr>
        <w:t>643</w:t>
      </w:r>
      <w:r w:rsidRPr="00BB6462">
        <w:rPr>
          <w:lang w:val="pt-BR"/>
        </w:rPr>
        <w:t>段。</w:t>
      </w:r>
    </w:p>
  </w:footnote>
  <w:footnote w:id="15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tab/>
      </w:r>
      <w:r w:rsidRPr="00736AA5">
        <w:rPr>
          <w:rStyle w:val="a3"/>
          <w:szCs w:val="21"/>
        </w:rPr>
        <w:footnoteRef/>
      </w:r>
      <w:r w:rsidRPr="00BB6462">
        <w:tab/>
      </w:r>
      <w:r w:rsidRPr="00BB6462">
        <w:rPr>
          <w:lang w:val="pt-BR"/>
        </w:rPr>
        <w:t>Katanga 200</w:t>
      </w:r>
      <w:r>
        <w:rPr>
          <w:lang w:val="pt-BR"/>
        </w:rPr>
        <w:t xml:space="preserve">8, </w:t>
      </w:r>
      <w:r w:rsidRPr="00BB6462">
        <w:rPr>
          <w:lang w:val="pt-BR"/>
        </w:rPr>
        <w:t>前注</w:t>
      </w:r>
      <w:r w:rsidRPr="00BB6462">
        <w:rPr>
          <w:lang w:val="pt-BR"/>
        </w:rPr>
        <w:t>12</w:t>
      </w:r>
      <w:r>
        <w:rPr>
          <w:lang w:val="pt-BR"/>
        </w:rPr>
        <w:t>6,</w:t>
      </w:r>
      <w:r>
        <w:rPr>
          <w:rFonts w:hint="eastAsia"/>
          <w:lang w:val="pt-BR"/>
        </w:rPr>
        <w:t xml:space="preserve"> </w:t>
      </w:r>
      <w:r w:rsidRPr="00BB6462">
        <w:rPr>
          <w:lang w:val="pt-BR"/>
        </w:rPr>
        <w:t>第</w:t>
      </w:r>
      <w:r w:rsidRPr="00BB6462">
        <w:rPr>
          <w:lang w:val="pt-BR"/>
        </w:rPr>
        <w:t>399</w:t>
      </w:r>
      <w:r w:rsidRPr="00BB6462">
        <w:rPr>
          <w:lang w:val="pt-BR"/>
        </w:rPr>
        <w:t>段</w:t>
      </w:r>
      <w:r w:rsidRPr="00BB6462">
        <w:rPr>
          <w:lang w:val="pt-BR"/>
        </w:rPr>
        <w:t>(</w:t>
      </w:r>
      <w:r w:rsidRPr="00BB6462">
        <w:rPr>
          <w:lang w:val="pt-BR"/>
        </w:rPr>
        <w:t>引用</w:t>
      </w:r>
      <w:r w:rsidRPr="00BB6462">
        <w:rPr>
          <w:lang w:val="pt-BR"/>
        </w:rPr>
        <w:t>Tadić 199</w:t>
      </w:r>
      <w:r>
        <w:rPr>
          <w:lang w:val="pt-BR"/>
        </w:rPr>
        <w:t xml:space="preserve">7, </w:t>
      </w:r>
      <w:r w:rsidRPr="00BB6462">
        <w:rPr>
          <w:lang w:val="pt-BR"/>
        </w:rPr>
        <w:t>前注</w:t>
      </w:r>
      <w:r w:rsidRPr="00BB6462">
        <w:rPr>
          <w:rFonts w:hint="eastAsia"/>
          <w:lang w:val="pt-BR"/>
        </w:rPr>
        <w:t>1</w:t>
      </w:r>
      <w:r>
        <w:rPr>
          <w:rFonts w:hint="eastAsia"/>
          <w:lang w:val="pt-BR"/>
        </w:rPr>
        <w:t xml:space="preserve">21, </w:t>
      </w:r>
      <w:r w:rsidRPr="00BB6462">
        <w:rPr>
          <w:lang w:val="pt-BR"/>
        </w:rPr>
        <w:t>第</w:t>
      </w:r>
      <w:r w:rsidRPr="00BB6462">
        <w:rPr>
          <w:lang w:val="pt-BR"/>
        </w:rPr>
        <w:t>635</w:t>
      </w:r>
      <w:r w:rsidRPr="00BB6462">
        <w:rPr>
          <w:lang w:val="pt-BR"/>
        </w:rPr>
        <w:t>段</w:t>
      </w:r>
      <w:r w:rsidRPr="00BB6462">
        <w:rPr>
          <w:lang w:val="pt-BR"/>
        </w:rPr>
        <w:t>)</w:t>
      </w:r>
      <w:r w:rsidRPr="00BB6462">
        <w:rPr>
          <w:lang w:val="pt-BR"/>
        </w:rPr>
        <w:t>；另见</w:t>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1103</w:t>
      </w:r>
      <w:r w:rsidRPr="00BB6462">
        <w:rPr>
          <w:lang w:val="pt-BR"/>
        </w:rPr>
        <w:t>段。</w:t>
      </w:r>
    </w:p>
  </w:footnote>
  <w:footnote w:id="15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rPr>
          <w:lang w:val="pt-BR"/>
        </w:rPr>
        <w:t>例如，见</w:t>
      </w:r>
      <w:r w:rsidRPr="00BB6462">
        <w:rPr>
          <w:lang w:val="pt-BR"/>
        </w:rPr>
        <w:t>Kunarac 200</w:t>
      </w:r>
      <w:r>
        <w:rPr>
          <w:lang w:val="pt-BR"/>
        </w:rPr>
        <w:t xml:space="preserve">1,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423</w:t>
      </w:r>
      <w:r w:rsidRPr="00BB6462">
        <w:rPr>
          <w:lang w:val="pt-BR"/>
        </w:rPr>
        <w:t>段。</w:t>
      </w:r>
    </w:p>
  </w:footnote>
  <w:footnote w:id="15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s-ES"/>
        </w:rPr>
      </w:pPr>
      <w:r w:rsidRPr="00BB6462">
        <w:rPr>
          <w:lang w:val="en-GB"/>
        </w:rPr>
        <w:tab/>
      </w:r>
      <w:r w:rsidRPr="00736AA5">
        <w:rPr>
          <w:rStyle w:val="a3"/>
          <w:szCs w:val="21"/>
        </w:rPr>
        <w:footnoteRef/>
      </w:r>
      <w:r w:rsidRPr="00BB6462">
        <w:rPr>
          <w:lang w:val="es-ES"/>
        </w:rPr>
        <w:tab/>
      </w:r>
      <w:r w:rsidRPr="00BB6462">
        <w:rPr>
          <w:lang w:val="pt-BR"/>
        </w:rPr>
        <w:t>Ruto 201</w:t>
      </w:r>
      <w:r>
        <w:rPr>
          <w:lang w:val="pt-BR"/>
        </w:rPr>
        <w:t xml:space="preserve">2, </w:t>
      </w:r>
      <w:r w:rsidRPr="00BB6462">
        <w:rPr>
          <w:lang w:val="pt-BR"/>
        </w:rPr>
        <w:t>前注</w:t>
      </w:r>
      <w:r>
        <w:rPr>
          <w:rFonts w:hint="eastAsia"/>
          <w:lang w:val="pt-BR"/>
        </w:rPr>
        <w:t xml:space="preserve">130, </w:t>
      </w:r>
      <w:r w:rsidRPr="00BB6462">
        <w:rPr>
          <w:lang w:val="pt-BR"/>
        </w:rPr>
        <w:t>第</w:t>
      </w:r>
      <w:r w:rsidRPr="00BB6462">
        <w:rPr>
          <w:lang w:val="pt-BR"/>
        </w:rPr>
        <w:t>164</w:t>
      </w:r>
      <w:r w:rsidRPr="00BB6462">
        <w:rPr>
          <w:lang w:val="pt-BR"/>
        </w:rPr>
        <w:t>段。</w:t>
      </w:r>
    </w:p>
  </w:footnote>
  <w:footnote w:id="15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es-ES"/>
        </w:rPr>
        <w:tab/>
      </w:r>
      <w:r w:rsidRPr="00736AA5">
        <w:rPr>
          <w:rStyle w:val="a3"/>
          <w:szCs w:val="21"/>
        </w:rPr>
        <w:footnoteRef/>
      </w:r>
      <w:r w:rsidRPr="00BB6462">
        <w:rPr>
          <w:lang w:val="en-GB"/>
        </w:rPr>
        <w:tab/>
      </w:r>
      <w:r w:rsidRPr="00BB6462">
        <w:rPr>
          <w:lang w:val="pt-BR"/>
        </w:rPr>
        <w:t>例如，见</w:t>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1105</w:t>
      </w:r>
      <w:r w:rsidRPr="00BB6462">
        <w:rPr>
          <w:lang w:val="pt-BR"/>
        </w:rPr>
        <w:t>段</w:t>
      </w:r>
      <w:r w:rsidRPr="00BB6462">
        <w:rPr>
          <w:lang w:val="pt-BR"/>
        </w:rPr>
        <w:t>(</w:t>
      </w:r>
      <w:r w:rsidRPr="00BB6462">
        <w:rPr>
          <w:lang w:val="pt-BR"/>
        </w:rPr>
        <w:t>裁定目标人口</w:t>
      </w:r>
      <w:r w:rsidRPr="00BB6462">
        <w:rPr>
          <w:rFonts w:hint="eastAsia"/>
          <w:lang w:val="pt-BR"/>
        </w:rPr>
        <w:t>“</w:t>
      </w:r>
      <w:r w:rsidRPr="00BB6462">
        <w:rPr>
          <w:lang w:val="pt-BR"/>
        </w:rPr>
        <w:t>必须主要由平民组成</w:t>
      </w:r>
      <w:r w:rsidRPr="00BB6462">
        <w:rPr>
          <w:rFonts w:hint="eastAsia"/>
          <w:lang w:val="pt-BR"/>
        </w:rPr>
        <w:t>”</w:t>
      </w:r>
      <w:r w:rsidRPr="00BB6462">
        <w:rPr>
          <w:lang w:val="pt-BR"/>
        </w:rPr>
        <w:t>，</w:t>
      </w:r>
      <w:r w:rsidRPr="00BB6462">
        <w:rPr>
          <w:rFonts w:hint="eastAsia"/>
          <w:lang w:val="pt-BR"/>
        </w:rPr>
        <w:t>“</w:t>
      </w:r>
      <w:r w:rsidRPr="00BB6462">
        <w:rPr>
          <w:lang w:val="pt-BR"/>
        </w:rPr>
        <w:t>因此，其中存在非平民人员不影响其平民人口的法律身份</w:t>
      </w:r>
      <w:r w:rsidRPr="00BB6462">
        <w:rPr>
          <w:rFonts w:hint="eastAsia"/>
          <w:lang w:val="pt-BR"/>
        </w:rPr>
        <w:t>”</w:t>
      </w:r>
      <w:r w:rsidRPr="00BB6462">
        <w:rPr>
          <w:lang w:val="pt-BR"/>
        </w:rPr>
        <w:t>)</w:t>
      </w:r>
      <w:r w:rsidRPr="00BB6462">
        <w:rPr>
          <w:lang w:val="pt-BR"/>
        </w:rPr>
        <w:t>；</w:t>
      </w:r>
      <w:r w:rsidRPr="00BB6462">
        <w:rPr>
          <w:lang w:val="pt-BR"/>
        </w:rPr>
        <w:t>Mrkšić 200</w:t>
      </w:r>
      <w:r>
        <w:rPr>
          <w:lang w:val="pt-BR"/>
        </w:rPr>
        <w:t xml:space="preserve">7, </w:t>
      </w:r>
      <w:r w:rsidRPr="00BB6462">
        <w:rPr>
          <w:lang w:val="pt-BR"/>
        </w:rPr>
        <w:t>前注</w:t>
      </w:r>
      <w:r>
        <w:rPr>
          <w:rFonts w:hint="eastAsia"/>
          <w:lang w:val="pt-BR"/>
        </w:rPr>
        <w:t xml:space="preserve">122, </w:t>
      </w:r>
      <w:r w:rsidRPr="00BB6462">
        <w:rPr>
          <w:lang w:val="pt-BR"/>
        </w:rPr>
        <w:t>第</w:t>
      </w:r>
      <w:r w:rsidRPr="00BB6462">
        <w:rPr>
          <w:lang w:val="pt-BR"/>
        </w:rPr>
        <w:t>442</w:t>
      </w:r>
      <w:r w:rsidRPr="00BB6462">
        <w:rPr>
          <w:lang w:val="pt-BR"/>
        </w:rPr>
        <w:t>段；</w:t>
      </w:r>
      <w:r w:rsidRPr="00BB6462">
        <w:rPr>
          <w:lang w:val="pt-BR"/>
        </w:rPr>
        <w:t>Kunarac 200</w:t>
      </w:r>
      <w:r>
        <w:rPr>
          <w:lang w:val="pt-BR"/>
        </w:rPr>
        <w:t xml:space="preserve">1,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425</w:t>
      </w:r>
      <w:r w:rsidRPr="00BB6462">
        <w:rPr>
          <w:lang w:val="pt-BR"/>
        </w:rPr>
        <w:t>段</w:t>
      </w:r>
      <w:r w:rsidRPr="00BB6462">
        <w:rPr>
          <w:lang w:val="pt-BR"/>
        </w:rPr>
        <w:t>(</w:t>
      </w:r>
      <w:r w:rsidRPr="00BB6462">
        <w:rPr>
          <w:rFonts w:hint="eastAsia"/>
          <w:lang w:val="pt-BR"/>
        </w:rPr>
        <w:t>“</w:t>
      </w:r>
      <w:r w:rsidRPr="00BB6462">
        <w:rPr>
          <w:lang w:val="pt-BR"/>
        </w:rPr>
        <w:t>其中存在一定数量的非平民人员不改变人口的性质</w:t>
      </w:r>
      <w:r w:rsidRPr="00BB6462">
        <w:rPr>
          <w:rFonts w:hint="eastAsia"/>
          <w:lang w:val="pt-BR"/>
        </w:rPr>
        <w:t>”</w:t>
      </w:r>
      <w:r w:rsidRPr="00BB6462">
        <w:rPr>
          <w:lang w:val="pt-BR"/>
        </w:rPr>
        <w:t>)</w:t>
      </w:r>
      <w:r w:rsidRPr="00BB6462">
        <w:rPr>
          <w:lang w:val="pt-BR"/>
        </w:rPr>
        <w:t>；</w:t>
      </w:r>
      <w:r w:rsidRPr="00BB6462">
        <w:rPr>
          <w:lang w:val="pt-BR"/>
        </w:rPr>
        <w:t>Kordić 200</w:t>
      </w:r>
      <w:r>
        <w:rPr>
          <w:lang w:val="pt-BR"/>
        </w:rPr>
        <w:t xml:space="preserve">1, </w:t>
      </w:r>
      <w:r w:rsidRPr="00BB6462">
        <w:rPr>
          <w:lang w:val="pt-BR"/>
        </w:rPr>
        <w:t>前注</w:t>
      </w:r>
      <w:r w:rsidRPr="00BB6462">
        <w:rPr>
          <w:lang w:val="pt-BR"/>
        </w:rPr>
        <w:t>10</w:t>
      </w:r>
      <w:r>
        <w:rPr>
          <w:lang w:val="pt-BR"/>
        </w:rPr>
        <w:t xml:space="preserve">5, </w:t>
      </w:r>
      <w:r w:rsidRPr="00BB6462">
        <w:rPr>
          <w:lang w:val="pt-BR"/>
        </w:rPr>
        <w:t>第</w:t>
      </w:r>
      <w:r w:rsidRPr="00BB6462">
        <w:rPr>
          <w:lang w:val="pt-BR"/>
        </w:rPr>
        <w:t>180</w:t>
      </w:r>
      <w:r w:rsidRPr="00BB6462">
        <w:rPr>
          <w:lang w:val="pt-BR"/>
        </w:rPr>
        <w:t>段；</w:t>
      </w:r>
      <w:r w:rsidRPr="00BB6462">
        <w:rPr>
          <w:lang w:val="pt-BR"/>
        </w:rPr>
        <w:t>Blaškić 200</w:t>
      </w:r>
      <w:r>
        <w:rPr>
          <w:lang w:val="pt-BR"/>
        </w:rPr>
        <w:t xml:space="preserve">0, </w:t>
      </w:r>
      <w:r w:rsidRPr="00BB6462">
        <w:rPr>
          <w:lang w:val="pt-BR"/>
        </w:rPr>
        <w:t>前注</w:t>
      </w:r>
      <w:r w:rsidRPr="00BB6462">
        <w:rPr>
          <w:lang w:val="pt-BR"/>
        </w:rPr>
        <w:t>12</w:t>
      </w:r>
      <w:r>
        <w:rPr>
          <w:lang w:val="pt-BR"/>
        </w:rPr>
        <w:t xml:space="preserve">1, </w:t>
      </w:r>
      <w:r w:rsidRPr="00BB6462">
        <w:rPr>
          <w:lang w:val="pt-BR"/>
        </w:rPr>
        <w:t>第</w:t>
      </w:r>
      <w:r w:rsidRPr="00BB6462">
        <w:rPr>
          <w:lang w:val="pt-BR"/>
        </w:rPr>
        <w:t>214</w:t>
      </w:r>
      <w:r w:rsidRPr="00BB6462">
        <w:rPr>
          <w:lang w:val="pt-BR"/>
        </w:rPr>
        <w:t>段</w:t>
      </w:r>
      <w:r w:rsidRPr="00BB6462">
        <w:rPr>
          <w:lang w:val="pt-BR"/>
        </w:rPr>
        <w:t>(</w:t>
      </w:r>
      <w:r w:rsidRPr="00BB6462">
        <w:rPr>
          <w:rFonts w:hint="eastAsia"/>
          <w:lang w:val="pt-BR"/>
        </w:rPr>
        <w:t>“</w:t>
      </w:r>
      <w:r w:rsidRPr="00BB6462">
        <w:rPr>
          <w:spacing w:val="-2"/>
          <w:lang w:val="pt-BR"/>
        </w:rPr>
        <w:t>被蓄意针对的平民人口中存在士兵不改变这一人口的平民性质</w:t>
      </w:r>
      <w:r w:rsidRPr="00BB6462">
        <w:rPr>
          <w:rFonts w:hint="eastAsia"/>
          <w:spacing w:val="-2"/>
          <w:lang w:val="pt-BR"/>
        </w:rPr>
        <w:t>”</w:t>
      </w:r>
      <w:r w:rsidRPr="00BB6462">
        <w:rPr>
          <w:lang w:val="pt-BR"/>
        </w:rPr>
        <w:t>)</w:t>
      </w:r>
      <w:r w:rsidRPr="00BB6462">
        <w:rPr>
          <w:lang w:val="pt-BR"/>
        </w:rPr>
        <w:t>；</w:t>
      </w:r>
      <w:r w:rsidRPr="00BB6462">
        <w:rPr>
          <w:lang w:val="pt-BR"/>
        </w:rPr>
        <w:t>Kupreškić 200</w:t>
      </w:r>
      <w:r>
        <w:rPr>
          <w:lang w:val="pt-BR"/>
        </w:rPr>
        <w:t xml:space="preserve">0, </w:t>
      </w:r>
      <w:r w:rsidRPr="00BB6462">
        <w:rPr>
          <w:lang w:val="pt-BR"/>
        </w:rPr>
        <w:t>前注</w:t>
      </w:r>
      <w:r w:rsidRPr="00BB6462">
        <w:rPr>
          <w:lang w:val="pt-BR"/>
        </w:rPr>
        <w:t>9</w:t>
      </w:r>
      <w:r>
        <w:rPr>
          <w:lang w:val="pt-BR"/>
        </w:rPr>
        <w:t xml:space="preserve">7, </w:t>
      </w:r>
      <w:r w:rsidRPr="00BB6462">
        <w:rPr>
          <w:lang w:val="pt-BR"/>
        </w:rPr>
        <w:t>第</w:t>
      </w:r>
      <w:r w:rsidRPr="00BB6462">
        <w:rPr>
          <w:lang w:val="pt-BR"/>
        </w:rPr>
        <w:t>549</w:t>
      </w:r>
      <w:r w:rsidRPr="00BB6462">
        <w:rPr>
          <w:lang w:val="pt-BR"/>
        </w:rPr>
        <w:t>段</w:t>
      </w:r>
      <w:r w:rsidRPr="00BB6462">
        <w:rPr>
          <w:lang w:val="pt-BR"/>
        </w:rPr>
        <w:t>(</w:t>
      </w:r>
      <w:r w:rsidRPr="00BB6462">
        <w:rPr>
          <w:rFonts w:hint="eastAsia"/>
          <w:lang w:val="pt-BR"/>
        </w:rPr>
        <w:t>“</w:t>
      </w:r>
      <w:r w:rsidRPr="00BB6462">
        <w:rPr>
          <w:spacing w:val="-2"/>
          <w:lang w:val="pt-BR"/>
        </w:rPr>
        <w:t>某人口中存在活跃参与冲突的人员不应影响将这一人口划为平民</w:t>
      </w:r>
      <w:r w:rsidRPr="00BB6462">
        <w:rPr>
          <w:rFonts w:hint="eastAsia"/>
          <w:spacing w:val="-2"/>
          <w:lang w:val="pt-BR"/>
        </w:rPr>
        <w:t>”</w:t>
      </w:r>
      <w:r w:rsidRPr="00BB6462">
        <w:rPr>
          <w:spacing w:val="-2"/>
          <w:lang w:val="pt-BR"/>
        </w:rPr>
        <w:t>)</w:t>
      </w:r>
      <w:r w:rsidRPr="00BB6462">
        <w:rPr>
          <w:lang w:val="pt-BR"/>
        </w:rPr>
        <w:t>；</w:t>
      </w:r>
      <w:r w:rsidRPr="00BB6462">
        <w:rPr>
          <w:lang w:val="pt-BR"/>
        </w:rPr>
        <w:t>Kayishema 199</w:t>
      </w:r>
      <w:r>
        <w:rPr>
          <w:lang w:val="pt-BR"/>
        </w:rPr>
        <w:t xml:space="preserve">9, </w:t>
      </w:r>
      <w:r w:rsidRPr="00BB6462">
        <w:rPr>
          <w:lang w:val="pt-BR"/>
        </w:rPr>
        <w:t>前注</w:t>
      </w:r>
      <w:r w:rsidRPr="00BB6462">
        <w:rPr>
          <w:lang w:val="pt-BR"/>
        </w:rPr>
        <w:t>12</w:t>
      </w:r>
      <w:r>
        <w:rPr>
          <w:lang w:val="pt-BR"/>
        </w:rPr>
        <w:t xml:space="preserve">2, </w:t>
      </w:r>
      <w:r w:rsidRPr="00BB6462">
        <w:rPr>
          <w:lang w:val="pt-BR"/>
        </w:rPr>
        <w:t>第</w:t>
      </w:r>
      <w:r w:rsidRPr="00BB6462">
        <w:rPr>
          <w:lang w:val="pt-BR"/>
        </w:rPr>
        <w:t>128</w:t>
      </w:r>
      <w:r w:rsidRPr="00BB6462">
        <w:rPr>
          <w:lang w:val="pt-BR"/>
        </w:rPr>
        <w:t>段；</w:t>
      </w:r>
      <w:r w:rsidRPr="00BB6462">
        <w:rPr>
          <w:lang w:val="pt-BR"/>
        </w:rPr>
        <w:t>Akayesu 199</w:t>
      </w:r>
      <w:r>
        <w:rPr>
          <w:lang w:val="pt-BR"/>
        </w:rPr>
        <w:t xml:space="preserve">8, </w:t>
      </w:r>
      <w:r w:rsidRPr="00BB6462">
        <w:rPr>
          <w:lang w:val="pt-BR"/>
        </w:rPr>
        <w:t>前注</w:t>
      </w:r>
      <w:r w:rsidRPr="00BB6462">
        <w:rPr>
          <w:rFonts w:hint="eastAsia"/>
        </w:rPr>
        <w:t>12</w:t>
      </w:r>
      <w:r>
        <w:rPr>
          <w:rFonts w:hint="eastAsia"/>
        </w:rPr>
        <w:t xml:space="preserve">0, </w:t>
      </w:r>
      <w:r w:rsidRPr="00BB6462">
        <w:rPr>
          <w:lang w:val="pt-BR"/>
        </w:rPr>
        <w:t>第</w:t>
      </w:r>
      <w:r w:rsidRPr="00BB6462">
        <w:rPr>
          <w:lang w:val="pt-BR"/>
        </w:rPr>
        <w:t>582</w:t>
      </w:r>
      <w:r w:rsidRPr="00BB6462">
        <w:rPr>
          <w:lang w:val="pt-BR"/>
        </w:rPr>
        <w:t>段</w:t>
      </w:r>
      <w:r w:rsidRPr="00BB6462">
        <w:rPr>
          <w:lang w:val="pt-BR"/>
        </w:rPr>
        <w:t>(</w:t>
      </w:r>
      <w:r w:rsidRPr="00BB6462">
        <w:rPr>
          <w:rFonts w:hint="eastAsia"/>
          <w:lang w:val="pt-BR"/>
        </w:rPr>
        <w:t>“</w:t>
      </w:r>
      <w:r w:rsidRPr="00BB6462">
        <w:rPr>
          <w:lang w:val="pt-BR"/>
        </w:rPr>
        <w:t>若平民人口中有一定数量的人员</w:t>
      </w:r>
      <w:r w:rsidRPr="00BB6462">
        <w:rPr>
          <w:spacing w:val="-2"/>
          <w:lang w:val="pt-BR"/>
        </w:rPr>
        <w:t>不符合平民的定义，这并不剥夺这一人口的平民性质</w:t>
      </w:r>
      <w:r w:rsidRPr="00BB6462">
        <w:rPr>
          <w:rFonts w:hint="eastAsia"/>
          <w:spacing w:val="-2"/>
          <w:lang w:val="pt-BR"/>
        </w:rPr>
        <w:t>”</w:t>
      </w:r>
      <w:r w:rsidRPr="00BB6462">
        <w:rPr>
          <w:spacing w:val="-2"/>
          <w:lang w:val="pt-BR"/>
        </w:rPr>
        <w:t>)</w:t>
      </w:r>
      <w:r w:rsidRPr="00BB6462">
        <w:rPr>
          <w:spacing w:val="-2"/>
          <w:lang w:val="pt-BR"/>
        </w:rPr>
        <w:t>；</w:t>
      </w:r>
      <w:r w:rsidRPr="00BB6462">
        <w:rPr>
          <w:spacing w:val="-2"/>
          <w:lang w:val="pt-BR"/>
        </w:rPr>
        <w:t>Tadić 199</w:t>
      </w:r>
      <w:r>
        <w:rPr>
          <w:spacing w:val="-2"/>
          <w:lang w:val="pt-BR"/>
        </w:rPr>
        <w:t xml:space="preserve">7, </w:t>
      </w:r>
      <w:r w:rsidRPr="00BB6462">
        <w:rPr>
          <w:spacing w:val="-2"/>
          <w:lang w:val="pt-BR"/>
        </w:rPr>
        <w:t>前注</w:t>
      </w:r>
      <w:r w:rsidRPr="00BB6462">
        <w:rPr>
          <w:rFonts w:hint="eastAsia"/>
          <w:spacing w:val="-2"/>
          <w:lang w:val="pt-BR"/>
        </w:rPr>
        <w:t>12</w:t>
      </w:r>
      <w:r>
        <w:rPr>
          <w:rFonts w:hint="eastAsia"/>
          <w:spacing w:val="-2"/>
          <w:lang w:val="pt-BR"/>
        </w:rPr>
        <w:t xml:space="preserve">1, </w:t>
      </w:r>
      <w:r w:rsidRPr="00BB6462">
        <w:rPr>
          <w:spacing w:val="-2"/>
          <w:lang w:val="pt-BR"/>
        </w:rPr>
        <w:t>第</w:t>
      </w:r>
      <w:r w:rsidRPr="00BB6462">
        <w:rPr>
          <w:spacing w:val="-2"/>
          <w:lang w:val="pt-BR"/>
        </w:rPr>
        <w:t>638</w:t>
      </w:r>
      <w:r w:rsidRPr="00BB6462">
        <w:rPr>
          <w:spacing w:val="-2"/>
          <w:lang w:val="pt-BR"/>
        </w:rPr>
        <w:t>段</w:t>
      </w:r>
      <w:r w:rsidRPr="00BB6462">
        <w:rPr>
          <w:lang w:val="pt-BR"/>
        </w:rPr>
        <w:t>。</w:t>
      </w:r>
    </w:p>
  </w:footnote>
  <w:footnote w:id="15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《一九四九年八月十二日日内瓦四公约关于保护国际性武装冲突受难者的附加议定书》</w:t>
      </w:r>
      <w:r w:rsidRPr="00BB6462">
        <w:rPr>
          <w:lang w:val="pt-BR"/>
        </w:rPr>
        <w:t>(</w:t>
      </w:r>
      <w:r w:rsidRPr="00BB6462">
        <w:rPr>
          <w:lang w:val="pt-BR"/>
        </w:rPr>
        <w:t>《第一议定书》</w:t>
      </w:r>
      <w:r w:rsidRPr="00BB6462">
        <w:rPr>
          <w:lang w:val="pt-BR"/>
        </w:rPr>
        <w:t>)</w:t>
      </w:r>
      <w:r w:rsidRPr="00BB6462">
        <w:rPr>
          <w:lang w:val="pt-BR"/>
        </w:rPr>
        <w:t>，第五十条第</w:t>
      </w:r>
      <w:r w:rsidRPr="00BB6462">
        <w:rPr>
          <w:lang w:val="pt-BR"/>
        </w:rPr>
        <w:t>(</w:t>
      </w:r>
      <w:r w:rsidRPr="00BB6462">
        <w:rPr>
          <w:lang w:val="pt-BR"/>
        </w:rPr>
        <w:t>三</w:t>
      </w:r>
      <w:r w:rsidRPr="00BB6462">
        <w:rPr>
          <w:lang w:val="pt-BR"/>
        </w:rPr>
        <w:t>)</w:t>
      </w:r>
      <w:r w:rsidRPr="00BB6462">
        <w:rPr>
          <w:lang w:val="pt-BR"/>
        </w:rPr>
        <w:t>款，</w:t>
      </w:r>
      <w:r w:rsidRPr="00BB6462">
        <w:rPr>
          <w:lang w:val="pt-BR"/>
        </w:rPr>
        <w:t>1977</w:t>
      </w:r>
      <w:r w:rsidRPr="00BB6462">
        <w:rPr>
          <w:lang w:val="pt-BR"/>
        </w:rPr>
        <w:t>年</w:t>
      </w:r>
      <w:r w:rsidRPr="00BB6462">
        <w:rPr>
          <w:lang w:val="pt-BR"/>
        </w:rPr>
        <w:t>6</w:t>
      </w:r>
      <w:r w:rsidRPr="00BB6462">
        <w:rPr>
          <w:lang w:val="pt-BR"/>
        </w:rPr>
        <w:t>月</w:t>
      </w:r>
      <w:r w:rsidRPr="00BB6462">
        <w:rPr>
          <w:lang w:val="pt-BR"/>
        </w:rPr>
        <w:t>8</w:t>
      </w:r>
      <w:r w:rsidRPr="00BB6462">
        <w:rPr>
          <w:lang w:val="pt-BR"/>
        </w:rPr>
        <w:t>日订于日内瓦，联合国，《条约汇编》，第</w:t>
      </w:r>
      <w:r w:rsidRPr="00BB6462">
        <w:rPr>
          <w:lang w:val="pt-BR"/>
        </w:rPr>
        <w:t>1125</w:t>
      </w:r>
      <w:r w:rsidRPr="00BB6462">
        <w:rPr>
          <w:lang w:val="pt-BR"/>
        </w:rPr>
        <w:t>卷，第</w:t>
      </w:r>
      <w:r w:rsidRPr="00BB6462">
        <w:rPr>
          <w:lang w:val="pt-BR"/>
        </w:rPr>
        <w:t>3</w:t>
      </w:r>
      <w:r w:rsidRPr="00BB6462">
        <w:rPr>
          <w:lang w:val="pt-BR"/>
        </w:rPr>
        <w:t>页。</w:t>
      </w:r>
    </w:p>
  </w:footnote>
  <w:footnote w:id="16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Kayishema 199</w:t>
      </w:r>
      <w:r>
        <w:rPr>
          <w:lang w:val="pt-BR"/>
        </w:rPr>
        <w:t xml:space="preserve">9, </w:t>
      </w:r>
      <w:r w:rsidRPr="00BB6462">
        <w:rPr>
          <w:lang w:val="pt-BR"/>
        </w:rPr>
        <w:t>前注</w:t>
      </w:r>
      <w:r w:rsidRPr="00BB6462">
        <w:rPr>
          <w:lang w:val="pt-BR"/>
        </w:rPr>
        <w:t>12</w:t>
      </w:r>
      <w:r>
        <w:rPr>
          <w:lang w:val="pt-BR"/>
        </w:rPr>
        <w:t xml:space="preserve">2, </w:t>
      </w:r>
      <w:r w:rsidRPr="00BB6462">
        <w:rPr>
          <w:lang w:val="pt-BR"/>
        </w:rPr>
        <w:t>第</w:t>
      </w:r>
      <w:r w:rsidRPr="00BB6462">
        <w:rPr>
          <w:lang w:val="pt-BR"/>
        </w:rPr>
        <w:t>127</w:t>
      </w:r>
      <w:r w:rsidRPr="00BB6462">
        <w:rPr>
          <w:lang w:val="pt-BR"/>
        </w:rPr>
        <w:t>段</w:t>
      </w:r>
      <w:r w:rsidRPr="00BB6462">
        <w:rPr>
          <w:lang w:val="pt-BR"/>
        </w:rPr>
        <w:t>(</w:t>
      </w:r>
      <w:r w:rsidRPr="00BB6462">
        <w:rPr>
          <w:lang w:val="pt-BR"/>
        </w:rPr>
        <w:t>指</w:t>
      </w:r>
      <w:r w:rsidRPr="00BB6462">
        <w:rPr>
          <w:rFonts w:hint="eastAsia"/>
          <w:lang w:val="pt-BR"/>
        </w:rPr>
        <w:t>“</w:t>
      </w:r>
      <w:r w:rsidRPr="00BB6462">
        <w:rPr>
          <w:lang w:val="pt-BR"/>
        </w:rPr>
        <w:t>所有人员，负责维护公共秩序并有合法手段行使武力的人员除外。举例而言，非平民包括：卢旺达武装部队、卢旺达爱国阵线、警察和国家宪兵队的成员。</w:t>
      </w:r>
      <w:r w:rsidRPr="00BB6462">
        <w:rPr>
          <w:rFonts w:hint="eastAsia"/>
          <w:lang w:val="pt-BR"/>
        </w:rPr>
        <w:t>”</w:t>
      </w:r>
      <w:r w:rsidRPr="00BB6462">
        <w:rPr>
          <w:lang w:val="pt-BR"/>
        </w:rPr>
        <w:t>)</w:t>
      </w:r>
      <w:r w:rsidRPr="00BB6462">
        <w:rPr>
          <w:lang w:val="pt-BR"/>
        </w:rPr>
        <w:t>。</w:t>
      </w:r>
    </w:p>
  </w:footnote>
  <w:footnote w:id="16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Blaškić 200</w:t>
      </w:r>
      <w:r>
        <w:rPr>
          <w:lang w:val="pt-BR"/>
        </w:rPr>
        <w:t xml:space="preserve">0, </w:t>
      </w:r>
      <w:r w:rsidRPr="00BB6462">
        <w:rPr>
          <w:lang w:val="pt-BR"/>
        </w:rPr>
        <w:t>前注</w:t>
      </w:r>
      <w:r w:rsidRPr="00BB6462">
        <w:rPr>
          <w:lang w:val="pt-BR"/>
        </w:rPr>
        <w:t>12</w:t>
      </w:r>
      <w:r>
        <w:rPr>
          <w:lang w:val="pt-BR"/>
        </w:rPr>
        <w:t xml:space="preserve">1, </w:t>
      </w:r>
      <w:r w:rsidRPr="00BB6462">
        <w:rPr>
          <w:lang w:val="pt-BR"/>
        </w:rPr>
        <w:t>第</w:t>
      </w:r>
      <w:r w:rsidRPr="00BB6462">
        <w:rPr>
          <w:lang w:val="pt-BR"/>
        </w:rPr>
        <w:t>214</w:t>
      </w:r>
      <w:r w:rsidRPr="00BB6462">
        <w:rPr>
          <w:lang w:val="pt-BR"/>
        </w:rPr>
        <w:t>段</w:t>
      </w:r>
      <w:r w:rsidRPr="00BB6462">
        <w:rPr>
          <w:lang w:val="pt-BR"/>
        </w:rPr>
        <w:t>(</w:t>
      </w:r>
      <w:r w:rsidRPr="00BB6462">
        <w:rPr>
          <w:rFonts w:hint="eastAsia"/>
          <w:lang w:val="pt-BR"/>
        </w:rPr>
        <w:t>“</w:t>
      </w:r>
      <w:r w:rsidRPr="00BB6462">
        <w:rPr>
          <w:lang w:val="pt-BR"/>
        </w:rPr>
        <w:t>在确定受害者是否属于平民时，必须考虑其在犯罪实施时的具体情况而非法律身份。</w:t>
      </w:r>
      <w:r w:rsidRPr="00BB6462">
        <w:rPr>
          <w:rFonts w:hint="eastAsia"/>
          <w:lang w:val="pt-BR"/>
        </w:rPr>
        <w:t>”</w:t>
      </w:r>
      <w:r w:rsidRPr="00BB6462">
        <w:rPr>
          <w:lang w:val="pt-BR"/>
        </w:rPr>
        <w:t>)</w:t>
      </w:r>
      <w:r w:rsidRPr="00BB6462">
        <w:rPr>
          <w:lang w:val="pt-BR"/>
        </w:rPr>
        <w:t>；另见</w:t>
      </w:r>
      <w:r w:rsidRPr="00BB6462">
        <w:rPr>
          <w:lang w:val="pt-BR"/>
        </w:rPr>
        <w:t>Kordić 200</w:t>
      </w:r>
      <w:r>
        <w:rPr>
          <w:lang w:val="pt-BR"/>
        </w:rPr>
        <w:t xml:space="preserve">1, </w:t>
      </w:r>
      <w:r w:rsidRPr="00BB6462">
        <w:rPr>
          <w:lang w:val="pt-BR"/>
        </w:rPr>
        <w:t>前注</w:t>
      </w:r>
      <w:r w:rsidRPr="00BB6462">
        <w:rPr>
          <w:lang w:val="pt-BR"/>
        </w:rPr>
        <w:t>10</w:t>
      </w:r>
      <w:r>
        <w:rPr>
          <w:lang w:val="pt-BR"/>
        </w:rPr>
        <w:t xml:space="preserve">5, </w:t>
      </w:r>
      <w:r w:rsidRPr="00BB6462">
        <w:rPr>
          <w:lang w:val="pt-BR"/>
        </w:rPr>
        <w:t>第</w:t>
      </w:r>
      <w:r w:rsidRPr="00BB6462">
        <w:rPr>
          <w:lang w:val="pt-BR"/>
        </w:rPr>
        <w:t>180</w:t>
      </w:r>
      <w:r w:rsidRPr="00BB6462">
        <w:rPr>
          <w:lang w:val="pt-BR"/>
        </w:rPr>
        <w:t>段</w:t>
      </w:r>
      <w:r w:rsidRPr="00BB6462">
        <w:rPr>
          <w:lang w:val="pt-BR"/>
        </w:rPr>
        <w:t>(</w:t>
      </w:r>
      <w:r w:rsidRPr="00BB6462">
        <w:rPr>
          <w:rFonts w:hint="eastAsia"/>
          <w:lang w:val="pt-BR"/>
        </w:rPr>
        <w:t>“</w:t>
      </w:r>
      <w:r w:rsidRPr="00BB6462">
        <w:rPr>
          <w:lang w:val="pt-BR"/>
        </w:rPr>
        <w:t>曾经实施过抵抗行为的个人在有些情况下也可成为危害人类罪的受害者</w:t>
      </w:r>
      <w:r w:rsidRPr="00BB6462">
        <w:rPr>
          <w:rFonts w:hint="eastAsia"/>
          <w:lang w:val="pt-BR"/>
        </w:rPr>
        <w:t>”</w:t>
      </w:r>
      <w:r w:rsidRPr="00BB6462">
        <w:rPr>
          <w:lang w:val="pt-BR"/>
        </w:rPr>
        <w:t>)</w:t>
      </w:r>
      <w:r w:rsidRPr="00BB6462">
        <w:rPr>
          <w:lang w:val="pt-BR"/>
        </w:rPr>
        <w:t>；</w:t>
      </w:r>
      <w:r w:rsidRPr="00BB6462">
        <w:rPr>
          <w:lang w:val="pt-BR"/>
        </w:rPr>
        <w:t>Akayesu 199</w:t>
      </w:r>
      <w:r>
        <w:rPr>
          <w:lang w:val="pt-BR"/>
        </w:rPr>
        <w:t xml:space="preserve">8, </w:t>
      </w:r>
      <w:r w:rsidRPr="00BB6462">
        <w:rPr>
          <w:lang w:val="pt-BR"/>
        </w:rPr>
        <w:t>前注</w:t>
      </w:r>
      <w:r w:rsidRPr="00BB6462">
        <w:rPr>
          <w:rFonts w:hint="eastAsia"/>
        </w:rPr>
        <w:t>12</w:t>
      </w:r>
      <w:r>
        <w:rPr>
          <w:rFonts w:hint="eastAsia"/>
        </w:rPr>
        <w:t xml:space="preserve">0, </w:t>
      </w:r>
      <w:r w:rsidRPr="00BB6462">
        <w:rPr>
          <w:lang w:val="pt-BR"/>
        </w:rPr>
        <w:t>第</w:t>
      </w:r>
      <w:r w:rsidRPr="00BB6462">
        <w:rPr>
          <w:lang w:val="pt-BR"/>
        </w:rPr>
        <w:t>582</w:t>
      </w:r>
      <w:r w:rsidRPr="00BB6462">
        <w:rPr>
          <w:lang w:val="pt-BR"/>
        </w:rPr>
        <w:t>段</w:t>
      </w:r>
      <w:r w:rsidRPr="00BB6462">
        <w:rPr>
          <w:lang w:val="pt-BR"/>
        </w:rPr>
        <w:t>(</w:t>
      </w:r>
      <w:r w:rsidRPr="00BB6462">
        <w:rPr>
          <w:lang w:val="pt-BR"/>
        </w:rPr>
        <w:t>认定平民人口包括</w:t>
      </w:r>
      <w:r w:rsidRPr="00BB6462">
        <w:rPr>
          <w:rFonts w:hint="eastAsia"/>
          <w:lang w:val="pt-BR"/>
        </w:rPr>
        <w:t>“</w:t>
      </w:r>
      <w:r w:rsidRPr="00BB6462">
        <w:rPr>
          <w:lang w:val="pt-BR"/>
        </w:rPr>
        <w:t>放下武器的武装部队成员和丧失战斗力的人员</w:t>
      </w:r>
      <w:r w:rsidRPr="00BB6462">
        <w:rPr>
          <w:rFonts w:hint="eastAsia"/>
          <w:lang w:val="pt-BR"/>
        </w:rPr>
        <w:t>”</w:t>
      </w:r>
      <w:r w:rsidRPr="00BB6462">
        <w:rPr>
          <w:lang w:val="pt-BR"/>
        </w:rPr>
        <w:t>)</w:t>
      </w:r>
      <w:r w:rsidRPr="00BB6462">
        <w:rPr>
          <w:lang w:val="pt-BR"/>
        </w:rPr>
        <w:t>。</w:t>
      </w:r>
    </w:p>
  </w:footnote>
  <w:footnote w:id="16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rPr>
          <w:lang w:val="pt-BR"/>
        </w:rPr>
        <w:t>Kunarac 200</w:t>
      </w:r>
      <w:r>
        <w:rPr>
          <w:lang w:val="pt-BR"/>
        </w:rPr>
        <w:t xml:space="preserve">1,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426</w:t>
      </w:r>
      <w:r w:rsidRPr="00BB6462">
        <w:rPr>
          <w:lang w:val="pt-BR"/>
        </w:rPr>
        <w:t>段。</w:t>
      </w:r>
    </w:p>
  </w:footnote>
  <w:footnote w:id="16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en-GB"/>
        </w:rPr>
        <w:tab/>
      </w:r>
      <w:r w:rsidRPr="00736AA5">
        <w:rPr>
          <w:rStyle w:val="a3"/>
          <w:szCs w:val="21"/>
        </w:rPr>
        <w:footnoteRef/>
      </w:r>
      <w:r w:rsidRPr="00BB6462">
        <w:rPr>
          <w:lang w:val="en-GB"/>
        </w:rPr>
        <w:tab/>
      </w:r>
      <w:r w:rsidRPr="00BB6462">
        <w:rPr>
          <w:lang w:val="pt-BR"/>
        </w:rPr>
        <w:t>见</w:t>
      </w:r>
      <w:r w:rsidRPr="00BB6462">
        <w:rPr>
          <w:lang w:val="pt-BR"/>
        </w:rPr>
        <w:t>2010</w:t>
      </w:r>
      <w:r w:rsidRPr="0041050A">
        <w:rPr>
          <w:rFonts w:ascii="楷体_GB2312" w:eastAsia="楷体_GB2312"/>
          <w:lang w:val="pt-BR"/>
        </w:rPr>
        <w:t>年肯尼亚授权决定</w:t>
      </w:r>
      <w:r w:rsidRPr="00BB6462">
        <w:rPr>
          <w:lang w:val="pt-BR"/>
        </w:rPr>
        <w:t>，前注</w:t>
      </w:r>
      <w:r w:rsidRPr="00BB6462">
        <w:rPr>
          <w:rFonts w:hint="eastAsia"/>
          <w:lang w:val="pt-BR"/>
        </w:rPr>
        <w:t>12</w:t>
      </w:r>
      <w:r>
        <w:rPr>
          <w:rFonts w:hint="eastAsia"/>
          <w:lang w:val="pt-BR"/>
        </w:rPr>
        <w:t xml:space="preserve">5, </w:t>
      </w:r>
      <w:r w:rsidRPr="00BB6462">
        <w:rPr>
          <w:lang w:val="pt-BR"/>
        </w:rPr>
        <w:t>第</w:t>
      </w:r>
      <w:r w:rsidRPr="00BB6462">
        <w:rPr>
          <w:lang w:val="pt-BR"/>
        </w:rPr>
        <w:t>82</w:t>
      </w:r>
      <w:r w:rsidRPr="00BB6462">
        <w:rPr>
          <w:lang w:val="pt-BR"/>
        </w:rPr>
        <w:t>段；</w:t>
      </w:r>
      <w:r w:rsidRPr="00BB6462">
        <w:rPr>
          <w:lang w:val="pt-BR"/>
        </w:rPr>
        <w:t>Bemba 200</w:t>
      </w:r>
      <w:r>
        <w:rPr>
          <w:lang w:val="pt-BR"/>
        </w:rPr>
        <w:t xml:space="preserve">9, </w:t>
      </w:r>
      <w:r w:rsidRPr="00BB6462">
        <w:rPr>
          <w:lang w:val="pt-BR"/>
        </w:rPr>
        <w:t>前注</w:t>
      </w:r>
      <w:r w:rsidRPr="00BB6462">
        <w:rPr>
          <w:rFonts w:hint="eastAsia"/>
          <w:lang w:val="pt-BR"/>
        </w:rPr>
        <w:t>12</w:t>
      </w:r>
      <w:r>
        <w:rPr>
          <w:rFonts w:hint="eastAsia"/>
          <w:lang w:val="pt-BR"/>
        </w:rPr>
        <w:t xml:space="preserve">5, </w:t>
      </w:r>
      <w:r w:rsidRPr="00BB6462">
        <w:rPr>
          <w:lang w:val="pt-BR"/>
        </w:rPr>
        <w:t>第</w:t>
      </w:r>
      <w:r w:rsidRPr="00BB6462">
        <w:rPr>
          <w:lang w:val="pt-BR"/>
        </w:rPr>
        <w:t>77</w:t>
      </w:r>
      <w:r w:rsidRPr="00BB6462">
        <w:rPr>
          <w:lang w:val="pt-BR"/>
        </w:rPr>
        <w:t>段；</w:t>
      </w:r>
      <w:r w:rsidRPr="00BB6462">
        <w:rPr>
          <w:lang w:val="pt-BR"/>
        </w:rPr>
        <w:t>Kunarac 200</w:t>
      </w:r>
      <w:r>
        <w:rPr>
          <w:lang w:val="pt-BR"/>
        </w:rPr>
        <w:t xml:space="preserve">1,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424</w:t>
      </w:r>
      <w:r w:rsidRPr="00BB6462">
        <w:rPr>
          <w:lang w:val="pt-BR"/>
        </w:rPr>
        <w:t>段；</w:t>
      </w:r>
      <w:r w:rsidRPr="00BB6462">
        <w:rPr>
          <w:lang w:val="pt-BR"/>
        </w:rPr>
        <w:t>Tadić 199</w:t>
      </w:r>
      <w:r>
        <w:rPr>
          <w:lang w:val="pt-BR"/>
        </w:rPr>
        <w:t xml:space="preserve">7, </w:t>
      </w:r>
      <w:r w:rsidRPr="00BB6462">
        <w:rPr>
          <w:lang w:val="pt-BR"/>
        </w:rPr>
        <w:t>前注</w:t>
      </w:r>
      <w:r w:rsidRPr="00BB6462">
        <w:rPr>
          <w:rFonts w:hint="eastAsia"/>
          <w:lang w:val="pt-BR"/>
        </w:rPr>
        <w:t>12</w:t>
      </w:r>
      <w:r>
        <w:rPr>
          <w:rFonts w:hint="eastAsia"/>
          <w:lang w:val="pt-BR"/>
        </w:rPr>
        <w:t xml:space="preserve">1, </w:t>
      </w:r>
      <w:r w:rsidRPr="00BB6462">
        <w:rPr>
          <w:lang w:val="pt-BR"/>
        </w:rPr>
        <w:t>第</w:t>
      </w:r>
      <w:r w:rsidRPr="00BB6462">
        <w:rPr>
          <w:lang w:val="pt-BR"/>
        </w:rPr>
        <w:t>644</w:t>
      </w:r>
      <w:r w:rsidRPr="00BB6462">
        <w:rPr>
          <w:lang w:val="pt-BR"/>
        </w:rPr>
        <w:t>段；另见《</w:t>
      </w:r>
      <w:r w:rsidRPr="00BB6462">
        <w:rPr>
          <w:lang w:val="pt-BR"/>
        </w:rPr>
        <w:t>1994</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40</w:t>
      </w:r>
      <w:r w:rsidRPr="00BB6462">
        <w:rPr>
          <w:lang w:val="pt-BR"/>
        </w:rPr>
        <w:t>页</w:t>
      </w:r>
      <w:r w:rsidRPr="00BB6462">
        <w:rPr>
          <w:lang w:val="pt-BR"/>
        </w:rPr>
        <w:t>(</w:t>
      </w:r>
      <w:r w:rsidRPr="00BB6462">
        <w:rPr>
          <w:lang w:val="pt-BR"/>
        </w:rPr>
        <w:t>将危害人类罪定义为</w:t>
      </w:r>
      <w:r w:rsidRPr="00BB6462">
        <w:rPr>
          <w:rFonts w:hint="eastAsia"/>
          <w:lang w:val="pt-BR"/>
        </w:rPr>
        <w:t>“</w:t>
      </w:r>
      <w:r w:rsidRPr="00BB6462">
        <w:rPr>
          <w:lang w:val="pt-BR"/>
        </w:rPr>
        <w:t>针对全体或部分平民人口普遍或有计划地施加暴行的、性质非常严重的不人道行为</w:t>
      </w:r>
      <w:r w:rsidRPr="00BB6462">
        <w:rPr>
          <w:rFonts w:hint="eastAsia"/>
          <w:lang w:val="pt-BR"/>
        </w:rPr>
        <w:t>”</w:t>
      </w:r>
      <w:r w:rsidRPr="00BB6462">
        <w:rPr>
          <w:lang w:val="pt-BR"/>
        </w:rPr>
        <w:t>) (</w:t>
      </w:r>
      <w:r w:rsidRPr="00BB6462">
        <w:rPr>
          <w:lang w:val="pt-BR"/>
        </w:rPr>
        <w:t>着重号是本文所加</w:t>
      </w:r>
      <w:r w:rsidRPr="00BB6462">
        <w:rPr>
          <w:lang w:val="pt-BR"/>
        </w:rPr>
        <w:t>)</w:t>
      </w:r>
      <w:r w:rsidRPr="00BB6462">
        <w:rPr>
          <w:lang w:val="pt-BR"/>
        </w:rPr>
        <w:t>。</w:t>
      </w:r>
    </w:p>
  </w:footnote>
  <w:footnote w:id="16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见</w:t>
      </w:r>
      <w:r w:rsidRPr="00BB6462">
        <w:rPr>
          <w:lang w:val="pt-BR"/>
        </w:rPr>
        <w:t>Tadić 199</w:t>
      </w:r>
      <w:r>
        <w:rPr>
          <w:lang w:val="pt-BR"/>
        </w:rPr>
        <w:t xml:space="preserve">7, </w:t>
      </w:r>
      <w:r w:rsidRPr="00BB6462">
        <w:rPr>
          <w:lang w:val="pt-BR"/>
        </w:rPr>
        <w:t>前注</w:t>
      </w:r>
      <w:r w:rsidRPr="00BB6462">
        <w:rPr>
          <w:rFonts w:hint="eastAsia"/>
          <w:lang w:val="pt-BR"/>
        </w:rPr>
        <w:t>12</w:t>
      </w:r>
      <w:r>
        <w:rPr>
          <w:rFonts w:hint="eastAsia"/>
          <w:lang w:val="pt-BR"/>
        </w:rPr>
        <w:t xml:space="preserve">1, </w:t>
      </w:r>
      <w:r w:rsidRPr="00BB6462">
        <w:rPr>
          <w:lang w:val="pt-BR"/>
        </w:rPr>
        <w:t>第</w:t>
      </w:r>
      <w:r w:rsidRPr="00BB6462">
        <w:rPr>
          <w:lang w:val="pt-BR"/>
        </w:rPr>
        <w:t>644</w:t>
      </w:r>
      <w:r w:rsidRPr="00BB6462">
        <w:rPr>
          <w:lang w:val="pt-BR"/>
        </w:rPr>
        <w:t>段。</w:t>
      </w:r>
    </w:p>
  </w:footnote>
  <w:footnote w:id="16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41050A">
        <w:rPr>
          <w:rFonts w:ascii="楷体_GB2312" w:eastAsia="楷体_GB2312"/>
          <w:lang w:val="pt-BR"/>
        </w:rPr>
        <w:t>检察官诉</w:t>
      </w:r>
      <w:r w:rsidRPr="00BB6462">
        <w:rPr>
          <w:lang w:val="pt-BR"/>
        </w:rPr>
        <w:t>Gotovin</w:t>
      </w:r>
      <w:r>
        <w:rPr>
          <w:lang w:val="pt-BR"/>
        </w:rPr>
        <w:t xml:space="preserve">a, </w:t>
      </w:r>
      <w:r w:rsidRPr="00BB6462">
        <w:rPr>
          <w:rFonts w:hint="eastAsia"/>
          <w:lang w:val="pt-BR"/>
        </w:rPr>
        <w:t>第一</w:t>
      </w:r>
      <w:r w:rsidRPr="00BB6462">
        <w:rPr>
          <w:lang w:val="pt-BR"/>
        </w:rPr>
        <w:t>审判分庭的判决，案件号</w:t>
      </w:r>
      <w:r w:rsidRPr="00BB6462">
        <w:rPr>
          <w:lang w:val="pt-BR"/>
        </w:rPr>
        <w:t>IT-06-90-</w:t>
      </w:r>
      <w:r>
        <w:rPr>
          <w:lang w:val="pt-BR"/>
        </w:rPr>
        <w:t xml:space="preserve">T, </w:t>
      </w:r>
      <w:r w:rsidRPr="00BB6462">
        <w:rPr>
          <w:lang w:val="pt-BR"/>
        </w:rPr>
        <w:t>2011</w:t>
      </w:r>
      <w:r w:rsidRPr="00BB6462">
        <w:rPr>
          <w:lang w:val="pt-BR"/>
        </w:rPr>
        <w:t>年</w:t>
      </w:r>
      <w:r w:rsidRPr="00BB6462">
        <w:rPr>
          <w:lang w:val="pt-BR"/>
        </w:rPr>
        <w:t>4</w:t>
      </w:r>
      <w:r w:rsidRPr="00BB6462">
        <w:rPr>
          <w:lang w:val="pt-BR"/>
        </w:rPr>
        <w:t>月</w:t>
      </w:r>
      <w:r w:rsidRPr="00BB6462">
        <w:rPr>
          <w:lang w:val="pt-BR"/>
        </w:rPr>
        <w:t>15</w:t>
      </w:r>
      <w:r w:rsidRPr="00BB6462">
        <w:rPr>
          <w:lang w:val="pt-BR"/>
        </w:rPr>
        <w:t>日，第</w:t>
      </w:r>
      <w:r w:rsidRPr="00BB6462">
        <w:rPr>
          <w:lang w:val="pt-BR"/>
        </w:rPr>
        <w:t>1704</w:t>
      </w:r>
      <w:r w:rsidRPr="00BB6462">
        <w:rPr>
          <w:lang w:val="pt-BR"/>
        </w:rPr>
        <w:t>段。</w:t>
      </w:r>
    </w:p>
  </w:footnote>
  <w:footnote w:id="16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2010</w:t>
      </w:r>
      <w:r w:rsidRPr="0041050A">
        <w:rPr>
          <w:rFonts w:ascii="楷体_GB2312" w:eastAsia="楷体_GB2312"/>
          <w:lang w:val="pt-BR"/>
        </w:rPr>
        <w:t>年肯尼亚授权决定</w:t>
      </w:r>
      <w:r w:rsidRPr="00BB6462">
        <w:rPr>
          <w:lang w:val="pt-BR"/>
        </w:rPr>
        <w:t>，前注</w:t>
      </w:r>
      <w:r w:rsidRPr="00BB6462">
        <w:rPr>
          <w:rFonts w:hint="eastAsia"/>
          <w:lang w:val="pt-BR"/>
        </w:rPr>
        <w:t>12</w:t>
      </w:r>
      <w:r>
        <w:rPr>
          <w:rFonts w:hint="eastAsia"/>
          <w:lang w:val="pt-BR"/>
        </w:rPr>
        <w:t xml:space="preserve">5, </w:t>
      </w:r>
      <w:r w:rsidRPr="00BB6462">
        <w:rPr>
          <w:lang w:val="pt-BR"/>
        </w:rPr>
        <w:t>第</w:t>
      </w:r>
      <w:r w:rsidRPr="00BB6462">
        <w:rPr>
          <w:lang w:val="pt-BR"/>
        </w:rPr>
        <w:t>81</w:t>
      </w:r>
      <w:r w:rsidRPr="00BB6462">
        <w:rPr>
          <w:lang w:val="pt-BR"/>
        </w:rPr>
        <w:t>段；</w:t>
      </w:r>
      <w:r w:rsidRPr="00BB6462">
        <w:rPr>
          <w:lang w:val="pt-BR"/>
        </w:rPr>
        <w:t>Bemba 200</w:t>
      </w:r>
      <w:r>
        <w:rPr>
          <w:lang w:val="pt-BR"/>
        </w:rPr>
        <w:t xml:space="preserve">9, </w:t>
      </w:r>
      <w:r w:rsidRPr="00BB6462">
        <w:rPr>
          <w:lang w:val="pt-BR"/>
        </w:rPr>
        <w:t>前注</w:t>
      </w:r>
      <w:r w:rsidRPr="00BB6462">
        <w:rPr>
          <w:rFonts w:hint="eastAsia"/>
          <w:lang w:val="pt-BR"/>
        </w:rPr>
        <w:t>12</w:t>
      </w:r>
      <w:r>
        <w:rPr>
          <w:rFonts w:hint="eastAsia"/>
          <w:lang w:val="pt-BR"/>
        </w:rPr>
        <w:t xml:space="preserve">5, </w:t>
      </w:r>
      <w:r w:rsidRPr="00BB6462">
        <w:rPr>
          <w:lang w:val="pt-BR"/>
        </w:rPr>
        <w:t>第</w:t>
      </w:r>
      <w:r w:rsidRPr="00BB6462">
        <w:rPr>
          <w:lang w:val="pt-BR"/>
        </w:rPr>
        <w:t>77</w:t>
      </w:r>
      <w:r w:rsidRPr="00BB6462">
        <w:rPr>
          <w:lang w:val="pt-BR"/>
        </w:rPr>
        <w:t>段。</w:t>
      </w:r>
    </w:p>
  </w:footnote>
  <w:footnote w:id="16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1,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415</w:t>
      </w:r>
      <w:r w:rsidRPr="00BB6462">
        <w:rPr>
          <w:lang w:val="pt-BR"/>
        </w:rPr>
        <w:t>段</w:t>
      </w:r>
      <w:r w:rsidRPr="00BB6462">
        <w:rPr>
          <w:lang w:val="pt-BR"/>
        </w:rPr>
        <w:t>(</w:t>
      </w:r>
      <w:r w:rsidRPr="00BB6462">
        <w:rPr>
          <w:lang w:val="pt-BR"/>
        </w:rPr>
        <w:t>将攻击定义为</w:t>
      </w:r>
      <w:r w:rsidRPr="00BB6462">
        <w:rPr>
          <w:rFonts w:hint="eastAsia"/>
          <w:lang w:val="pt-BR"/>
        </w:rPr>
        <w:t>“</w:t>
      </w:r>
      <w:r w:rsidRPr="00BB6462">
        <w:rPr>
          <w:lang w:val="pt-BR"/>
        </w:rPr>
        <w:t>涉及实施暴力行为的行为过程</w:t>
      </w:r>
      <w:r w:rsidRPr="00BB6462">
        <w:rPr>
          <w:rFonts w:hint="eastAsia"/>
          <w:lang w:val="pt-BR"/>
        </w:rPr>
        <w:t>”</w:t>
      </w:r>
      <w:r w:rsidRPr="00BB6462">
        <w:rPr>
          <w:lang w:val="pt-BR"/>
        </w:rPr>
        <w:t>)</w:t>
      </w:r>
      <w:r w:rsidRPr="00BB6462">
        <w:rPr>
          <w:lang w:val="pt-BR"/>
        </w:rPr>
        <w:t>；</w:t>
      </w:r>
      <w:r w:rsidRPr="00BB6462">
        <w:rPr>
          <w:lang w:val="pt-BR"/>
        </w:rPr>
        <w:t>Kayishema 199</w:t>
      </w:r>
      <w:r>
        <w:rPr>
          <w:lang w:val="pt-BR"/>
        </w:rPr>
        <w:t xml:space="preserve">9, </w:t>
      </w:r>
      <w:r w:rsidRPr="00BB6462">
        <w:rPr>
          <w:lang w:val="pt-BR"/>
        </w:rPr>
        <w:t>前注</w:t>
      </w:r>
      <w:r>
        <w:rPr>
          <w:rFonts w:hint="eastAsia"/>
          <w:lang w:val="pt-BR"/>
        </w:rPr>
        <w:t xml:space="preserve">122, </w:t>
      </w:r>
      <w:r w:rsidRPr="00BB6462">
        <w:rPr>
          <w:lang w:val="pt-BR"/>
        </w:rPr>
        <w:t>第</w:t>
      </w:r>
      <w:r w:rsidRPr="00BB6462">
        <w:rPr>
          <w:lang w:val="pt-BR"/>
        </w:rPr>
        <w:t>122</w:t>
      </w:r>
      <w:r w:rsidRPr="00BB6462">
        <w:rPr>
          <w:lang w:val="pt-BR"/>
        </w:rPr>
        <w:t>段</w:t>
      </w:r>
      <w:r w:rsidRPr="00BB6462">
        <w:rPr>
          <w:lang w:val="pt-BR"/>
        </w:rPr>
        <w:t>(</w:t>
      </w:r>
      <w:r w:rsidRPr="00BB6462">
        <w:rPr>
          <w:lang w:val="pt-BR"/>
        </w:rPr>
        <w:t>将攻击定义为</w:t>
      </w:r>
      <w:r w:rsidRPr="00BB6462">
        <w:rPr>
          <w:rFonts w:hint="eastAsia"/>
          <w:lang w:val="pt-BR"/>
        </w:rPr>
        <w:t>“</w:t>
      </w:r>
      <w:r w:rsidRPr="00BB6462">
        <w:rPr>
          <w:lang w:val="pt-BR"/>
        </w:rPr>
        <w:t>必定包括所列举罪行的活动</w:t>
      </w:r>
      <w:r w:rsidRPr="00BB6462">
        <w:rPr>
          <w:rFonts w:hint="eastAsia"/>
          <w:lang w:val="pt-BR"/>
        </w:rPr>
        <w:t>”</w:t>
      </w:r>
      <w:r w:rsidRPr="00BB6462">
        <w:rPr>
          <w:lang w:val="pt-BR"/>
        </w:rPr>
        <w:t>)</w:t>
      </w:r>
      <w:r w:rsidRPr="00BB6462">
        <w:rPr>
          <w:lang w:val="pt-BR"/>
        </w:rPr>
        <w:t>；</w:t>
      </w:r>
      <w:r w:rsidRPr="00BB6462">
        <w:rPr>
          <w:lang w:val="pt-BR"/>
        </w:rPr>
        <w:t>Akayesu 199</w:t>
      </w:r>
      <w:r>
        <w:rPr>
          <w:lang w:val="pt-BR"/>
        </w:rPr>
        <w:t xml:space="preserve">8, </w:t>
      </w:r>
      <w:r w:rsidRPr="00BB6462">
        <w:rPr>
          <w:lang w:val="pt-BR"/>
        </w:rPr>
        <w:t>前注</w:t>
      </w:r>
      <w:r w:rsidRPr="00BB6462">
        <w:rPr>
          <w:rFonts w:hint="eastAsia"/>
          <w:lang w:val="pt-BR"/>
        </w:rPr>
        <w:t>12</w:t>
      </w:r>
      <w:r>
        <w:rPr>
          <w:rFonts w:hint="eastAsia"/>
          <w:lang w:val="pt-BR"/>
        </w:rPr>
        <w:t xml:space="preserve">0, </w:t>
      </w:r>
      <w:r w:rsidRPr="00BB6462">
        <w:rPr>
          <w:lang w:val="pt-BR"/>
        </w:rPr>
        <w:t>第</w:t>
      </w:r>
      <w:r w:rsidRPr="00BB6462">
        <w:rPr>
          <w:lang w:val="pt-BR"/>
        </w:rPr>
        <w:t>581</w:t>
      </w:r>
      <w:r w:rsidRPr="00BB6462">
        <w:rPr>
          <w:lang w:val="pt-BR"/>
        </w:rPr>
        <w:t>段</w:t>
      </w:r>
      <w:r w:rsidRPr="00BB6462">
        <w:rPr>
          <w:lang w:val="pt-BR"/>
        </w:rPr>
        <w:t>(</w:t>
      </w:r>
      <w:r w:rsidRPr="00BB6462">
        <w:rPr>
          <w:rFonts w:hint="eastAsia"/>
          <w:lang w:val="pt-BR"/>
        </w:rPr>
        <w:t>“</w:t>
      </w:r>
      <w:r w:rsidRPr="00BB6462">
        <w:rPr>
          <w:lang w:val="pt-BR"/>
        </w:rPr>
        <w:t>可将攻击这一概念定义为</w:t>
      </w:r>
      <w:r w:rsidRPr="00BB6462">
        <w:rPr>
          <w:lang w:val="pt-BR"/>
        </w:rPr>
        <w:t>[</w:t>
      </w:r>
      <w:r w:rsidRPr="00BB6462">
        <w:rPr>
          <w:lang w:val="pt-BR"/>
        </w:rPr>
        <w:t>《规约》中</w:t>
      </w:r>
      <w:r w:rsidRPr="00BB6462">
        <w:rPr>
          <w:lang w:val="pt-BR"/>
        </w:rPr>
        <w:t>]</w:t>
      </w:r>
      <w:r w:rsidRPr="00BB6462">
        <w:rPr>
          <w:lang w:val="pt-BR"/>
        </w:rPr>
        <w:t>列举的非法行为。攻击也可以是性质上并不暴力的行为，比如强制实施隔离制</w:t>
      </w:r>
      <w:r w:rsidRPr="00BB6462">
        <w:rPr>
          <w:rFonts w:hint="eastAsia"/>
          <w:lang w:val="pt-BR"/>
        </w:rPr>
        <w:t>度…</w:t>
      </w:r>
      <w:r w:rsidRPr="00BB6462">
        <w:rPr>
          <w:lang w:val="pt-BR"/>
        </w:rPr>
        <w:t>或向人口施加压力，要他们以某种特定方式行</w:t>
      </w:r>
      <w:r w:rsidRPr="00BB6462">
        <w:rPr>
          <w:rFonts w:hint="eastAsia"/>
          <w:lang w:val="pt-BR"/>
        </w:rPr>
        <w:t>事…”</w:t>
      </w:r>
      <w:r w:rsidRPr="00BB6462">
        <w:rPr>
          <w:lang w:val="pt-BR"/>
        </w:rPr>
        <w:t>)</w:t>
      </w:r>
      <w:r w:rsidRPr="00BB6462">
        <w:rPr>
          <w:lang w:val="pt-BR"/>
        </w:rPr>
        <w:t>。</w:t>
      </w:r>
    </w:p>
  </w:footnote>
  <w:footnote w:id="16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见国际刑院，《犯罪要件》，前注</w:t>
      </w:r>
      <w:r w:rsidRPr="00BB6462">
        <w:rPr>
          <w:rFonts w:hint="eastAsia"/>
          <w:lang w:val="pt-BR"/>
        </w:rPr>
        <w:t>14</w:t>
      </w:r>
      <w:r>
        <w:rPr>
          <w:rFonts w:hint="eastAsia"/>
          <w:lang w:val="pt-BR"/>
        </w:rPr>
        <w:t xml:space="preserve">5, </w:t>
      </w:r>
      <w:r w:rsidRPr="00BB6462">
        <w:rPr>
          <w:lang w:val="pt-BR"/>
        </w:rPr>
        <w:t>第</w:t>
      </w:r>
      <w:r w:rsidRPr="00BB6462">
        <w:rPr>
          <w:lang w:val="pt-BR"/>
        </w:rPr>
        <w:t>5</w:t>
      </w:r>
      <w:r w:rsidRPr="00BB6462">
        <w:rPr>
          <w:lang w:val="pt-BR"/>
        </w:rPr>
        <w:t>页。</w:t>
      </w:r>
    </w:p>
  </w:footnote>
  <w:footnote w:id="16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1101</w:t>
      </w:r>
      <w:r w:rsidRPr="00BB6462">
        <w:rPr>
          <w:lang w:val="pt-BR"/>
        </w:rPr>
        <w:t>段。</w:t>
      </w:r>
    </w:p>
  </w:footnote>
  <w:footnote w:id="17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《纽伦堡宪章》第</w:t>
      </w:r>
      <w:r w:rsidRPr="00BB6462">
        <w:rPr>
          <w:lang w:val="pt-BR"/>
        </w:rPr>
        <w:t>6</w:t>
      </w:r>
      <w:r w:rsidRPr="00BB6462">
        <w:rPr>
          <w:rFonts w:hint="eastAsia"/>
          <w:lang w:val="pt-BR"/>
        </w:rPr>
        <w:t xml:space="preserve"> </w:t>
      </w:r>
      <w:r w:rsidRPr="00BB6462">
        <w:rPr>
          <w:lang w:val="pt-BR"/>
        </w:rPr>
        <w:t>(c)</w:t>
      </w:r>
      <w:r w:rsidRPr="00BB6462">
        <w:rPr>
          <w:lang w:val="pt-BR"/>
        </w:rPr>
        <w:t>条没有明确提到计划或政策。但《纽伦堡判决书》在以</w:t>
      </w:r>
      <w:r w:rsidRPr="00BB6462">
        <w:rPr>
          <w:rFonts w:hint="eastAsia"/>
          <w:lang w:val="pt-BR"/>
        </w:rPr>
        <w:t>“</w:t>
      </w:r>
      <w:r w:rsidRPr="00BB6462">
        <w:rPr>
          <w:lang w:val="pt-BR"/>
        </w:rPr>
        <w:t>攻击</w:t>
      </w:r>
      <w:r w:rsidRPr="00BB6462">
        <w:rPr>
          <w:rFonts w:hint="eastAsia"/>
          <w:lang w:val="pt-BR"/>
        </w:rPr>
        <w:t>”</w:t>
      </w:r>
      <w:r w:rsidRPr="00BB6462">
        <w:rPr>
          <w:lang w:val="pt-BR"/>
        </w:rPr>
        <w:t>概念为背景整体讨论第</w:t>
      </w:r>
      <w:r w:rsidRPr="00BB6462">
        <w:rPr>
          <w:lang w:val="pt-BR"/>
        </w:rPr>
        <w:t>6</w:t>
      </w:r>
      <w:r w:rsidRPr="00BB6462">
        <w:rPr>
          <w:rFonts w:hint="eastAsia"/>
          <w:lang w:val="pt-BR"/>
        </w:rPr>
        <w:t xml:space="preserve"> </w:t>
      </w:r>
      <w:r w:rsidRPr="00BB6462">
        <w:rPr>
          <w:lang w:val="pt-BR"/>
        </w:rPr>
        <w:t>(c)</w:t>
      </w:r>
      <w:r w:rsidRPr="00BB6462">
        <w:rPr>
          <w:lang w:val="pt-BR"/>
        </w:rPr>
        <w:t>条时确实使用了</w:t>
      </w:r>
      <w:r w:rsidRPr="00BB6462">
        <w:rPr>
          <w:rFonts w:hint="eastAsia"/>
          <w:lang w:val="pt-BR"/>
        </w:rPr>
        <w:t>“</w:t>
      </w:r>
      <w:r w:rsidRPr="00BB6462">
        <w:rPr>
          <w:lang w:val="pt-BR"/>
        </w:rPr>
        <w:t>政策</w:t>
      </w:r>
      <w:r w:rsidRPr="00BB6462">
        <w:rPr>
          <w:rFonts w:hint="eastAsia"/>
          <w:lang w:val="pt-BR"/>
        </w:rPr>
        <w:t>”</w:t>
      </w:r>
      <w:r w:rsidRPr="00BB6462">
        <w:rPr>
          <w:lang w:val="pt-BR"/>
        </w:rPr>
        <w:t>这一描述词。见</w:t>
      </w:r>
      <w:r w:rsidRPr="00BB6462">
        <w:rPr>
          <w:lang w:val="pt-BR"/>
        </w:rPr>
        <w:t>1946</w:t>
      </w:r>
      <w:r w:rsidRPr="00BB6462">
        <w:rPr>
          <w:lang w:val="pt-BR"/>
        </w:rPr>
        <w:t>年</w:t>
      </w:r>
      <w:r w:rsidRPr="00BB6462">
        <w:rPr>
          <w:lang w:val="pt-BR"/>
        </w:rPr>
        <w:t>9</w:t>
      </w:r>
      <w:r w:rsidRPr="00BB6462">
        <w:rPr>
          <w:lang w:val="pt-BR"/>
        </w:rPr>
        <w:t>月</w:t>
      </w:r>
      <w:r w:rsidRPr="00BB6462">
        <w:rPr>
          <w:lang w:val="pt-BR"/>
        </w:rPr>
        <w:t>30</w:t>
      </w:r>
      <w:r w:rsidRPr="00BB6462">
        <w:rPr>
          <w:lang w:val="pt-BR"/>
        </w:rPr>
        <w:t>日判决，前注</w:t>
      </w:r>
      <w:r>
        <w:rPr>
          <w:rFonts w:hint="eastAsia"/>
          <w:lang w:val="pt-BR"/>
        </w:rPr>
        <w:t>86</w:t>
      </w:r>
      <w:r>
        <w:rPr>
          <w:lang w:val="pt-BR"/>
        </w:rPr>
        <w:t xml:space="preserve">, </w:t>
      </w:r>
      <w:r w:rsidRPr="00BB6462">
        <w:rPr>
          <w:lang w:val="pt-BR"/>
        </w:rPr>
        <w:t>第</w:t>
      </w:r>
      <w:r w:rsidRPr="00BB6462">
        <w:rPr>
          <w:lang w:val="pt-BR"/>
        </w:rPr>
        <w:t>493</w:t>
      </w:r>
      <w:r w:rsidRPr="00BB6462">
        <w:rPr>
          <w:lang w:val="pt-BR"/>
        </w:rPr>
        <w:t>页</w:t>
      </w:r>
      <w:r w:rsidRPr="00BB6462">
        <w:rPr>
          <w:lang w:val="pt-BR"/>
        </w:rPr>
        <w:t>(</w:t>
      </w:r>
      <w:r w:rsidRPr="00BB6462">
        <w:rPr>
          <w:rFonts w:hint="eastAsia"/>
          <w:lang w:val="pt-BR"/>
        </w:rPr>
        <w:t>“</w:t>
      </w:r>
      <w:r w:rsidRPr="00BB6462">
        <w:rPr>
          <w:lang w:val="pt-BR"/>
        </w:rPr>
        <w:t>恐怖政策无疑是大规模实施的，在许多情况下是有组织和有系统地实施的。</w:t>
      </w:r>
      <w:r w:rsidRPr="00BB6462">
        <w:rPr>
          <w:lang w:val="pt-BR"/>
        </w:rPr>
        <w:t>1939</w:t>
      </w:r>
      <w:r w:rsidRPr="00BB6462">
        <w:rPr>
          <w:lang w:val="pt-BR"/>
        </w:rPr>
        <w:t>年大战之前，德国以最无情的方式执行了对可能敌视政府的平民进行迫害、压迫和谋杀的政策。</w:t>
      </w:r>
      <w:r w:rsidRPr="00BB6462">
        <w:rPr>
          <w:lang w:val="pt-BR"/>
        </w:rPr>
        <w:t>)</w:t>
      </w:r>
      <w:r w:rsidRPr="00BB6462">
        <w:rPr>
          <w:lang w:val="pt-BR"/>
        </w:rPr>
        <w:t>管制委员会《第</w:t>
      </w:r>
      <w:r w:rsidRPr="00BB6462">
        <w:rPr>
          <w:lang w:val="pt-BR"/>
        </w:rPr>
        <w:t>10</w:t>
      </w:r>
      <w:r w:rsidRPr="00BB6462">
        <w:rPr>
          <w:lang w:val="pt-BR"/>
        </w:rPr>
        <w:t>号法》第</w:t>
      </w:r>
      <w:r w:rsidRPr="00BB6462">
        <w:rPr>
          <w:lang w:val="pt-BR"/>
        </w:rPr>
        <w:t>II</w:t>
      </w:r>
      <w:r w:rsidRPr="00BB6462">
        <w:rPr>
          <w:rFonts w:hint="eastAsia"/>
          <w:lang w:val="pt-BR"/>
        </w:rPr>
        <w:t xml:space="preserve"> </w:t>
      </w:r>
      <w:r w:rsidRPr="00BB6462">
        <w:rPr>
          <w:lang w:val="pt-BR"/>
        </w:rPr>
        <w:t>(1)</w:t>
      </w:r>
      <w:r w:rsidRPr="00BB6462">
        <w:rPr>
          <w:rFonts w:hint="eastAsia"/>
          <w:lang w:val="pt-BR"/>
        </w:rPr>
        <w:t xml:space="preserve"> </w:t>
      </w:r>
      <w:r w:rsidRPr="00BB6462">
        <w:rPr>
          <w:lang w:val="pt-BR"/>
        </w:rPr>
        <w:t>(c)</w:t>
      </w:r>
      <w:r w:rsidRPr="00BB6462">
        <w:rPr>
          <w:lang w:val="pt-BR"/>
        </w:rPr>
        <w:t>条在对危害人类罪的定义中也未提到计划或政策。</w:t>
      </w:r>
    </w:p>
  </w:footnote>
  <w:footnote w:id="17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前南刑庭上诉分庭确定，习惯国际法中危害人类罪没有政策要件，见</w:t>
      </w:r>
      <w:r w:rsidRPr="00BB6462">
        <w:rPr>
          <w:lang w:val="pt-BR"/>
        </w:rPr>
        <w:t>Kunarac 200</w:t>
      </w:r>
      <w:r>
        <w:rPr>
          <w:lang w:val="pt-BR"/>
        </w:rPr>
        <w:t xml:space="preserve">2, </w:t>
      </w:r>
      <w:r w:rsidRPr="00BB6462">
        <w:rPr>
          <w:lang w:val="pt-BR"/>
        </w:rPr>
        <w:t>前注</w:t>
      </w:r>
      <w:r w:rsidRPr="00BB6462">
        <w:rPr>
          <w:rFonts w:hint="eastAsia"/>
          <w:lang w:val="pt-BR"/>
        </w:rPr>
        <w:t>13</w:t>
      </w:r>
      <w:r>
        <w:rPr>
          <w:rFonts w:hint="eastAsia"/>
          <w:lang w:val="pt-BR"/>
        </w:rPr>
        <w:t xml:space="preserve">8, </w:t>
      </w:r>
      <w:r w:rsidRPr="00BB6462">
        <w:rPr>
          <w:lang w:val="pt-BR"/>
        </w:rPr>
        <w:t>第</w:t>
      </w:r>
      <w:r w:rsidRPr="00BB6462">
        <w:rPr>
          <w:lang w:val="pt-BR"/>
        </w:rPr>
        <w:t>98</w:t>
      </w:r>
      <w:r w:rsidRPr="00BB6462">
        <w:rPr>
          <w:lang w:val="pt-BR"/>
        </w:rPr>
        <w:t>段</w:t>
      </w:r>
      <w:r w:rsidRPr="00BB6462">
        <w:rPr>
          <w:lang w:val="pt-BR"/>
        </w:rPr>
        <w:t>(</w:t>
      </w:r>
      <w:r w:rsidRPr="00BB6462">
        <w:rPr>
          <w:rFonts w:hint="eastAsia"/>
          <w:lang w:val="pt-BR"/>
        </w:rPr>
        <w:t>“</w:t>
      </w:r>
      <w:r w:rsidRPr="00BB6462">
        <w:rPr>
          <w:lang w:val="pt-BR"/>
        </w:rPr>
        <w:t>在所称行为发生时，《规约》和习惯国际法均未要求证明存在实施这些罪行的计划或政策</w:t>
      </w:r>
      <w:r w:rsidRPr="00BB6462">
        <w:rPr>
          <w:rFonts w:hint="eastAsia"/>
          <w:lang w:val="pt-BR"/>
        </w:rPr>
        <w:t>”</w:t>
      </w:r>
      <w:r w:rsidRPr="00BB6462">
        <w:rPr>
          <w:lang w:val="pt-BR"/>
        </w:rPr>
        <w:t>)</w:t>
      </w:r>
      <w:r w:rsidRPr="00BB6462">
        <w:rPr>
          <w:lang w:val="pt-BR"/>
        </w:rPr>
        <w:t>，但该立场受到了一些文章的批评。</w:t>
      </w:r>
    </w:p>
  </w:footnote>
  <w:footnote w:id="17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Tadić 199</w:t>
      </w:r>
      <w:r>
        <w:rPr>
          <w:lang w:val="pt-BR"/>
        </w:rPr>
        <w:t xml:space="preserve">7, </w:t>
      </w:r>
      <w:r w:rsidRPr="00BB6462">
        <w:rPr>
          <w:lang w:val="pt-BR"/>
        </w:rPr>
        <w:t>前注</w:t>
      </w:r>
      <w:r w:rsidRPr="00BB6462">
        <w:rPr>
          <w:rFonts w:hint="eastAsia"/>
          <w:lang w:val="pt-BR"/>
        </w:rPr>
        <w:t>12</w:t>
      </w:r>
      <w:r>
        <w:rPr>
          <w:rFonts w:hint="eastAsia"/>
          <w:lang w:val="pt-BR"/>
        </w:rPr>
        <w:t xml:space="preserve">1, </w:t>
      </w:r>
      <w:r w:rsidRPr="00BB6462">
        <w:rPr>
          <w:lang w:val="pt-BR"/>
        </w:rPr>
        <w:t>第</w:t>
      </w:r>
      <w:r w:rsidRPr="00BB6462">
        <w:rPr>
          <w:lang w:val="pt-BR"/>
        </w:rPr>
        <w:t>644</w:t>
      </w:r>
      <w:r w:rsidRPr="00BB6462">
        <w:rPr>
          <w:lang w:val="pt-BR"/>
        </w:rPr>
        <w:t>、</w:t>
      </w:r>
      <w:r w:rsidRPr="00BB6462">
        <w:rPr>
          <w:lang w:val="pt-BR"/>
        </w:rPr>
        <w:t>653-655</w:t>
      </w:r>
      <w:r w:rsidRPr="00BB6462">
        <w:rPr>
          <w:lang w:val="pt-BR"/>
        </w:rPr>
        <w:t>和</w:t>
      </w:r>
      <w:r w:rsidRPr="00BB6462">
        <w:rPr>
          <w:lang w:val="pt-BR"/>
        </w:rPr>
        <w:t>626</w:t>
      </w:r>
      <w:r w:rsidRPr="00BB6462">
        <w:rPr>
          <w:lang w:val="pt-BR"/>
        </w:rPr>
        <w:t>段。</w:t>
      </w:r>
    </w:p>
  </w:footnote>
  <w:footnote w:id="17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653</w:t>
      </w:r>
      <w:r w:rsidRPr="00BB6462">
        <w:rPr>
          <w:lang w:val="pt-BR"/>
        </w:rPr>
        <w:t>段。</w:t>
      </w:r>
    </w:p>
  </w:footnote>
  <w:footnote w:id="17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655</w:t>
      </w:r>
      <w:r w:rsidRPr="00BB6462">
        <w:rPr>
          <w:lang w:val="pt-BR"/>
        </w:rPr>
        <w:t>段。</w:t>
      </w:r>
      <w:r w:rsidRPr="00BB6462">
        <w:rPr>
          <w:lang w:val="pt-BR"/>
        </w:rPr>
        <w:t>(</w:t>
      </w:r>
      <w:r w:rsidRPr="00BB6462">
        <w:rPr>
          <w:lang w:val="pt-BR"/>
        </w:rPr>
        <w:t>引用</w:t>
      </w:r>
      <w:r w:rsidRPr="00EB5B5E">
        <w:rPr>
          <w:rFonts w:ascii="楷体" w:eastAsia="楷体" w:hAnsi="楷体"/>
          <w:lang w:val="pt-BR"/>
        </w:rPr>
        <w:t>检察官诉</w:t>
      </w:r>
      <w:r w:rsidRPr="00BB6462">
        <w:rPr>
          <w:lang w:val="pt-BR"/>
        </w:rPr>
        <w:t>Nikolić</w:t>
      </w:r>
      <w:r w:rsidRPr="00BB6462">
        <w:rPr>
          <w:lang w:val="pt-BR"/>
        </w:rPr>
        <w:t>，审判分庭，根据《程序和证据规则》规则</w:t>
      </w:r>
      <w:r w:rsidRPr="00BB6462">
        <w:rPr>
          <w:lang w:val="pt-BR"/>
        </w:rPr>
        <w:t>61</w:t>
      </w:r>
      <w:r w:rsidRPr="00BB6462">
        <w:rPr>
          <w:lang w:val="pt-BR"/>
        </w:rPr>
        <w:t>审查起诉书，案件号</w:t>
      </w:r>
      <w:r w:rsidRPr="00BB6462">
        <w:rPr>
          <w:lang w:val="pt-BR"/>
        </w:rPr>
        <w:t>IT-94-2-R6</w:t>
      </w:r>
      <w:r>
        <w:rPr>
          <w:lang w:val="pt-BR"/>
        </w:rPr>
        <w:t xml:space="preserve">1, </w:t>
      </w:r>
      <w:r w:rsidRPr="00BB6462">
        <w:rPr>
          <w:lang w:val="pt-BR"/>
        </w:rPr>
        <w:t>1995</w:t>
      </w:r>
      <w:r w:rsidRPr="00BB6462">
        <w:rPr>
          <w:lang w:val="pt-BR"/>
        </w:rPr>
        <w:t>年</w:t>
      </w:r>
      <w:r w:rsidRPr="00BB6462">
        <w:rPr>
          <w:lang w:val="pt-BR"/>
        </w:rPr>
        <w:t>10</w:t>
      </w:r>
      <w:r w:rsidRPr="00BB6462">
        <w:rPr>
          <w:lang w:val="pt-BR"/>
        </w:rPr>
        <w:t>月</w:t>
      </w:r>
      <w:r w:rsidRPr="00BB6462">
        <w:rPr>
          <w:lang w:val="pt-BR"/>
        </w:rPr>
        <w:t>20</w:t>
      </w:r>
      <w:r w:rsidRPr="00BB6462">
        <w:rPr>
          <w:lang w:val="pt-BR"/>
        </w:rPr>
        <w:t>日，第</w:t>
      </w:r>
      <w:r w:rsidRPr="00BB6462">
        <w:rPr>
          <w:lang w:val="pt-BR"/>
        </w:rPr>
        <w:t>26</w:t>
      </w:r>
      <w:r w:rsidRPr="00BB6462">
        <w:rPr>
          <w:lang w:val="pt-BR"/>
        </w:rPr>
        <w:t>段</w:t>
      </w:r>
      <w:r w:rsidRPr="00BB6462">
        <w:rPr>
          <w:lang w:val="pt-BR"/>
        </w:rPr>
        <w:t>)</w:t>
      </w:r>
      <w:r w:rsidRPr="00BB6462">
        <w:rPr>
          <w:lang w:val="pt-BR"/>
        </w:rPr>
        <w:t>。</w:t>
      </w:r>
    </w:p>
  </w:footnote>
  <w:footnote w:id="17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rFonts w:eastAsia="楷体"/>
        </w:rPr>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2, </w:t>
      </w:r>
      <w:r w:rsidRPr="00BB6462">
        <w:rPr>
          <w:lang w:val="pt-BR"/>
        </w:rPr>
        <w:t>前注</w:t>
      </w:r>
      <w:r w:rsidRPr="00BB6462">
        <w:rPr>
          <w:rFonts w:hint="eastAsia"/>
          <w:lang w:val="pt-BR"/>
        </w:rPr>
        <w:t>13</w:t>
      </w:r>
      <w:r>
        <w:rPr>
          <w:rFonts w:hint="eastAsia"/>
          <w:lang w:val="pt-BR"/>
        </w:rPr>
        <w:t xml:space="preserve">8, </w:t>
      </w:r>
      <w:r w:rsidRPr="00BB6462">
        <w:rPr>
          <w:lang w:val="pt-BR"/>
        </w:rPr>
        <w:t>第</w:t>
      </w:r>
      <w:r w:rsidRPr="00BB6462">
        <w:rPr>
          <w:lang w:val="pt-BR"/>
        </w:rPr>
        <w:t>98</w:t>
      </w:r>
      <w:r w:rsidRPr="00BB6462">
        <w:rPr>
          <w:lang w:val="pt-BR"/>
        </w:rPr>
        <w:t>段；</w:t>
      </w:r>
      <w:r w:rsidRPr="00BB6462">
        <w:rPr>
          <w:lang w:val="pt-BR"/>
        </w:rPr>
        <w:t>Kordić 200</w:t>
      </w:r>
      <w:r>
        <w:rPr>
          <w:lang w:val="pt-BR"/>
        </w:rPr>
        <w:t xml:space="preserve">1, </w:t>
      </w:r>
      <w:r w:rsidRPr="00BB6462">
        <w:rPr>
          <w:lang w:val="pt-BR"/>
        </w:rPr>
        <w:t>前注</w:t>
      </w:r>
      <w:r w:rsidRPr="00BB6462">
        <w:rPr>
          <w:lang w:val="pt-BR"/>
        </w:rPr>
        <w:t>10</w:t>
      </w:r>
      <w:r>
        <w:rPr>
          <w:lang w:val="pt-BR"/>
        </w:rPr>
        <w:t xml:space="preserve">5, </w:t>
      </w:r>
      <w:r w:rsidRPr="00BB6462">
        <w:rPr>
          <w:lang w:val="pt-BR"/>
        </w:rPr>
        <w:t>第</w:t>
      </w:r>
      <w:r w:rsidRPr="00BB6462">
        <w:rPr>
          <w:lang w:val="pt-BR"/>
        </w:rPr>
        <w:t>182</w:t>
      </w:r>
      <w:r w:rsidRPr="00BB6462">
        <w:rPr>
          <w:lang w:val="pt-BR"/>
        </w:rPr>
        <w:t>段</w:t>
      </w:r>
      <w:r w:rsidRPr="00BB6462">
        <w:rPr>
          <w:lang w:val="pt-BR"/>
        </w:rPr>
        <w:t>(</w:t>
      </w:r>
      <w:r w:rsidRPr="00BB6462">
        <w:rPr>
          <w:lang w:val="pt-BR"/>
        </w:rPr>
        <w:t>认定</w:t>
      </w:r>
      <w:r w:rsidRPr="00BB6462">
        <w:rPr>
          <w:rFonts w:hint="eastAsia"/>
          <w:lang w:val="pt-BR"/>
        </w:rPr>
        <w:t>“</w:t>
      </w:r>
      <w:r w:rsidRPr="00BB6462">
        <w:rPr>
          <w:lang w:val="pt-BR"/>
        </w:rPr>
        <w:t>宜将计划或政策的存在视作被指控为危害人类罪的罪行具有系统性的标志</w:t>
      </w:r>
      <w:r w:rsidRPr="00BB6462">
        <w:rPr>
          <w:rFonts w:hint="eastAsia"/>
          <w:lang w:val="pt-BR"/>
        </w:rPr>
        <w:t>”</w:t>
      </w:r>
      <w:r w:rsidRPr="00BB6462">
        <w:rPr>
          <w:lang w:val="pt-BR"/>
        </w:rPr>
        <w:t>)</w:t>
      </w:r>
      <w:r w:rsidRPr="00BB6462">
        <w:rPr>
          <w:lang w:val="pt-BR"/>
        </w:rPr>
        <w:t>；</w:t>
      </w:r>
      <w:r w:rsidRPr="00BB6462">
        <w:rPr>
          <w:lang w:val="pt-BR"/>
        </w:rPr>
        <w:t>Kayishema 199</w:t>
      </w:r>
      <w:r>
        <w:rPr>
          <w:lang w:val="pt-BR"/>
        </w:rPr>
        <w:t xml:space="preserve">9, </w:t>
      </w:r>
      <w:r w:rsidRPr="00BB6462">
        <w:rPr>
          <w:lang w:val="pt-BR"/>
        </w:rPr>
        <w:t>前注</w:t>
      </w:r>
      <w:r w:rsidRPr="00BB6462">
        <w:rPr>
          <w:lang w:val="pt-BR"/>
        </w:rPr>
        <w:t>12</w:t>
      </w:r>
      <w:r>
        <w:rPr>
          <w:lang w:val="pt-BR"/>
        </w:rPr>
        <w:t xml:space="preserve">2, </w:t>
      </w:r>
      <w:r w:rsidRPr="00BB6462">
        <w:rPr>
          <w:lang w:val="pt-BR"/>
        </w:rPr>
        <w:t>第</w:t>
      </w:r>
      <w:r w:rsidRPr="00BB6462">
        <w:rPr>
          <w:lang w:val="pt-BR"/>
        </w:rPr>
        <w:t>124</w:t>
      </w:r>
      <w:r w:rsidRPr="00BB6462">
        <w:rPr>
          <w:lang w:val="pt-BR"/>
        </w:rPr>
        <w:t>段</w:t>
      </w:r>
      <w:r w:rsidRPr="00BB6462">
        <w:rPr>
          <w:lang w:val="pt-BR"/>
        </w:rPr>
        <w:t>(</w:t>
      </w:r>
      <w:r w:rsidRPr="00BB6462">
        <w:rPr>
          <w:rFonts w:hint="eastAsia"/>
          <w:lang w:val="pt-BR"/>
        </w:rPr>
        <w:t>“</w:t>
      </w:r>
      <w:r w:rsidRPr="00BB6462">
        <w:rPr>
          <w:lang w:val="pt-BR"/>
        </w:rPr>
        <w:t>大规模侵害行为只有包含政策要件，才能构成危害人类罪。具备广泛或有系统这两个条件之一，即足以证明有关行为是作为某更广泛的政策或计划的一部分实施的。</w:t>
      </w:r>
      <w:r w:rsidRPr="00BB6462">
        <w:rPr>
          <w:rFonts w:hint="eastAsia"/>
          <w:lang w:val="pt-BR"/>
        </w:rPr>
        <w:t>”</w:t>
      </w:r>
      <w:r w:rsidRPr="00BB6462">
        <w:rPr>
          <w:lang w:val="pt-BR"/>
        </w:rPr>
        <w:t>)</w:t>
      </w:r>
      <w:r w:rsidRPr="00BB6462">
        <w:rPr>
          <w:lang w:val="pt-BR"/>
        </w:rPr>
        <w:t>；</w:t>
      </w:r>
      <w:r w:rsidRPr="00BB6462">
        <w:rPr>
          <w:lang w:val="pt-BR"/>
        </w:rPr>
        <w:t>Akayesu 199</w:t>
      </w:r>
      <w:r>
        <w:rPr>
          <w:lang w:val="pt-BR"/>
        </w:rPr>
        <w:t xml:space="preserve">8, </w:t>
      </w:r>
      <w:r w:rsidRPr="00BB6462">
        <w:rPr>
          <w:lang w:val="pt-BR"/>
        </w:rPr>
        <w:t>前注</w:t>
      </w:r>
      <w:r w:rsidRPr="00BB6462">
        <w:rPr>
          <w:rFonts w:hint="eastAsia"/>
          <w:lang w:val="pt-BR"/>
        </w:rPr>
        <w:t>12</w:t>
      </w:r>
      <w:r>
        <w:rPr>
          <w:rFonts w:hint="eastAsia"/>
          <w:lang w:val="pt-BR"/>
        </w:rPr>
        <w:t xml:space="preserve">0, </w:t>
      </w:r>
      <w:r w:rsidRPr="00BB6462">
        <w:rPr>
          <w:lang w:val="pt-BR"/>
        </w:rPr>
        <w:t>第</w:t>
      </w:r>
      <w:r w:rsidRPr="00BB6462">
        <w:rPr>
          <w:lang w:val="pt-BR"/>
        </w:rPr>
        <w:t>580</w:t>
      </w:r>
      <w:r w:rsidRPr="00BB6462">
        <w:rPr>
          <w:lang w:val="pt-BR"/>
        </w:rPr>
        <w:t>段。</w:t>
      </w:r>
    </w:p>
  </w:footnote>
  <w:footnote w:id="17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w:t>
      </w:r>
      <w:r w:rsidRPr="00BB6462">
        <w:rPr>
          <w:lang w:val="pt-BR"/>
        </w:rPr>
        <w:t>1954</w:t>
      </w:r>
      <w:r w:rsidRPr="00BB6462">
        <w:rPr>
          <w:rFonts w:hint="eastAsia"/>
          <w:lang w:val="pt-BR"/>
        </w:rPr>
        <w:t>年……</w:t>
      </w:r>
      <w:r w:rsidRPr="00BB6462">
        <w:rPr>
          <w:lang w:val="pt-BR"/>
        </w:rPr>
        <w:t>年鉴》，第二卷，第</w:t>
      </w:r>
      <w:r w:rsidRPr="00BB6462">
        <w:rPr>
          <w:lang w:val="pt-BR"/>
        </w:rPr>
        <w:t>150</w:t>
      </w:r>
      <w:r w:rsidRPr="00BB6462">
        <w:rPr>
          <w:lang w:val="pt-BR"/>
        </w:rPr>
        <w:t>页</w:t>
      </w:r>
      <w:r w:rsidRPr="00BB6462">
        <w:rPr>
          <w:lang w:val="pt-BR"/>
        </w:rPr>
        <w:t>(</w:t>
      </w:r>
      <w:r w:rsidRPr="00BB6462">
        <w:rPr>
          <w:lang w:val="pt-BR"/>
        </w:rPr>
        <w:t>着重号是本文所加</w:t>
      </w:r>
      <w:r w:rsidRPr="00BB6462">
        <w:rPr>
          <w:lang w:val="pt-BR"/>
        </w:rPr>
        <w:t>)</w:t>
      </w:r>
      <w:r w:rsidRPr="00BB6462">
        <w:rPr>
          <w:lang w:val="pt-BR"/>
        </w:rPr>
        <w:t>。</w:t>
      </w:r>
    </w:p>
  </w:footnote>
  <w:footnote w:id="17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w:t>
      </w:r>
    </w:p>
  </w:footnote>
  <w:footnote w:id="17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w:t>
      </w:r>
      <w:r w:rsidRPr="00BB6462">
        <w:rPr>
          <w:lang w:val="pt-BR"/>
        </w:rPr>
        <w:t>1996</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47</w:t>
      </w:r>
      <w:r w:rsidRPr="00BB6462">
        <w:rPr>
          <w:lang w:val="pt-BR"/>
        </w:rPr>
        <w:t>页</w:t>
      </w:r>
      <w:r w:rsidRPr="00BB6462">
        <w:rPr>
          <w:lang w:val="pt-BR"/>
        </w:rPr>
        <w:t>(</w:t>
      </w:r>
      <w:r w:rsidRPr="00BB6462">
        <w:rPr>
          <w:lang w:val="pt-BR"/>
        </w:rPr>
        <w:t>着重号是本文所加</w:t>
      </w:r>
      <w:r w:rsidRPr="00BB6462">
        <w:rPr>
          <w:lang w:val="pt-BR"/>
        </w:rPr>
        <w:t>)</w:t>
      </w:r>
      <w:r w:rsidRPr="00BB6462">
        <w:rPr>
          <w:lang w:val="pt-BR"/>
        </w:rPr>
        <w:t>。</w:t>
      </w:r>
    </w:p>
  </w:footnote>
  <w:footnote w:id="17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同上。委员会在解释为何加入这一政策要件时表示：</w:t>
      </w:r>
      <w:r w:rsidRPr="00BB6462">
        <w:rPr>
          <w:rFonts w:hint="eastAsia"/>
          <w:lang w:val="pt-BR"/>
        </w:rPr>
        <w:t>“</w:t>
      </w:r>
      <w:r w:rsidRPr="00BB6462">
        <w:rPr>
          <w:lang w:val="pt-BR"/>
        </w:rPr>
        <w:t>个别人单凭自己极难进行第</w:t>
      </w:r>
      <w:r w:rsidRPr="00BB6462">
        <w:rPr>
          <w:lang w:val="pt-BR"/>
        </w:rPr>
        <w:t>18</w:t>
      </w:r>
      <w:r w:rsidRPr="00BB6462">
        <w:rPr>
          <w:lang w:val="pt-BR"/>
        </w:rPr>
        <w:t>条所指的非人道行为。</w:t>
      </w:r>
      <w:r w:rsidRPr="00BB6462">
        <w:rPr>
          <w:rFonts w:hint="eastAsia"/>
          <w:lang w:val="pt-BR"/>
        </w:rPr>
        <w:t>”</w:t>
      </w:r>
    </w:p>
  </w:footnote>
  <w:footnote w:id="18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国际刑院，《犯罪要件》，前注</w:t>
      </w:r>
      <w:r w:rsidRPr="00BB6462">
        <w:rPr>
          <w:rFonts w:hint="eastAsia"/>
          <w:lang w:val="pt-BR"/>
        </w:rPr>
        <w:t>14</w:t>
      </w:r>
      <w:r>
        <w:rPr>
          <w:rFonts w:hint="eastAsia"/>
          <w:lang w:val="pt-BR"/>
        </w:rPr>
        <w:t xml:space="preserve">5, </w:t>
      </w:r>
      <w:r w:rsidRPr="00BB6462">
        <w:rPr>
          <w:lang w:val="pt-BR"/>
        </w:rPr>
        <w:t>第</w:t>
      </w:r>
      <w:r w:rsidRPr="00BB6462">
        <w:rPr>
          <w:lang w:val="pt-BR"/>
        </w:rPr>
        <w:t>5</w:t>
      </w:r>
      <w:r w:rsidRPr="00BB6462">
        <w:rPr>
          <w:lang w:val="pt-BR"/>
        </w:rPr>
        <w:t>页。</w:t>
      </w:r>
    </w:p>
  </w:footnote>
  <w:footnote w:id="18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同上。其他先例也强调，故意不采取行动可满足政策要件。见</w:t>
      </w:r>
      <w:r w:rsidRPr="00BB6462">
        <w:rPr>
          <w:lang w:val="pt-BR"/>
        </w:rPr>
        <w:t>Kupreškić 200</w:t>
      </w:r>
      <w:r>
        <w:rPr>
          <w:lang w:val="pt-BR"/>
        </w:rPr>
        <w:t xml:space="preserve">0, </w:t>
      </w:r>
      <w:r w:rsidRPr="00BB6462">
        <w:rPr>
          <w:lang w:val="pt-BR"/>
        </w:rPr>
        <w:t>前注</w:t>
      </w:r>
      <w:r w:rsidRPr="00BB6462">
        <w:rPr>
          <w:lang w:val="pt-BR"/>
        </w:rPr>
        <w:t>9</w:t>
      </w:r>
      <w:r>
        <w:rPr>
          <w:lang w:val="pt-BR"/>
        </w:rPr>
        <w:t xml:space="preserve">7, </w:t>
      </w:r>
      <w:r w:rsidRPr="00BB6462">
        <w:rPr>
          <w:lang w:val="pt-BR"/>
        </w:rPr>
        <w:t>第</w:t>
      </w:r>
      <w:r w:rsidRPr="00BB6462">
        <w:rPr>
          <w:lang w:val="pt-BR"/>
        </w:rPr>
        <w:t>554-55</w:t>
      </w:r>
      <w:r w:rsidRPr="00BB6462">
        <w:rPr>
          <w:lang w:val="pt-BR"/>
        </w:rPr>
        <w:t>段</w:t>
      </w:r>
      <w:r w:rsidRPr="00BB6462">
        <w:rPr>
          <w:lang w:val="pt-BR"/>
        </w:rPr>
        <w:t>(</w:t>
      </w:r>
      <w:r w:rsidRPr="00BB6462">
        <w:rPr>
          <w:rFonts w:hint="eastAsia"/>
          <w:lang w:val="pt-BR"/>
        </w:rPr>
        <w:t>“</w:t>
      </w:r>
      <w:r w:rsidRPr="00BB6462">
        <w:rPr>
          <w:lang w:val="pt-BR"/>
        </w:rPr>
        <w:t>批准的</w:t>
      </w:r>
      <w:r w:rsidRPr="00BB6462">
        <w:rPr>
          <w:rFonts w:hint="eastAsia"/>
          <w:lang w:val="pt-BR"/>
        </w:rPr>
        <w:t>”</w:t>
      </w:r>
      <w:r w:rsidRPr="00BB6462">
        <w:rPr>
          <w:lang w:val="pt-BR"/>
        </w:rPr>
        <w:t>、</w:t>
      </w:r>
      <w:r w:rsidRPr="00BB6462">
        <w:rPr>
          <w:rFonts w:hint="eastAsia"/>
          <w:lang w:val="pt-BR"/>
        </w:rPr>
        <w:t>“</w:t>
      </w:r>
      <w:r w:rsidRPr="00BB6462">
        <w:rPr>
          <w:lang w:val="pt-BR"/>
        </w:rPr>
        <w:t>纵容的</w:t>
      </w:r>
      <w:r w:rsidRPr="00BB6462">
        <w:rPr>
          <w:rFonts w:hint="eastAsia"/>
          <w:lang w:val="pt-BR"/>
        </w:rPr>
        <w:t>”</w:t>
      </w:r>
      <w:r w:rsidRPr="00BB6462">
        <w:rPr>
          <w:lang w:val="pt-BR"/>
        </w:rPr>
        <w:t>、</w:t>
      </w:r>
      <w:r w:rsidRPr="00BB6462">
        <w:rPr>
          <w:rFonts w:hint="eastAsia"/>
          <w:lang w:val="pt-BR"/>
        </w:rPr>
        <w:t>“</w:t>
      </w:r>
      <w:r w:rsidRPr="00BB6462">
        <w:rPr>
          <w:lang w:val="pt-BR"/>
        </w:rPr>
        <w:t>明确或暗中许可</w:t>
      </w:r>
      <w:r w:rsidRPr="00BB6462">
        <w:rPr>
          <w:rFonts w:hint="eastAsia"/>
          <w:lang w:val="pt-BR"/>
        </w:rPr>
        <w:t>”</w:t>
      </w:r>
      <w:r w:rsidRPr="00BB6462">
        <w:rPr>
          <w:lang w:val="pt-BR"/>
        </w:rPr>
        <w:t>)</w:t>
      </w:r>
      <w:r w:rsidRPr="00BB6462">
        <w:rPr>
          <w:lang w:val="pt-BR"/>
        </w:rPr>
        <w:t>；《</w:t>
      </w:r>
      <w:r w:rsidRPr="00BB6462">
        <w:rPr>
          <w:lang w:val="pt-BR"/>
        </w:rPr>
        <w:t>1954</w:t>
      </w:r>
      <w:r w:rsidRPr="00BB6462">
        <w:rPr>
          <w:rFonts w:hint="eastAsia"/>
          <w:lang w:val="pt-BR"/>
        </w:rPr>
        <w:t>年……</w:t>
      </w:r>
      <w:r w:rsidRPr="00BB6462">
        <w:rPr>
          <w:lang w:val="pt-BR"/>
        </w:rPr>
        <w:t>年鉴》，第二卷，第</w:t>
      </w:r>
      <w:r w:rsidRPr="00BB6462">
        <w:rPr>
          <w:lang w:val="pt-BR"/>
        </w:rPr>
        <w:t>150</w:t>
      </w:r>
      <w:r w:rsidRPr="00BB6462">
        <w:rPr>
          <w:lang w:val="pt-BR"/>
        </w:rPr>
        <w:t>页</w:t>
      </w:r>
      <w:r w:rsidRPr="00BB6462">
        <w:rPr>
          <w:lang w:val="pt-BR"/>
        </w:rPr>
        <w:t>(</w:t>
      </w:r>
      <w:r w:rsidRPr="00BB6462">
        <w:rPr>
          <w:lang w:val="pt-BR"/>
        </w:rPr>
        <w:t>第</w:t>
      </w:r>
      <w:r w:rsidRPr="00BB6462">
        <w:rPr>
          <w:lang w:val="pt-BR"/>
        </w:rPr>
        <w:t>2(11)</w:t>
      </w:r>
      <w:r w:rsidRPr="00BB6462">
        <w:rPr>
          <w:lang w:val="pt-BR"/>
        </w:rPr>
        <w:t>条</w:t>
      </w:r>
      <w:r w:rsidRPr="00BB6462">
        <w:rPr>
          <w:lang w:val="pt-BR"/>
        </w:rPr>
        <w:t>) (</w:t>
      </w:r>
      <w:r w:rsidRPr="00BB6462">
        <w:rPr>
          <w:rFonts w:hint="eastAsia"/>
          <w:lang w:val="pt-BR"/>
        </w:rPr>
        <w:t>“</w:t>
      </w:r>
      <w:r w:rsidRPr="00BB6462">
        <w:rPr>
          <w:lang w:val="pt-BR"/>
        </w:rPr>
        <w:t>容忍</w:t>
      </w:r>
      <w:r w:rsidRPr="00BB6462">
        <w:rPr>
          <w:rFonts w:hint="eastAsia"/>
          <w:lang w:val="pt-BR"/>
        </w:rPr>
        <w:t>”</w:t>
      </w:r>
      <w:r w:rsidRPr="00BB6462">
        <w:rPr>
          <w:lang w:val="pt-BR"/>
        </w:rPr>
        <w:t>)</w:t>
      </w:r>
      <w:r w:rsidRPr="00BB6462">
        <w:rPr>
          <w:lang w:val="pt-BR"/>
        </w:rPr>
        <w:t>；安全理事会，安全理事会第</w:t>
      </w:r>
      <w:r w:rsidRPr="00BB6462">
        <w:rPr>
          <w:lang w:val="pt-BR"/>
        </w:rPr>
        <w:t>780(1992)</w:t>
      </w:r>
      <w:r w:rsidRPr="00BB6462">
        <w:rPr>
          <w:lang w:val="pt-BR"/>
        </w:rPr>
        <w:t>号决议所设专家委员会的报告，</w:t>
      </w:r>
      <w:r w:rsidRPr="00BB6462">
        <w:rPr>
          <w:lang w:val="pt-BR"/>
        </w:rPr>
        <w:t>S/1994/674</w:t>
      </w:r>
      <w:r w:rsidRPr="00BB6462">
        <w:rPr>
          <w:lang w:val="pt-BR"/>
        </w:rPr>
        <w:t>号文件，第</w:t>
      </w:r>
      <w:r w:rsidRPr="00BB6462">
        <w:rPr>
          <w:lang w:val="pt-BR"/>
        </w:rPr>
        <w:t>85</w:t>
      </w:r>
      <w:r w:rsidRPr="00BB6462">
        <w:rPr>
          <w:lang w:val="pt-BR"/>
        </w:rPr>
        <w:t>段。</w:t>
      </w:r>
    </w:p>
  </w:footnote>
  <w:footnote w:id="18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pt-BR"/>
        </w:rPr>
        <w:tab/>
      </w:r>
      <w:r w:rsidRPr="00BB6462">
        <w:rPr>
          <w:lang w:val="pt-BR"/>
        </w:rPr>
        <w:t>例如，见</w:t>
      </w:r>
      <w:r w:rsidRPr="00BB6462">
        <w:rPr>
          <w:lang w:val="pt-BR"/>
        </w:rPr>
        <w:t>Ntaganda 201</w:t>
      </w:r>
      <w:r>
        <w:rPr>
          <w:lang w:val="pt-BR"/>
        </w:rPr>
        <w:t xml:space="preserve">2, </w:t>
      </w:r>
      <w:r w:rsidRPr="00BB6462">
        <w:rPr>
          <w:lang w:val="pt-BR"/>
        </w:rPr>
        <w:t>前注</w:t>
      </w:r>
      <w:r w:rsidRPr="00BB6462">
        <w:rPr>
          <w:rFonts w:hint="eastAsia"/>
          <w:lang w:val="pt-BR"/>
        </w:rPr>
        <w:t>12</w:t>
      </w:r>
      <w:r>
        <w:rPr>
          <w:rFonts w:hint="eastAsia"/>
          <w:lang w:val="pt-BR"/>
        </w:rPr>
        <w:t xml:space="preserve">8, </w:t>
      </w:r>
      <w:r w:rsidRPr="00BB6462">
        <w:rPr>
          <w:lang w:val="pt-BR"/>
        </w:rPr>
        <w:t>第</w:t>
      </w:r>
      <w:r w:rsidRPr="00BB6462">
        <w:rPr>
          <w:lang w:val="pt-BR"/>
        </w:rPr>
        <w:t>24</w:t>
      </w:r>
      <w:r w:rsidRPr="00BB6462">
        <w:rPr>
          <w:lang w:val="pt-BR"/>
        </w:rPr>
        <w:t>段；</w:t>
      </w:r>
      <w:r w:rsidRPr="00BB6462">
        <w:rPr>
          <w:lang w:val="pt-BR"/>
        </w:rPr>
        <w:t>Bemba 200</w:t>
      </w:r>
      <w:r>
        <w:rPr>
          <w:lang w:val="pt-BR"/>
        </w:rPr>
        <w:t xml:space="preserve">9, </w:t>
      </w:r>
      <w:r w:rsidRPr="00BB6462">
        <w:rPr>
          <w:lang w:val="pt-BR"/>
        </w:rPr>
        <w:t>前注</w:t>
      </w:r>
      <w:r w:rsidRPr="00BB6462">
        <w:rPr>
          <w:lang w:val="pt-BR"/>
        </w:rPr>
        <w:t>12</w:t>
      </w:r>
      <w:r>
        <w:rPr>
          <w:lang w:val="pt-BR"/>
        </w:rPr>
        <w:t xml:space="preserve">5, </w:t>
      </w:r>
      <w:r w:rsidRPr="00BB6462">
        <w:rPr>
          <w:lang w:val="pt-BR"/>
        </w:rPr>
        <w:t>第</w:t>
      </w:r>
      <w:r w:rsidRPr="00BB6462">
        <w:rPr>
          <w:lang w:val="pt-BR"/>
        </w:rPr>
        <w:t>81</w:t>
      </w:r>
      <w:r w:rsidRPr="00BB6462">
        <w:rPr>
          <w:lang w:val="pt-BR"/>
        </w:rPr>
        <w:t>段；</w:t>
      </w:r>
      <w:r w:rsidRPr="00BB6462">
        <w:rPr>
          <w:lang w:val="pt-BR"/>
        </w:rPr>
        <w:t>Katanga 200</w:t>
      </w:r>
      <w:r>
        <w:rPr>
          <w:lang w:val="pt-BR"/>
        </w:rPr>
        <w:t xml:space="preserve">8,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396</w:t>
      </w:r>
      <w:r w:rsidRPr="00BB6462">
        <w:rPr>
          <w:lang w:val="pt-BR"/>
        </w:rPr>
        <w:t>段。</w:t>
      </w:r>
    </w:p>
  </w:footnote>
  <w:footnote w:id="18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1112</w:t>
      </w:r>
      <w:r w:rsidRPr="00BB6462">
        <w:rPr>
          <w:lang w:val="pt-BR"/>
        </w:rPr>
        <w:t>段；另见同上，第</w:t>
      </w:r>
      <w:r w:rsidRPr="00BB6462">
        <w:rPr>
          <w:lang w:val="pt-BR"/>
        </w:rPr>
        <w:t>1101</w:t>
      </w:r>
      <w:r w:rsidRPr="00BB6462">
        <w:rPr>
          <w:lang w:val="pt-BR"/>
        </w:rPr>
        <w:t>段；</w:t>
      </w:r>
      <w:r w:rsidRPr="00BB6462">
        <w:rPr>
          <w:lang w:val="pt-BR"/>
        </w:rPr>
        <w:t>Gbagbo 201</w:t>
      </w:r>
      <w:r>
        <w:rPr>
          <w:lang w:val="pt-BR"/>
        </w:rPr>
        <w:t xml:space="preserve">4, </w:t>
      </w:r>
      <w:r w:rsidRPr="00BB6462">
        <w:rPr>
          <w:lang w:val="pt-BR"/>
        </w:rPr>
        <w:t>前注</w:t>
      </w:r>
      <w:r w:rsidRPr="00BB6462">
        <w:rPr>
          <w:rFonts w:hint="eastAsia"/>
          <w:lang w:val="pt-BR"/>
        </w:rPr>
        <w:t>14</w:t>
      </w:r>
      <w:r>
        <w:rPr>
          <w:rFonts w:hint="eastAsia"/>
          <w:lang w:val="pt-BR"/>
        </w:rPr>
        <w:t xml:space="preserve">4, </w:t>
      </w:r>
      <w:r w:rsidRPr="00BB6462">
        <w:rPr>
          <w:lang w:val="pt-BR"/>
        </w:rPr>
        <w:t>第</w:t>
      </w:r>
      <w:r w:rsidRPr="00BB6462">
        <w:rPr>
          <w:lang w:val="pt-BR"/>
        </w:rPr>
        <w:t>208</w:t>
      </w:r>
      <w:r w:rsidRPr="00BB6462">
        <w:rPr>
          <w:lang w:val="pt-BR"/>
        </w:rPr>
        <w:t>段。</w:t>
      </w:r>
    </w:p>
  </w:footnote>
  <w:footnote w:id="18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1111-13</w:t>
      </w:r>
      <w:r w:rsidRPr="00BB6462">
        <w:rPr>
          <w:lang w:val="pt-BR"/>
        </w:rPr>
        <w:t>段。</w:t>
      </w:r>
    </w:p>
  </w:footnote>
  <w:footnote w:id="18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1113</w:t>
      </w:r>
      <w:r w:rsidRPr="00BB6462">
        <w:rPr>
          <w:lang w:val="pt-BR"/>
        </w:rPr>
        <w:t>段。</w:t>
      </w:r>
    </w:p>
  </w:footnote>
  <w:footnote w:id="18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1108-1109</w:t>
      </w:r>
      <w:r w:rsidRPr="00BB6462">
        <w:rPr>
          <w:lang w:val="pt-BR"/>
        </w:rPr>
        <w:t>段和第</w:t>
      </w:r>
      <w:r w:rsidRPr="00BB6462">
        <w:rPr>
          <w:lang w:val="pt-BR"/>
        </w:rPr>
        <w:t>1113</w:t>
      </w:r>
      <w:r w:rsidRPr="00BB6462">
        <w:rPr>
          <w:lang w:val="pt-BR"/>
        </w:rPr>
        <w:t>段。</w:t>
      </w:r>
    </w:p>
  </w:footnote>
  <w:footnote w:id="18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1109</w:t>
      </w:r>
      <w:r w:rsidRPr="00BB6462">
        <w:rPr>
          <w:lang w:val="pt-BR"/>
        </w:rPr>
        <w:t>段；另见</w:t>
      </w:r>
      <w:r w:rsidRPr="00BB6462">
        <w:rPr>
          <w:lang w:val="pt-BR"/>
        </w:rPr>
        <w:t>Gbagbo 201</w:t>
      </w:r>
      <w:r>
        <w:rPr>
          <w:lang w:val="pt-BR"/>
        </w:rPr>
        <w:t xml:space="preserve">4, </w:t>
      </w:r>
      <w:r w:rsidRPr="00BB6462">
        <w:rPr>
          <w:lang w:val="pt-BR"/>
        </w:rPr>
        <w:t>前注</w:t>
      </w:r>
      <w:r w:rsidRPr="00BB6462">
        <w:rPr>
          <w:rFonts w:hint="eastAsia"/>
          <w:lang w:val="pt-BR"/>
        </w:rPr>
        <w:t>14</w:t>
      </w:r>
      <w:r>
        <w:rPr>
          <w:rFonts w:hint="eastAsia"/>
          <w:lang w:val="pt-BR"/>
        </w:rPr>
        <w:t xml:space="preserve">4, </w:t>
      </w:r>
      <w:r w:rsidRPr="00BB6462">
        <w:rPr>
          <w:lang w:val="pt-BR"/>
        </w:rPr>
        <w:t>第</w:t>
      </w:r>
      <w:r w:rsidRPr="00BB6462">
        <w:rPr>
          <w:lang w:val="pt-BR"/>
        </w:rPr>
        <w:t>211-212</w:t>
      </w:r>
      <w:r w:rsidRPr="00BB6462">
        <w:rPr>
          <w:lang w:val="pt-BR"/>
        </w:rPr>
        <w:t>段，和第</w:t>
      </w:r>
      <w:r w:rsidRPr="00BB6462">
        <w:rPr>
          <w:lang w:val="pt-BR"/>
        </w:rPr>
        <w:t>215</w:t>
      </w:r>
      <w:r w:rsidRPr="00BB6462">
        <w:rPr>
          <w:lang w:val="pt-BR"/>
        </w:rPr>
        <w:t>段。</w:t>
      </w:r>
    </w:p>
  </w:footnote>
  <w:footnote w:id="18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1110</w:t>
      </w:r>
      <w:r w:rsidRPr="00BB6462">
        <w:rPr>
          <w:lang w:val="pt-BR"/>
        </w:rPr>
        <w:t>段。</w:t>
      </w:r>
    </w:p>
  </w:footnote>
  <w:footnote w:id="18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Gbagbo 201</w:t>
      </w:r>
      <w:r>
        <w:rPr>
          <w:lang w:val="pt-BR"/>
        </w:rPr>
        <w:t xml:space="preserve">4, </w:t>
      </w:r>
      <w:r w:rsidRPr="00BB6462">
        <w:rPr>
          <w:lang w:val="pt-BR"/>
        </w:rPr>
        <w:t>前注</w:t>
      </w:r>
      <w:r w:rsidRPr="00BB6462">
        <w:rPr>
          <w:rFonts w:hint="eastAsia"/>
          <w:lang w:val="pt-BR"/>
        </w:rPr>
        <w:t>14</w:t>
      </w:r>
      <w:r>
        <w:rPr>
          <w:rFonts w:hint="eastAsia"/>
          <w:lang w:val="pt-BR"/>
        </w:rPr>
        <w:t xml:space="preserve">4, </w:t>
      </w:r>
      <w:r w:rsidRPr="00BB6462">
        <w:rPr>
          <w:lang w:val="pt-BR"/>
        </w:rPr>
        <w:t>第</w:t>
      </w:r>
      <w:r w:rsidRPr="00BB6462">
        <w:rPr>
          <w:lang w:val="pt-BR"/>
        </w:rPr>
        <w:t>208</w:t>
      </w:r>
      <w:r w:rsidRPr="00BB6462">
        <w:rPr>
          <w:lang w:val="pt-BR"/>
        </w:rPr>
        <w:t>段和第</w:t>
      </w:r>
      <w:r w:rsidRPr="00BB6462">
        <w:rPr>
          <w:lang w:val="pt-BR"/>
        </w:rPr>
        <w:t>216</w:t>
      </w:r>
      <w:r w:rsidRPr="00BB6462">
        <w:rPr>
          <w:lang w:val="pt-BR"/>
        </w:rPr>
        <w:t>段。</w:t>
      </w:r>
    </w:p>
  </w:footnote>
  <w:footnote w:id="19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216</w:t>
      </w:r>
      <w:r w:rsidRPr="00BB6462">
        <w:rPr>
          <w:lang w:val="pt-BR"/>
        </w:rPr>
        <w:t>段。</w:t>
      </w:r>
    </w:p>
  </w:footnote>
  <w:footnote w:id="19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217</w:t>
      </w:r>
      <w:r w:rsidRPr="00BB6462">
        <w:rPr>
          <w:lang w:val="pt-BR"/>
        </w:rPr>
        <w:t>段。</w:t>
      </w:r>
    </w:p>
  </w:footnote>
  <w:footnote w:id="19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215</w:t>
      </w:r>
      <w:r w:rsidRPr="00BB6462">
        <w:rPr>
          <w:lang w:val="pt-BR"/>
        </w:rPr>
        <w:t>段。</w:t>
      </w:r>
    </w:p>
  </w:footnote>
  <w:footnote w:id="19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214</w:t>
      </w:r>
      <w:r w:rsidRPr="00BB6462">
        <w:rPr>
          <w:lang w:val="pt-BR"/>
        </w:rPr>
        <w:t>段</w:t>
      </w:r>
      <w:r w:rsidRPr="00BB6462">
        <w:rPr>
          <w:lang w:val="pt-BR"/>
        </w:rPr>
        <w:t>(</w:t>
      </w:r>
      <w:r w:rsidRPr="00BB6462">
        <w:rPr>
          <w:lang w:val="pt-BR"/>
        </w:rPr>
        <w:t>脚注略</w:t>
      </w:r>
      <w:r w:rsidRPr="00BB6462">
        <w:rPr>
          <w:lang w:val="pt-BR"/>
        </w:rPr>
        <w:t>)</w:t>
      </w:r>
      <w:r w:rsidRPr="00BB6462">
        <w:rPr>
          <w:lang w:val="pt-BR"/>
        </w:rPr>
        <w:t>。</w:t>
      </w:r>
    </w:p>
  </w:footnote>
  <w:footnote w:id="19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Bemba 200</w:t>
      </w:r>
      <w:r>
        <w:rPr>
          <w:lang w:val="pt-BR"/>
        </w:rPr>
        <w:t xml:space="preserve">9, </w:t>
      </w:r>
      <w:r w:rsidRPr="00BB6462">
        <w:rPr>
          <w:lang w:val="pt-BR"/>
        </w:rPr>
        <w:t>前注</w:t>
      </w:r>
      <w:r w:rsidRPr="00BB6462">
        <w:rPr>
          <w:lang w:val="pt-BR"/>
        </w:rPr>
        <w:t>12</w:t>
      </w:r>
      <w:r>
        <w:rPr>
          <w:lang w:val="pt-BR"/>
        </w:rPr>
        <w:t xml:space="preserve">5, </w:t>
      </w:r>
      <w:r w:rsidRPr="00BB6462">
        <w:rPr>
          <w:lang w:val="pt-BR"/>
        </w:rPr>
        <w:t>第</w:t>
      </w:r>
      <w:r w:rsidRPr="00BB6462">
        <w:rPr>
          <w:lang w:val="pt-BR"/>
        </w:rPr>
        <w:t>115</w:t>
      </w:r>
      <w:r w:rsidRPr="00BB6462">
        <w:rPr>
          <w:lang w:val="pt-BR"/>
        </w:rPr>
        <w:t>段。</w:t>
      </w:r>
    </w:p>
  </w:footnote>
  <w:footnote w:id="19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fr-CH"/>
        </w:rPr>
      </w:pPr>
      <w:r w:rsidRPr="00BB6462">
        <w:tab/>
      </w:r>
      <w:r w:rsidRPr="00736AA5">
        <w:rPr>
          <w:rStyle w:val="a3"/>
          <w:szCs w:val="21"/>
        </w:rPr>
        <w:footnoteRef/>
      </w:r>
      <w:r w:rsidRPr="00BB6462">
        <w:rPr>
          <w:lang w:val="fr-CH"/>
        </w:rPr>
        <w:tab/>
      </w:r>
      <w:r w:rsidRPr="00BB6462">
        <w:rPr>
          <w:lang w:val="pt-BR"/>
        </w:rPr>
        <w:t>2010</w:t>
      </w:r>
      <w:r w:rsidRPr="0041050A">
        <w:rPr>
          <w:rFonts w:ascii="楷体_GB2312" w:eastAsia="楷体_GB2312"/>
          <w:lang w:val="pt-BR"/>
        </w:rPr>
        <w:t>年肯尼亚授权决定</w:t>
      </w:r>
      <w:r w:rsidRPr="00BB6462">
        <w:rPr>
          <w:lang w:val="pt-BR"/>
        </w:rPr>
        <w:t>，前注</w:t>
      </w:r>
      <w:r w:rsidRPr="00BB6462">
        <w:rPr>
          <w:lang w:val="pt-BR"/>
        </w:rPr>
        <w:t>12</w:t>
      </w:r>
      <w:r>
        <w:rPr>
          <w:lang w:val="pt-BR"/>
        </w:rPr>
        <w:t xml:space="preserve">5, </w:t>
      </w:r>
      <w:r w:rsidRPr="00BB6462">
        <w:rPr>
          <w:lang w:val="pt-BR"/>
        </w:rPr>
        <w:t>第</w:t>
      </w:r>
      <w:r w:rsidRPr="00BB6462">
        <w:rPr>
          <w:lang w:val="pt-BR"/>
        </w:rPr>
        <w:t>89</w:t>
      </w:r>
      <w:r w:rsidRPr="00BB6462">
        <w:rPr>
          <w:lang w:val="pt-BR"/>
        </w:rPr>
        <w:t>段。</w:t>
      </w:r>
    </w:p>
  </w:footnote>
  <w:footnote w:id="19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fr-CH"/>
        </w:rPr>
      </w:pPr>
      <w:r w:rsidRPr="00BB6462">
        <w:rPr>
          <w:lang w:val="fr-CH"/>
        </w:rPr>
        <w:tab/>
      </w:r>
      <w:r w:rsidRPr="00736AA5">
        <w:rPr>
          <w:rStyle w:val="a3"/>
          <w:szCs w:val="21"/>
        </w:rPr>
        <w:footnoteRef/>
      </w:r>
      <w:r w:rsidRPr="00BB6462">
        <w:rPr>
          <w:lang w:val="fr-CH"/>
        </w:rPr>
        <w:tab/>
      </w:r>
      <w:r w:rsidRPr="00BB6462">
        <w:rPr>
          <w:lang w:val="pt-BR"/>
        </w:rPr>
        <w:t>同上。</w:t>
      </w:r>
    </w:p>
  </w:footnote>
  <w:footnote w:id="19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fr-CH"/>
        </w:rPr>
      </w:pPr>
      <w:r w:rsidRPr="00BB6462">
        <w:rPr>
          <w:lang w:val="fr-CH"/>
        </w:rPr>
        <w:tab/>
      </w:r>
      <w:r w:rsidRPr="00736AA5">
        <w:rPr>
          <w:rStyle w:val="a3"/>
          <w:szCs w:val="21"/>
        </w:rPr>
        <w:footnoteRef/>
      </w:r>
      <w:r w:rsidRPr="00BB6462">
        <w:rPr>
          <w:lang w:val="fr-CH"/>
        </w:rPr>
        <w:tab/>
      </w:r>
      <w:r w:rsidRPr="00BB6462">
        <w:rPr>
          <w:lang w:val="pt-BR"/>
        </w:rPr>
        <w:t>Katanga 200</w:t>
      </w:r>
      <w:r>
        <w:rPr>
          <w:lang w:val="pt-BR"/>
        </w:rPr>
        <w:t xml:space="preserve">8,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396</w:t>
      </w:r>
      <w:r w:rsidRPr="00BB6462">
        <w:rPr>
          <w:lang w:val="pt-BR"/>
        </w:rPr>
        <w:t>段</w:t>
      </w:r>
      <w:r w:rsidRPr="00BB6462">
        <w:rPr>
          <w:lang w:val="pt-BR"/>
        </w:rPr>
        <w:t>(</w:t>
      </w:r>
      <w:r w:rsidRPr="00BB6462">
        <w:rPr>
          <w:lang w:val="pt-BR"/>
        </w:rPr>
        <w:t>引用前南刑庭和卢刑庭判例法，以及委员会</w:t>
      </w:r>
      <w:r w:rsidRPr="00BB6462">
        <w:rPr>
          <w:lang w:val="pt-BR"/>
        </w:rPr>
        <w:t>1991</w:t>
      </w:r>
      <w:r w:rsidRPr="00BB6462">
        <w:rPr>
          <w:lang w:val="pt-BR"/>
        </w:rPr>
        <w:t>年《</w:t>
      </w:r>
      <w:r w:rsidRPr="00BB6462">
        <w:rPr>
          <w:rFonts w:hint="eastAsia"/>
          <w:lang w:val="pt-BR"/>
        </w:rPr>
        <w:t>危害人类和平及安全</w:t>
      </w:r>
      <w:r w:rsidRPr="00BB6462">
        <w:rPr>
          <w:lang w:val="pt-BR"/>
        </w:rPr>
        <w:t>治罪法草案》</w:t>
      </w:r>
      <w:r w:rsidRPr="00BB6462">
        <w:rPr>
          <w:rFonts w:hint="eastAsia"/>
          <w:lang w:val="pt-BR"/>
        </w:rPr>
        <w:t>，《</w:t>
      </w:r>
      <w:r w:rsidRPr="00BB6462">
        <w:rPr>
          <w:rFonts w:hint="eastAsia"/>
          <w:lang w:val="pt-BR"/>
        </w:rPr>
        <w:t>1991</w:t>
      </w:r>
      <w:r w:rsidRPr="00BB6462">
        <w:rPr>
          <w:rFonts w:hint="eastAsia"/>
          <w:lang w:val="pt-BR"/>
        </w:rPr>
        <w:t>年……年鉴》，第二卷</w:t>
      </w:r>
      <w:r>
        <w:rPr>
          <w:rFonts w:hint="eastAsia"/>
          <w:lang w:val="pt-BR"/>
        </w:rPr>
        <w:t>(</w:t>
      </w:r>
      <w:r w:rsidRPr="00BB6462">
        <w:rPr>
          <w:rFonts w:hint="eastAsia"/>
          <w:lang w:val="pt-BR"/>
        </w:rPr>
        <w:t>第二部分</w:t>
      </w:r>
      <w:r>
        <w:rPr>
          <w:rFonts w:hint="eastAsia"/>
          <w:lang w:val="pt-BR"/>
        </w:rPr>
        <w:t>)</w:t>
      </w:r>
      <w:r w:rsidRPr="00BB6462">
        <w:rPr>
          <w:rFonts w:hint="eastAsia"/>
          <w:lang w:val="pt-BR"/>
        </w:rPr>
        <w:t>，第</w:t>
      </w:r>
      <w:r w:rsidRPr="00BB6462">
        <w:rPr>
          <w:rFonts w:hint="eastAsia"/>
          <w:lang w:val="pt-BR"/>
        </w:rPr>
        <w:t>103</w:t>
      </w:r>
      <w:r w:rsidRPr="00BB6462">
        <w:rPr>
          <w:rFonts w:hint="eastAsia"/>
          <w:lang w:val="pt-BR"/>
        </w:rPr>
        <w:t>页</w:t>
      </w:r>
      <w:r w:rsidRPr="00BB6462">
        <w:rPr>
          <w:lang w:val="pt-BR"/>
        </w:rPr>
        <w:t>)</w:t>
      </w:r>
      <w:r w:rsidRPr="00BB6462">
        <w:rPr>
          <w:lang w:val="pt-BR"/>
        </w:rPr>
        <w:t>；另见</w:t>
      </w:r>
      <w:r w:rsidRPr="00BB6462">
        <w:rPr>
          <w:lang w:val="pt-BR"/>
        </w:rPr>
        <w:t>Bemba 200</w:t>
      </w:r>
      <w:r>
        <w:rPr>
          <w:lang w:val="pt-BR"/>
        </w:rPr>
        <w:t xml:space="preserve">9, </w:t>
      </w:r>
      <w:r w:rsidRPr="00BB6462">
        <w:rPr>
          <w:lang w:val="pt-BR"/>
        </w:rPr>
        <w:t>前注</w:t>
      </w:r>
      <w:r w:rsidRPr="00BB6462">
        <w:rPr>
          <w:lang w:val="pt-BR"/>
        </w:rPr>
        <w:t>12</w:t>
      </w:r>
      <w:r>
        <w:rPr>
          <w:lang w:val="pt-BR"/>
        </w:rPr>
        <w:t xml:space="preserve">5, </w:t>
      </w:r>
      <w:r w:rsidRPr="00BB6462">
        <w:rPr>
          <w:lang w:val="pt-BR"/>
        </w:rPr>
        <w:t>第</w:t>
      </w:r>
      <w:r w:rsidRPr="00BB6462">
        <w:rPr>
          <w:lang w:val="pt-BR"/>
        </w:rPr>
        <w:t>81</w:t>
      </w:r>
      <w:r w:rsidRPr="00BB6462">
        <w:rPr>
          <w:lang w:val="pt-BR"/>
        </w:rPr>
        <w:t>段。</w:t>
      </w:r>
    </w:p>
  </w:footnote>
  <w:footnote w:id="19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fr-CH"/>
        </w:rPr>
      </w:pPr>
      <w:r w:rsidRPr="00BB6462">
        <w:rPr>
          <w:lang w:val="fr-CH"/>
        </w:rPr>
        <w:tab/>
      </w:r>
      <w:r w:rsidRPr="00736AA5">
        <w:rPr>
          <w:rStyle w:val="a3"/>
          <w:szCs w:val="21"/>
        </w:rPr>
        <w:footnoteRef/>
      </w:r>
      <w:r w:rsidRPr="00BB6462">
        <w:rPr>
          <w:lang w:val="fr-CH"/>
        </w:rPr>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1119</w:t>
      </w:r>
      <w:r w:rsidRPr="00BB6462">
        <w:rPr>
          <w:lang w:val="pt-BR"/>
        </w:rPr>
        <w:t>段。</w:t>
      </w:r>
    </w:p>
  </w:footnote>
  <w:footnote w:id="19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fr-CH"/>
        </w:rPr>
        <w:tab/>
      </w:r>
      <w:r w:rsidRPr="00736AA5">
        <w:rPr>
          <w:rStyle w:val="a3"/>
          <w:szCs w:val="21"/>
        </w:rPr>
        <w:footnoteRef/>
      </w:r>
      <w:r w:rsidRPr="00BB6462">
        <w:tab/>
      </w:r>
      <w:r w:rsidRPr="00BB6462">
        <w:rPr>
          <w:lang w:val="pt-BR"/>
        </w:rPr>
        <w:t>2010</w:t>
      </w:r>
      <w:r w:rsidRPr="0041050A">
        <w:rPr>
          <w:rFonts w:ascii="楷体_GB2312" w:eastAsia="楷体_GB2312"/>
          <w:lang w:val="pt-BR"/>
        </w:rPr>
        <w:t>年肯尼亚授权决定</w:t>
      </w:r>
      <w:r w:rsidRPr="00BB6462">
        <w:rPr>
          <w:lang w:val="pt-BR"/>
        </w:rPr>
        <w:t>，前注</w:t>
      </w:r>
      <w:r w:rsidRPr="00BB6462">
        <w:rPr>
          <w:lang w:val="pt-BR"/>
        </w:rPr>
        <w:t>12</w:t>
      </w:r>
      <w:r>
        <w:rPr>
          <w:lang w:val="pt-BR"/>
        </w:rPr>
        <w:t xml:space="preserve">5, </w:t>
      </w:r>
      <w:r w:rsidRPr="00BB6462">
        <w:rPr>
          <w:lang w:val="pt-BR"/>
        </w:rPr>
        <w:t>第</w:t>
      </w:r>
      <w:r w:rsidRPr="00BB6462">
        <w:rPr>
          <w:lang w:val="pt-BR"/>
        </w:rPr>
        <w:t>90</w:t>
      </w:r>
      <w:r w:rsidRPr="00BB6462">
        <w:rPr>
          <w:lang w:val="pt-BR"/>
        </w:rPr>
        <w:t>段。</w:t>
      </w:r>
      <w:r w:rsidRPr="00BB6462">
        <w:rPr>
          <w:lang w:val="pt-BR"/>
        </w:rPr>
        <w:t>Katanga</w:t>
      </w:r>
      <w:r w:rsidRPr="00BB6462">
        <w:rPr>
          <w:lang w:val="pt-BR"/>
        </w:rPr>
        <w:t>案的审判分庭也采用了类似理解，表示：</w:t>
      </w:r>
      <w:r w:rsidRPr="00BB6462">
        <w:rPr>
          <w:rFonts w:hint="eastAsia"/>
          <w:lang w:val="pt-BR"/>
        </w:rPr>
        <w:t>“</w:t>
      </w:r>
      <w:r w:rsidRPr="00BB6462">
        <w:rPr>
          <w:lang w:val="pt-BR"/>
        </w:rPr>
        <w:t>必须进一步确定攻击是广泛的或有系统的，但这并不意味着推动或鼓励有关攻击的组织的结构必须具备国家特征。</w:t>
      </w:r>
      <w:r w:rsidRPr="00BB6462">
        <w:rPr>
          <w:rFonts w:hint="eastAsia"/>
          <w:lang w:val="pt-BR"/>
        </w:rPr>
        <w:t>”</w:t>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1120</w:t>
      </w:r>
      <w:r w:rsidRPr="00BB6462">
        <w:rPr>
          <w:lang w:val="pt-BR"/>
        </w:rPr>
        <w:t>段。该审判分庭还认定，</w:t>
      </w:r>
      <w:r w:rsidRPr="00BB6462">
        <w:rPr>
          <w:rFonts w:hint="eastAsia"/>
          <w:lang w:val="pt-BR"/>
        </w:rPr>
        <w:t>“</w:t>
      </w:r>
      <w:r w:rsidRPr="00BB6462">
        <w:rPr>
          <w:lang w:val="pt-BR"/>
        </w:rPr>
        <w:t>‘</w:t>
      </w:r>
      <w:r w:rsidRPr="00BB6462">
        <w:rPr>
          <w:lang w:val="pt-BR"/>
        </w:rPr>
        <w:t>被接受为法律的一般惯例</w:t>
      </w:r>
      <w:r w:rsidRPr="00BB6462">
        <w:rPr>
          <w:lang w:val="pt-BR"/>
        </w:rPr>
        <w:t>’</w:t>
      </w:r>
      <w:r w:rsidRPr="00BB6462">
        <w:rPr>
          <w:rFonts w:hint="eastAsia"/>
          <w:lang w:val="pt-BR"/>
        </w:rPr>
        <w:t xml:space="preserve"> </w:t>
      </w:r>
      <w:r w:rsidRPr="00BB6462">
        <w:rPr>
          <w:rFonts w:hint="eastAsia"/>
          <w:lang w:val="pt-BR"/>
        </w:rPr>
        <w:t>……指</w:t>
      </w:r>
      <w:r w:rsidRPr="00BB6462">
        <w:rPr>
          <w:lang w:val="pt-BR"/>
        </w:rPr>
        <w:t>向由国家和由未被具体界定为需有半国家特点的组织所实施的危害人类罪。</w:t>
      </w:r>
      <w:r w:rsidRPr="00BB6462">
        <w:rPr>
          <w:rFonts w:hint="eastAsia"/>
          <w:lang w:val="pt-BR"/>
        </w:rPr>
        <w:t>”</w:t>
      </w:r>
      <w:r w:rsidRPr="00BB6462">
        <w:rPr>
          <w:lang w:val="pt-BR"/>
        </w:rPr>
        <w:t>同上，第</w:t>
      </w:r>
      <w:r w:rsidRPr="00BB6462">
        <w:rPr>
          <w:lang w:val="pt-BR"/>
        </w:rPr>
        <w:t>1121</w:t>
      </w:r>
      <w:r w:rsidRPr="00BB6462">
        <w:rPr>
          <w:lang w:val="pt-BR"/>
        </w:rPr>
        <w:t>段。</w:t>
      </w:r>
    </w:p>
  </w:footnote>
  <w:footnote w:id="20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pt-BR"/>
        </w:rPr>
        <w:tab/>
        <w:t>Ruto 201</w:t>
      </w:r>
      <w:r>
        <w:rPr>
          <w:lang w:val="pt-BR"/>
        </w:rPr>
        <w:t xml:space="preserve">2, </w:t>
      </w:r>
      <w:r w:rsidRPr="00BB6462">
        <w:rPr>
          <w:lang w:val="pt-BR"/>
        </w:rPr>
        <w:t>前注</w:t>
      </w:r>
      <w:r w:rsidRPr="00BB6462">
        <w:rPr>
          <w:lang w:val="pt-BR"/>
        </w:rPr>
        <w:t>13</w:t>
      </w:r>
      <w:r>
        <w:rPr>
          <w:lang w:val="pt-BR"/>
        </w:rPr>
        <w:t xml:space="preserve">0, </w:t>
      </w:r>
      <w:r w:rsidRPr="00BB6462">
        <w:rPr>
          <w:lang w:val="pt-BR"/>
        </w:rPr>
        <w:t>第</w:t>
      </w:r>
      <w:r w:rsidRPr="00BB6462">
        <w:rPr>
          <w:lang w:val="pt-BR"/>
        </w:rPr>
        <w:t>185</w:t>
      </w:r>
      <w:r w:rsidRPr="00BB6462">
        <w:rPr>
          <w:lang w:val="pt-BR"/>
        </w:rPr>
        <w:t>段；另见</w:t>
      </w:r>
      <w:r w:rsidRPr="00BB6462">
        <w:rPr>
          <w:lang w:val="pt-BR"/>
        </w:rPr>
        <w:t>2010</w:t>
      </w:r>
      <w:r w:rsidRPr="0041050A">
        <w:rPr>
          <w:rFonts w:ascii="楷体_GB2312" w:eastAsia="楷体_GB2312"/>
          <w:lang w:val="pt-BR"/>
        </w:rPr>
        <w:t>年肯尼亚授权决定</w:t>
      </w:r>
      <w:r w:rsidRPr="00BB6462">
        <w:rPr>
          <w:lang w:val="pt-BR"/>
        </w:rPr>
        <w:t>，前注</w:t>
      </w:r>
      <w:r w:rsidRPr="00BB6462">
        <w:rPr>
          <w:lang w:val="pt-BR"/>
        </w:rPr>
        <w:t>12</w:t>
      </w:r>
      <w:r>
        <w:rPr>
          <w:lang w:val="pt-BR"/>
        </w:rPr>
        <w:t xml:space="preserve">5, </w:t>
      </w:r>
      <w:r w:rsidRPr="00BB6462">
        <w:rPr>
          <w:lang w:val="pt-BR"/>
        </w:rPr>
        <w:t>第</w:t>
      </w:r>
      <w:r w:rsidRPr="00BB6462">
        <w:rPr>
          <w:lang w:val="pt-BR"/>
        </w:rPr>
        <w:t>93</w:t>
      </w:r>
      <w:r w:rsidRPr="00BB6462">
        <w:rPr>
          <w:lang w:val="pt-BR"/>
        </w:rPr>
        <w:t>段；</w:t>
      </w:r>
      <w:r w:rsidRPr="0041050A">
        <w:rPr>
          <w:rFonts w:ascii="楷体_GB2312" w:eastAsia="楷体_GB2312"/>
          <w:lang w:val="pt-BR"/>
        </w:rPr>
        <w:t>科特迪瓦共和国状况</w:t>
      </w:r>
      <w:r w:rsidRPr="00BB6462">
        <w:rPr>
          <w:rFonts w:hint="eastAsia"/>
          <w:lang w:val="pt-BR"/>
        </w:rPr>
        <w:t>，“第三预审分庭</w:t>
      </w:r>
      <w:r w:rsidRPr="00BB6462">
        <w:rPr>
          <w:lang w:val="pt-BR"/>
        </w:rPr>
        <w:t>根据《罗马规约》第十五条作出的关于授权调查科特迪瓦共和国状况的决定</w:t>
      </w:r>
      <w:r w:rsidRPr="00BB6462">
        <w:rPr>
          <w:rFonts w:hint="eastAsia"/>
          <w:lang w:val="pt-BR"/>
        </w:rPr>
        <w:t>”的</w:t>
      </w:r>
      <w:r w:rsidRPr="00BB6462">
        <w:rPr>
          <w:lang w:val="pt-BR"/>
        </w:rPr>
        <w:t>更正，</w:t>
      </w:r>
      <w:r w:rsidRPr="00BB6462">
        <w:rPr>
          <w:lang w:val="pt-BR"/>
        </w:rPr>
        <w:t>ICC-02/11</w:t>
      </w:r>
      <w:r>
        <w:rPr>
          <w:lang w:val="pt-BR"/>
        </w:rPr>
        <w:t xml:space="preserve">, </w:t>
      </w:r>
      <w:r w:rsidRPr="00BB6462">
        <w:rPr>
          <w:lang w:val="pt-BR"/>
        </w:rPr>
        <w:t>2011</w:t>
      </w:r>
      <w:r w:rsidRPr="00BB6462">
        <w:rPr>
          <w:lang w:val="pt-BR"/>
        </w:rPr>
        <w:t>年</w:t>
      </w:r>
      <w:r w:rsidRPr="00BB6462">
        <w:rPr>
          <w:lang w:val="pt-BR"/>
        </w:rPr>
        <w:t>11</w:t>
      </w:r>
      <w:r w:rsidRPr="00BB6462">
        <w:rPr>
          <w:lang w:val="pt-BR"/>
        </w:rPr>
        <w:t>月</w:t>
      </w:r>
      <w:r w:rsidRPr="00BB6462">
        <w:rPr>
          <w:lang w:val="pt-BR"/>
        </w:rPr>
        <w:t>15</w:t>
      </w:r>
      <w:r w:rsidRPr="00BB6462">
        <w:rPr>
          <w:lang w:val="pt-BR"/>
        </w:rPr>
        <w:t>日，第</w:t>
      </w:r>
      <w:r w:rsidRPr="00BB6462">
        <w:rPr>
          <w:lang w:val="pt-BR"/>
        </w:rPr>
        <w:t>45-46</w:t>
      </w:r>
      <w:r w:rsidRPr="00BB6462">
        <w:rPr>
          <w:lang w:val="pt-BR"/>
        </w:rPr>
        <w:t>段。</w:t>
      </w:r>
    </w:p>
  </w:footnote>
  <w:footnote w:id="20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szCs w:val="21"/>
        </w:rPr>
        <w:footnoteRef/>
      </w:r>
      <w:r w:rsidRPr="00BB6462">
        <w:rPr>
          <w:rFonts w:eastAsia="楷体"/>
        </w:rPr>
        <w:tab/>
      </w:r>
      <w:r w:rsidRPr="00BB6462">
        <w:rPr>
          <w:lang w:val="pt-BR"/>
        </w:rPr>
        <w:t>《</w:t>
      </w:r>
      <w:r w:rsidRPr="00BB6462">
        <w:rPr>
          <w:lang w:val="pt-BR"/>
        </w:rPr>
        <w:t>1991</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103-104</w:t>
      </w:r>
      <w:r w:rsidRPr="00BB6462">
        <w:rPr>
          <w:lang w:val="pt-BR"/>
        </w:rPr>
        <w:t>页。</w:t>
      </w:r>
    </w:p>
  </w:footnote>
  <w:footnote w:id="20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szCs w:val="21"/>
        </w:rPr>
        <w:footnoteRef/>
      </w:r>
      <w:r w:rsidRPr="00BB6462">
        <w:rPr>
          <w:rFonts w:eastAsia="楷体"/>
        </w:rPr>
        <w:tab/>
      </w:r>
      <w:r w:rsidRPr="00BB6462">
        <w:rPr>
          <w:lang w:val="pt-BR"/>
        </w:rPr>
        <w:t>《</w:t>
      </w:r>
      <w:r w:rsidRPr="00BB6462">
        <w:rPr>
          <w:lang w:val="pt-BR"/>
        </w:rPr>
        <w:t>1996</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47</w:t>
      </w:r>
      <w:r w:rsidRPr="00BB6462">
        <w:rPr>
          <w:lang w:val="pt-BR"/>
        </w:rPr>
        <w:t>页</w:t>
      </w:r>
      <w:r w:rsidRPr="00BB6462">
        <w:rPr>
          <w:lang w:val="pt-BR"/>
        </w:rPr>
        <w:t>(</w:t>
      </w:r>
      <w:r w:rsidRPr="00BB6462">
        <w:rPr>
          <w:lang w:val="pt-BR"/>
        </w:rPr>
        <w:t>第</w:t>
      </w:r>
      <w:r w:rsidRPr="00BB6462">
        <w:rPr>
          <w:lang w:val="pt-BR"/>
        </w:rPr>
        <w:t>18</w:t>
      </w:r>
      <w:r w:rsidRPr="00BB6462">
        <w:rPr>
          <w:lang w:val="pt-BR"/>
        </w:rPr>
        <w:t>条</w:t>
      </w:r>
      <w:r w:rsidRPr="00BB6462">
        <w:rPr>
          <w:lang w:val="pt-BR"/>
        </w:rPr>
        <w:t>) (</w:t>
      </w:r>
      <w:r w:rsidRPr="00BB6462">
        <w:rPr>
          <w:lang w:val="pt-BR"/>
        </w:rPr>
        <w:t>着重号是本文所加</w:t>
      </w:r>
      <w:r w:rsidRPr="00BB6462">
        <w:rPr>
          <w:lang w:val="pt-BR"/>
        </w:rPr>
        <w:t>)</w:t>
      </w:r>
      <w:r w:rsidRPr="00BB6462">
        <w:rPr>
          <w:lang w:val="pt-BR"/>
        </w:rPr>
        <w:t>。</w:t>
      </w:r>
    </w:p>
  </w:footnote>
  <w:footnote w:id="20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w:t>
      </w:r>
    </w:p>
  </w:footnote>
  <w:footnote w:id="20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Tadić 199</w:t>
      </w:r>
      <w:r>
        <w:rPr>
          <w:lang w:val="pt-BR"/>
        </w:rPr>
        <w:t xml:space="preserve">7, </w:t>
      </w:r>
      <w:r w:rsidRPr="00BB6462">
        <w:rPr>
          <w:lang w:val="pt-BR"/>
        </w:rPr>
        <w:t>前注</w:t>
      </w:r>
      <w:r w:rsidRPr="00BB6462">
        <w:rPr>
          <w:lang w:val="pt-BR"/>
        </w:rPr>
        <w:t>12</w:t>
      </w:r>
      <w:r>
        <w:rPr>
          <w:lang w:val="pt-BR"/>
        </w:rPr>
        <w:t xml:space="preserve">1, </w:t>
      </w:r>
      <w:r w:rsidRPr="00BB6462">
        <w:rPr>
          <w:lang w:val="pt-BR"/>
        </w:rPr>
        <w:t>第</w:t>
      </w:r>
      <w:r w:rsidRPr="00BB6462">
        <w:rPr>
          <w:lang w:val="pt-BR"/>
        </w:rPr>
        <w:t>654</w:t>
      </w:r>
      <w:r>
        <w:rPr>
          <w:lang w:val="pt-BR"/>
        </w:rPr>
        <w:t>段。关于非国家行为</w:t>
      </w:r>
      <w:r>
        <w:rPr>
          <w:rFonts w:hint="eastAsia"/>
          <w:lang w:val="pt-BR"/>
        </w:rPr>
        <w:t>者</w:t>
      </w:r>
      <w:r w:rsidRPr="00BB6462">
        <w:rPr>
          <w:lang w:val="pt-BR"/>
        </w:rPr>
        <w:t>的进一步讨论，见同上，第</w:t>
      </w:r>
      <w:r w:rsidRPr="00BB6462">
        <w:rPr>
          <w:lang w:val="pt-BR"/>
        </w:rPr>
        <w:t>655</w:t>
      </w:r>
      <w:r w:rsidRPr="00BB6462">
        <w:rPr>
          <w:lang w:val="pt-BR"/>
        </w:rPr>
        <w:t>段。</w:t>
      </w:r>
    </w:p>
  </w:footnote>
  <w:footnote w:id="20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CB679D">
        <w:rPr>
          <w:rFonts w:ascii="楷体_GB2312" w:eastAsia="楷体_GB2312"/>
          <w:spacing w:val="-2"/>
          <w:lang w:val="pt-BR"/>
        </w:rPr>
        <w:t>检察官诉</w:t>
      </w:r>
      <w:r w:rsidRPr="00CB679D">
        <w:rPr>
          <w:spacing w:val="-2"/>
          <w:lang w:val="pt-BR"/>
        </w:rPr>
        <w:t>Limaj</w:t>
      </w:r>
      <w:r w:rsidRPr="00CB679D">
        <w:rPr>
          <w:rFonts w:ascii="楷体_GB2312" w:eastAsia="楷体_GB2312"/>
          <w:spacing w:val="-2"/>
          <w:lang w:val="pt-BR"/>
        </w:rPr>
        <w:t>等人</w:t>
      </w:r>
      <w:r w:rsidRPr="00CB679D">
        <w:rPr>
          <w:spacing w:val="-2"/>
          <w:lang w:val="pt-BR"/>
        </w:rPr>
        <w:t>，</w:t>
      </w:r>
      <w:r w:rsidRPr="00CB679D">
        <w:rPr>
          <w:rFonts w:hint="eastAsia"/>
          <w:spacing w:val="-2"/>
          <w:lang w:val="pt-BR"/>
        </w:rPr>
        <w:t>第二</w:t>
      </w:r>
      <w:r w:rsidRPr="00CB679D">
        <w:rPr>
          <w:spacing w:val="-2"/>
          <w:lang w:val="pt-BR"/>
        </w:rPr>
        <w:t>审判分庭的判决，案件号</w:t>
      </w:r>
      <w:r w:rsidRPr="00CB679D">
        <w:rPr>
          <w:spacing w:val="-2"/>
          <w:lang w:val="pt-BR"/>
        </w:rPr>
        <w:t>IT-03-66-T, 2005</w:t>
      </w:r>
      <w:r w:rsidRPr="00CB679D">
        <w:rPr>
          <w:spacing w:val="-2"/>
          <w:lang w:val="pt-BR"/>
        </w:rPr>
        <w:t>年</w:t>
      </w:r>
      <w:r w:rsidRPr="00CB679D">
        <w:rPr>
          <w:spacing w:val="-2"/>
          <w:lang w:val="pt-BR"/>
        </w:rPr>
        <w:t>11</w:t>
      </w:r>
      <w:r w:rsidRPr="00CB679D">
        <w:rPr>
          <w:spacing w:val="-2"/>
          <w:lang w:val="pt-BR"/>
        </w:rPr>
        <w:t>月</w:t>
      </w:r>
      <w:r w:rsidRPr="00CB679D">
        <w:rPr>
          <w:spacing w:val="-2"/>
          <w:lang w:val="pt-BR"/>
        </w:rPr>
        <w:t>30</w:t>
      </w:r>
      <w:r w:rsidRPr="00CB679D">
        <w:rPr>
          <w:spacing w:val="-2"/>
          <w:lang w:val="pt-BR"/>
        </w:rPr>
        <w:t>日，第</w:t>
      </w:r>
      <w:r w:rsidRPr="00CB679D">
        <w:rPr>
          <w:spacing w:val="-2"/>
          <w:lang w:val="pt-BR"/>
        </w:rPr>
        <w:t>212-213</w:t>
      </w:r>
      <w:r w:rsidRPr="00CB679D">
        <w:rPr>
          <w:spacing w:val="-2"/>
          <w:lang w:val="pt-BR"/>
        </w:rPr>
        <w:t>段。</w:t>
      </w:r>
    </w:p>
  </w:footnote>
  <w:footnote w:id="206">
    <w:p w:rsidR="00F60D83" w:rsidRPr="007D7E36" w:rsidRDefault="00F60D83" w:rsidP="007C3A88">
      <w:pPr>
        <w:pStyle w:val="a5"/>
        <w:tabs>
          <w:tab w:val="clear" w:pos="418"/>
          <w:tab w:val="right" w:pos="1195"/>
          <w:tab w:val="left" w:pos="1264"/>
          <w:tab w:val="left" w:pos="1695"/>
          <w:tab w:val="left" w:pos="2126"/>
          <w:tab w:val="left" w:pos="2557"/>
        </w:tabs>
        <w:ind w:left="1264" w:right="1264" w:hanging="432"/>
        <w:rPr>
          <w:lang w:val="fr-CH"/>
        </w:rPr>
      </w:pPr>
      <w:r w:rsidRPr="00BB6462">
        <w:tab/>
      </w:r>
      <w:r w:rsidRPr="00736AA5">
        <w:rPr>
          <w:rStyle w:val="a3"/>
          <w:szCs w:val="21"/>
        </w:rPr>
        <w:footnoteRef/>
      </w:r>
      <w:r w:rsidRPr="007D7E36">
        <w:rPr>
          <w:lang w:val="fr-CH"/>
        </w:rPr>
        <w:tab/>
      </w:r>
      <w:r w:rsidRPr="00BB6462">
        <w:rPr>
          <w:lang w:val="pt-BR"/>
        </w:rPr>
        <w:t>Ntaganda 201</w:t>
      </w:r>
      <w:r>
        <w:rPr>
          <w:lang w:val="pt-BR"/>
        </w:rPr>
        <w:t xml:space="preserve">2, </w:t>
      </w:r>
      <w:r w:rsidRPr="00BB6462">
        <w:rPr>
          <w:lang w:val="pt-BR"/>
        </w:rPr>
        <w:t>前注</w:t>
      </w:r>
      <w:r w:rsidRPr="00BB6462">
        <w:rPr>
          <w:rFonts w:hint="eastAsia"/>
          <w:lang w:val="pt-BR"/>
        </w:rPr>
        <w:t>12</w:t>
      </w:r>
      <w:r>
        <w:rPr>
          <w:rFonts w:hint="eastAsia"/>
          <w:lang w:val="pt-BR"/>
        </w:rPr>
        <w:t xml:space="preserve">8, </w:t>
      </w:r>
      <w:r w:rsidRPr="00BB6462">
        <w:rPr>
          <w:lang w:val="pt-BR"/>
        </w:rPr>
        <w:t>第</w:t>
      </w:r>
      <w:r w:rsidRPr="00BB6462">
        <w:rPr>
          <w:lang w:val="pt-BR"/>
        </w:rPr>
        <w:t>22</w:t>
      </w:r>
      <w:r w:rsidRPr="00BB6462">
        <w:rPr>
          <w:lang w:val="pt-BR"/>
        </w:rPr>
        <w:t>段。</w:t>
      </w:r>
    </w:p>
  </w:footnote>
  <w:footnote w:id="20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7D7E36">
        <w:rPr>
          <w:lang w:val="fr-CH"/>
        </w:rPr>
        <w:tab/>
      </w:r>
      <w:r w:rsidRPr="00736AA5">
        <w:rPr>
          <w:rStyle w:val="a3"/>
          <w:szCs w:val="21"/>
        </w:rPr>
        <w:footnoteRef/>
      </w:r>
      <w:r w:rsidRPr="00BB6462">
        <w:tab/>
      </w:r>
      <w:r w:rsidRPr="0041050A">
        <w:rPr>
          <w:rFonts w:ascii="楷体_GB2312" w:eastAsia="楷体_GB2312"/>
          <w:lang w:val="pt-BR"/>
        </w:rPr>
        <w:t>检察官诉</w:t>
      </w:r>
      <w:r w:rsidRPr="00BB6462">
        <w:rPr>
          <w:lang w:val="pt-BR"/>
        </w:rPr>
        <w:t>Mbarushiman</w:t>
      </w:r>
      <w:r>
        <w:rPr>
          <w:lang w:val="pt-BR"/>
        </w:rPr>
        <w:t xml:space="preserve">a, </w:t>
      </w:r>
      <w:r w:rsidRPr="00BB6462">
        <w:rPr>
          <w:lang w:val="pt-BR"/>
        </w:rPr>
        <w:t>预审分庭关于确认指控的决定，</w:t>
      </w:r>
      <w:r w:rsidRPr="00BB6462">
        <w:rPr>
          <w:lang w:val="pt-BR"/>
        </w:rPr>
        <w:t>ICC-01/04-01/1</w:t>
      </w:r>
      <w:r>
        <w:rPr>
          <w:lang w:val="pt-BR"/>
        </w:rPr>
        <w:t xml:space="preserve">0, </w:t>
      </w:r>
      <w:r w:rsidRPr="00BB6462">
        <w:rPr>
          <w:lang w:val="pt-BR"/>
        </w:rPr>
        <w:t>2011</w:t>
      </w:r>
      <w:r w:rsidRPr="00BB6462">
        <w:rPr>
          <w:lang w:val="pt-BR"/>
        </w:rPr>
        <w:t>年</w:t>
      </w:r>
      <w:r w:rsidRPr="00BB6462">
        <w:rPr>
          <w:lang w:val="pt-BR"/>
        </w:rPr>
        <w:t>12</w:t>
      </w:r>
      <w:r w:rsidRPr="00BB6462">
        <w:rPr>
          <w:lang w:val="pt-BR"/>
        </w:rPr>
        <w:t>月</w:t>
      </w:r>
      <w:r w:rsidRPr="00BB6462">
        <w:rPr>
          <w:lang w:val="pt-BR"/>
        </w:rPr>
        <w:t>16</w:t>
      </w:r>
      <w:r w:rsidRPr="00BB6462">
        <w:rPr>
          <w:lang w:val="pt-BR"/>
        </w:rPr>
        <w:t>日，第</w:t>
      </w:r>
      <w:r w:rsidRPr="00BB6462">
        <w:rPr>
          <w:lang w:val="pt-BR"/>
        </w:rPr>
        <w:t>2</w:t>
      </w:r>
      <w:r w:rsidRPr="00BB6462">
        <w:rPr>
          <w:lang w:val="pt-BR"/>
        </w:rPr>
        <w:t>段。</w:t>
      </w:r>
    </w:p>
  </w:footnote>
  <w:footnote w:id="20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rFonts w:hint="eastAsia"/>
        </w:rPr>
        <w:t>乌干达状况，第二预审庭</w:t>
      </w:r>
      <w:r w:rsidRPr="00BB6462">
        <w:rPr>
          <w:lang w:val="pt-BR"/>
        </w:rPr>
        <w:t>2005</w:t>
      </w:r>
      <w:r w:rsidRPr="00BB6462">
        <w:rPr>
          <w:lang w:val="pt-BR"/>
        </w:rPr>
        <w:t>年</w:t>
      </w:r>
      <w:r w:rsidRPr="00BB6462">
        <w:rPr>
          <w:lang w:val="pt-BR"/>
        </w:rPr>
        <w:t>7</w:t>
      </w:r>
      <w:r w:rsidRPr="00BB6462">
        <w:rPr>
          <w:lang w:val="pt-BR"/>
        </w:rPr>
        <w:t>月</w:t>
      </w:r>
      <w:r w:rsidRPr="00BB6462">
        <w:rPr>
          <w:lang w:val="pt-BR"/>
        </w:rPr>
        <w:t>8</w:t>
      </w:r>
      <w:r w:rsidRPr="00BB6462">
        <w:rPr>
          <w:lang w:val="pt-BR"/>
        </w:rPr>
        <w:t>日签发、</w:t>
      </w:r>
      <w:r w:rsidRPr="00BB6462">
        <w:rPr>
          <w:lang w:val="pt-BR"/>
        </w:rPr>
        <w:t>2005</w:t>
      </w:r>
      <w:r w:rsidRPr="00BB6462">
        <w:rPr>
          <w:lang w:val="pt-BR"/>
        </w:rPr>
        <w:t>年</w:t>
      </w:r>
      <w:r w:rsidRPr="00BB6462">
        <w:rPr>
          <w:lang w:val="pt-BR"/>
        </w:rPr>
        <w:t>9</w:t>
      </w:r>
      <w:r w:rsidRPr="00BB6462">
        <w:rPr>
          <w:lang w:val="pt-BR"/>
        </w:rPr>
        <w:t>月</w:t>
      </w:r>
      <w:r w:rsidRPr="00BB6462">
        <w:rPr>
          <w:lang w:val="pt-BR"/>
        </w:rPr>
        <w:t>27</w:t>
      </w:r>
      <w:r w:rsidRPr="00BB6462">
        <w:rPr>
          <w:lang w:val="pt-BR"/>
        </w:rPr>
        <w:t>日修正的对</w:t>
      </w:r>
      <w:r w:rsidRPr="00BB6462">
        <w:rPr>
          <w:lang w:val="pt-BR"/>
        </w:rPr>
        <w:t>Joseph Kony</w:t>
      </w:r>
      <w:r w:rsidRPr="00BB6462">
        <w:rPr>
          <w:lang w:val="pt-BR"/>
        </w:rPr>
        <w:t>的逮捕令，</w:t>
      </w:r>
      <w:r w:rsidRPr="00BB6462">
        <w:rPr>
          <w:lang w:val="pt-BR"/>
        </w:rPr>
        <w:t>ICC-02/04-01/0</w:t>
      </w:r>
      <w:r>
        <w:rPr>
          <w:lang w:val="pt-BR"/>
        </w:rPr>
        <w:t xml:space="preserve">5, </w:t>
      </w:r>
      <w:r w:rsidRPr="00BB6462">
        <w:rPr>
          <w:lang w:val="pt-BR"/>
        </w:rPr>
        <w:t>2005</w:t>
      </w:r>
      <w:r w:rsidRPr="00BB6462">
        <w:rPr>
          <w:lang w:val="pt-BR"/>
        </w:rPr>
        <w:t>年</w:t>
      </w:r>
      <w:r w:rsidRPr="00BB6462">
        <w:rPr>
          <w:lang w:val="pt-BR"/>
        </w:rPr>
        <w:t>9</w:t>
      </w:r>
      <w:r w:rsidRPr="00BB6462">
        <w:rPr>
          <w:lang w:val="pt-BR"/>
        </w:rPr>
        <w:t>月</w:t>
      </w:r>
      <w:r w:rsidRPr="00BB6462">
        <w:rPr>
          <w:lang w:val="pt-BR"/>
        </w:rPr>
        <w:t>27</w:t>
      </w:r>
      <w:r w:rsidRPr="00BB6462">
        <w:rPr>
          <w:lang w:val="pt-BR"/>
        </w:rPr>
        <w:t>日，第</w:t>
      </w:r>
      <w:r w:rsidRPr="00BB6462">
        <w:rPr>
          <w:lang w:val="pt-BR"/>
        </w:rPr>
        <w:t>5</w:t>
      </w:r>
      <w:r w:rsidRPr="00BB6462">
        <w:rPr>
          <w:lang w:val="pt-BR"/>
        </w:rPr>
        <w:t>段。</w:t>
      </w:r>
    </w:p>
  </w:footnote>
  <w:footnote w:id="20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7</w:t>
      </w:r>
      <w:r w:rsidRPr="00BB6462">
        <w:rPr>
          <w:lang w:val="pt-BR"/>
        </w:rPr>
        <w:t>段。</w:t>
      </w:r>
    </w:p>
  </w:footnote>
  <w:footnote w:id="21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Ruto 201</w:t>
      </w:r>
      <w:r>
        <w:rPr>
          <w:lang w:val="pt-BR"/>
        </w:rPr>
        <w:t xml:space="preserve">2, </w:t>
      </w:r>
      <w:r w:rsidRPr="00BB6462">
        <w:rPr>
          <w:lang w:val="pt-BR"/>
        </w:rPr>
        <w:t>前注</w:t>
      </w:r>
      <w:r w:rsidRPr="00BB6462">
        <w:rPr>
          <w:lang w:val="pt-BR"/>
        </w:rPr>
        <w:t>13</w:t>
      </w:r>
      <w:r>
        <w:rPr>
          <w:lang w:val="pt-BR"/>
        </w:rPr>
        <w:t xml:space="preserve">0, </w:t>
      </w:r>
      <w:r w:rsidRPr="00BB6462">
        <w:rPr>
          <w:lang w:val="pt-BR"/>
        </w:rPr>
        <w:t>第</w:t>
      </w:r>
      <w:r w:rsidRPr="00BB6462">
        <w:rPr>
          <w:lang w:val="pt-BR"/>
        </w:rPr>
        <w:t>182</w:t>
      </w:r>
      <w:r w:rsidRPr="00BB6462">
        <w:rPr>
          <w:lang w:val="pt-BR"/>
        </w:rPr>
        <w:t>段。</w:t>
      </w:r>
    </w:p>
  </w:footnote>
  <w:footnote w:id="21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41050A">
        <w:rPr>
          <w:rFonts w:ascii="楷体_GB2312" w:eastAsia="楷体_GB2312"/>
          <w:lang w:val="pt-BR"/>
        </w:rPr>
        <w:t>检察官诉</w:t>
      </w:r>
      <w:r w:rsidRPr="00BB6462">
        <w:rPr>
          <w:lang w:val="pt-BR"/>
        </w:rPr>
        <w:t>Muthaura</w:t>
      </w:r>
      <w:r w:rsidRPr="0041050A">
        <w:rPr>
          <w:rFonts w:ascii="楷体_GB2312" w:eastAsia="楷体_GB2312"/>
          <w:lang w:val="pt-BR"/>
        </w:rPr>
        <w:t>等人</w:t>
      </w:r>
      <w:r w:rsidRPr="00BB6462">
        <w:rPr>
          <w:lang w:val="pt-BR"/>
        </w:rPr>
        <w:t>，</w:t>
      </w:r>
      <w:r w:rsidRPr="00BB6462">
        <w:rPr>
          <w:rFonts w:hint="eastAsia"/>
          <w:lang w:val="pt-BR"/>
        </w:rPr>
        <w:t>第二</w:t>
      </w:r>
      <w:r w:rsidRPr="00BB6462">
        <w:rPr>
          <w:lang w:val="pt-BR"/>
        </w:rPr>
        <w:t>预审分庭根据《罗马规约》第六十一条第</w:t>
      </w:r>
      <w:r w:rsidRPr="00BB6462">
        <w:rPr>
          <w:lang w:val="pt-BR"/>
        </w:rPr>
        <w:t>(</w:t>
      </w:r>
      <w:r w:rsidRPr="00BB6462">
        <w:rPr>
          <w:lang w:val="pt-BR"/>
        </w:rPr>
        <w:t>七</w:t>
      </w:r>
      <w:r w:rsidRPr="00BB6462">
        <w:rPr>
          <w:lang w:val="pt-BR"/>
        </w:rPr>
        <w:t>)</w:t>
      </w:r>
      <w:r w:rsidRPr="00BB6462">
        <w:rPr>
          <w:lang w:val="pt-BR"/>
        </w:rPr>
        <w:t>款第</w:t>
      </w:r>
      <w:r w:rsidRPr="00BB6462">
        <w:rPr>
          <w:lang w:val="pt-BR"/>
        </w:rPr>
        <w:t>1</w:t>
      </w:r>
      <w:r w:rsidRPr="00BB6462">
        <w:rPr>
          <w:lang w:val="pt-BR"/>
        </w:rPr>
        <w:t>项和第</w:t>
      </w:r>
      <w:r w:rsidRPr="00BB6462">
        <w:rPr>
          <w:lang w:val="pt-BR"/>
        </w:rPr>
        <w:t>2</w:t>
      </w:r>
      <w:r w:rsidRPr="00BB6462">
        <w:rPr>
          <w:lang w:val="pt-BR"/>
        </w:rPr>
        <w:t>项作出的关于确认指控的决定，</w:t>
      </w:r>
      <w:r w:rsidRPr="00BB6462">
        <w:rPr>
          <w:lang w:val="pt-BR"/>
        </w:rPr>
        <w:t>ICC-01/09-02/1</w:t>
      </w:r>
      <w:r>
        <w:rPr>
          <w:lang w:val="pt-BR"/>
        </w:rPr>
        <w:t xml:space="preserve">1, </w:t>
      </w:r>
      <w:r w:rsidRPr="00BB6462">
        <w:rPr>
          <w:lang w:val="pt-BR"/>
        </w:rPr>
        <w:t>2012</w:t>
      </w:r>
      <w:r w:rsidRPr="00BB6462">
        <w:rPr>
          <w:lang w:val="pt-BR"/>
        </w:rPr>
        <w:t>年</w:t>
      </w:r>
      <w:r w:rsidRPr="00BB6462">
        <w:rPr>
          <w:lang w:val="pt-BR"/>
        </w:rPr>
        <w:t>1</w:t>
      </w:r>
      <w:r w:rsidRPr="00BB6462">
        <w:rPr>
          <w:lang w:val="pt-BR"/>
        </w:rPr>
        <w:t>月</w:t>
      </w:r>
      <w:r w:rsidRPr="00BB6462">
        <w:rPr>
          <w:lang w:val="pt-BR"/>
        </w:rPr>
        <w:t>23</w:t>
      </w:r>
      <w:r w:rsidRPr="00BB6462">
        <w:rPr>
          <w:lang w:val="pt-BR"/>
        </w:rPr>
        <w:t>日，第</w:t>
      </w:r>
      <w:r w:rsidRPr="00BB6462">
        <w:rPr>
          <w:lang w:val="pt-BR"/>
        </w:rPr>
        <w:t>102</w:t>
      </w:r>
      <w:r w:rsidRPr="00BB6462">
        <w:rPr>
          <w:lang w:val="pt-BR"/>
        </w:rPr>
        <w:t>段。</w:t>
      </w:r>
    </w:p>
  </w:footnote>
  <w:footnote w:id="21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1, </w:t>
      </w:r>
      <w:r w:rsidRPr="00BB6462">
        <w:rPr>
          <w:lang w:val="pt-BR"/>
        </w:rPr>
        <w:t>前注</w:t>
      </w:r>
      <w:r w:rsidRPr="00BB6462">
        <w:rPr>
          <w:lang w:val="pt-BR"/>
        </w:rPr>
        <w:t>12</w:t>
      </w:r>
      <w:r>
        <w:rPr>
          <w:lang w:val="pt-BR"/>
        </w:rPr>
        <w:t xml:space="preserve">6, </w:t>
      </w:r>
      <w:r w:rsidRPr="00BB6462">
        <w:rPr>
          <w:lang w:val="pt-BR"/>
        </w:rPr>
        <w:t>第</w:t>
      </w:r>
      <w:r w:rsidRPr="00BB6462">
        <w:rPr>
          <w:lang w:val="pt-BR"/>
        </w:rPr>
        <w:t>418</w:t>
      </w:r>
      <w:r w:rsidRPr="00BB6462">
        <w:rPr>
          <w:lang w:val="pt-BR"/>
        </w:rPr>
        <w:t>段；</w:t>
      </w:r>
      <w:r w:rsidRPr="00BB6462">
        <w:rPr>
          <w:lang w:val="pt-BR"/>
        </w:rPr>
        <w:t>Kayishema 199</w:t>
      </w:r>
      <w:r>
        <w:rPr>
          <w:lang w:val="pt-BR"/>
        </w:rPr>
        <w:t xml:space="preserve">9, </w:t>
      </w:r>
      <w:r w:rsidRPr="00BB6462">
        <w:rPr>
          <w:lang w:val="pt-BR"/>
        </w:rPr>
        <w:t>前注</w:t>
      </w:r>
      <w:r w:rsidRPr="00BB6462">
        <w:rPr>
          <w:lang w:val="pt-BR"/>
        </w:rPr>
        <w:t>12</w:t>
      </w:r>
      <w:r>
        <w:rPr>
          <w:lang w:val="pt-BR"/>
        </w:rPr>
        <w:t xml:space="preserve">2, </w:t>
      </w:r>
      <w:r w:rsidRPr="00BB6462">
        <w:rPr>
          <w:lang w:val="pt-BR"/>
        </w:rPr>
        <w:t>第</w:t>
      </w:r>
      <w:r w:rsidRPr="00BB6462">
        <w:rPr>
          <w:lang w:val="pt-BR"/>
        </w:rPr>
        <w:t>133</w:t>
      </w:r>
      <w:r w:rsidRPr="00BB6462">
        <w:rPr>
          <w:lang w:val="pt-BR"/>
        </w:rPr>
        <w:t>段。</w:t>
      </w:r>
    </w:p>
  </w:footnote>
  <w:footnote w:id="21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国际刑院，《犯罪要件》，前注</w:t>
      </w:r>
      <w:r w:rsidRPr="00BB6462">
        <w:rPr>
          <w:rFonts w:hint="eastAsia"/>
          <w:lang w:val="pt-BR"/>
        </w:rPr>
        <w:t>14</w:t>
      </w:r>
      <w:r>
        <w:rPr>
          <w:rFonts w:hint="eastAsia"/>
          <w:lang w:val="pt-BR"/>
        </w:rPr>
        <w:t xml:space="preserve">5, </w:t>
      </w:r>
      <w:r w:rsidRPr="00BB6462">
        <w:rPr>
          <w:lang w:val="pt-BR"/>
        </w:rPr>
        <w:t>第</w:t>
      </w:r>
      <w:r w:rsidRPr="00BB6462">
        <w:rPr>
          <w:lang w:val="pt-BR"/>
        </w:rPr>
        <w:t>5</w:t>
      </w:r>
      <w:r w:rsidRPr="00BB6462">
        <w:rPr>
          <w:lang w:val="pt-BR"/>
        </w:rPr>
        <w:t>页。</w:t>
      </w:r>
    </w:p>
  </w:footnote>
  <w:footnote w:id="21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Gbagbo 201</w:t>
      </w:r>
      <w:r>
        <w:rPr>
          <w:lang w:val="pt-BR"/>
        </w:rPr>
        <w:t xml:space="preserve">4, </w:t>
      </w:r>
      <w:r w:rsidRPr="00BB6462">
        <w:rPr>
          <w:lang w:val="pt-BR"/>
        </w:rPr>
        <w:t>前注</w:t>
      </w:r>
      <w:r w:rsidRPr="00BB6462">
        <w:rPr>
          <w:rFonts w:hint="eastAsia"/>
          <w:lang w:val="pt-BR"/>
        </w:rPr>
        <w:t>14</w:t>
      </w:r>
      <w:r>
        <w:rPr>
          <w:rFonts w:hint="eastAsia"/>
          <w:lang w:val="pt-BR"/>
        </w:rPr>
        <w:t xml:space="preserve">4, </w:t>
      </w:r>
      <w:r w:rsidRPr="00BB6462">
        <w:rPr>
          <w:lang w:val="pt-BR"/>
        </w:rPr>
        <w:t>第</w:t>
      </w:r>
      <w:r w:rsidRPr="00BB6462">
        <w:rPr>
          <w:lang w:val="pt-BR"/>
        </w:rPr>
        <w:t>214</w:t>
      </w:r>
      <w:r w:rsidRPr="00BB6462">
        <w:rPr>
          <w:lang w:val="pt-BR"/>
        </w:rPr>
        <w:t>段。</w:t>
      </w:r>
    </w:p>
  </w:footnote>
  <w:footnote w:id="21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Kunarac 200</w:t>
      </w:r>
      <w:r>
        <w:rPr>
          <w:lang w:val="pt-BR"/>
        </w:rPr>
        <w:t xml:space="preserve">1, </w:t>
      </w:r>
      <w:r w:rsidRPr="00BB6462">
        <w:rPr>
          <w:lang w:val="pt-BR"/>
        </w:rPr>
        <w:t>前注</w:t>
      </w:r>
      <w:r w:rsidRPr="00BB6462">
        <w:rPr>
          <w:lang w:val="pt-BR"/>
        </w:rPr>
        <w:t>12</w:t>
      </w:r>
      <w:r>
        <w:rPr>
          <w:lang w:val="pt-BR"/>
        </w:rPr>
        <w:t xml:space="preserve">6, </w:t>
      </w:r>
      <w:r w:rsidRPr="00BB6462">
        <w:rPr>
          <w:lang w:val="pt-BR"/>
        </w:rPr>
        <w:t>第</w:t>
      </w:r>
      <w:r w:rsidRPr="00BB6462">
        <w:rPr>
          <w:lang w:val="pt-BR"/>
        </w:rPr>
        <w:t>434</w:t>
      </w:r>
      <w:r w:rsidRPr="00BB6462">
        <w:rPr>
          <w:lang w:val="pt-BR"/>
        </w:rPr>
        <w:t>段</w:t>
      </w:r>
      <w:r w:rsidRPr="00BB6462">
        <w:rPr>
          <w:lang w:val="pt-BR"/>
        </w:rPr>
        <w:t>(</w:t>
      </w:r>
      <w:r w:rsidRPr="00BB6462">
        <w:rPr>
          <w:lang w:val="pt-BR"/>
        </w:rPr>
        <w:t>认定知情条件</w:t>
      </w:r>
      <w:r w:rsidRPr="00BB6462">
        <w:rPr>
          <w:rFonts w:hint="eastAsia"/>
          <w:lang w:val="pt-BR"/>
        </w:rPr>
        <w:t>“</w:t>
      </w:r>
      <w:r w:rsidRPr="00BB6462">
        <w:rPr>
          <w:lang w:val="pt-BR"/>
        </w:rPr>
        <w:t>不需要知晓攻击的详情</w:t>
      </w:r>
      <w:r w:rsidRPr="00BB6462">
        <w:rPr>
          <w:rFonts w:hint="eastAsia"/>
          <w:lang w:val="pt-BR"/>
        </w:rPr>
        <w:t>”</w:t>
      </w:r>
      <w:r w:rsidRPr="00BB6462">
        <w:rPr>
          <w:lang w:val="pt-BR"/>
        </w:rPr>
        <w:t>)</w:t>
      </w:r>
      <w:r w:rsidRPr="00BB6462">
        <w:rPr>
          <w:lang w:val="pt-BR"/>
        </w:rPr>
        <w:t>。</w:t>
      </w:r>
    </w:p>
  </w:footnote>
  <w:footnote w:id="21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见</w:t>
      </w:r>
      <w:r w:rsidRPr="00BB6462">
        <w:rPr>
          <w:lang w:val="pt-BR"/>
        </w:rPr>
        <w:t>Blaškić 200</w:t>
      </w:r>
      <w:r>
        <w:rPr>
          <w:lang w:val="pt-BR"/>
        </w:rPr>
        <w:t xml:space="preserve">0, </w:t>
      </w:r>
      <w:r w:rsidRPr="00BB6462">
        <w:rPr>
          <w:lang w:val="pt-BR"/>
        </w:rPr>
        <w:t>前注</w:t>
      </w:r>
      <w:r w:rsidRPr="00BB6462">
        <w:rPr>
          <w:lang w:val="pt-BR"/>
        </w:rPr>
        <w:t>12</w:t>
      </w:r>
      <w:r>
        <w:rPr>
          <w:lang w:val="pt-BR"/>
        </w:rPr>
        <w:t xml:space="preserve">1, </w:t>
      </w:r>
      <w:r w:rsidRPr="00BB6462">
        <w:rPr>
          <w:lang w:val="pt-BR"/>
        </w:rPr>
        <w:t>第</w:t>
      </w:r>
      <w:r w:rsidRPr="00BB6462">
        <w:rPr>
          <w:lang w:val="pt-BR"/>
        </w:rPr>
        <w:t>259</w:t>
      </w:r>
      <w:r w:rsidRPr="00BB6462">
        <w:rPr>
          <w:lang w:val="pt-BR"/>
        </w:rPr>
        <w:t>段</w:t>
      </w:r>
      <w:r w:rsidRPr="00BB6462">
        <w:rPr>
          <w:lang w:val="pt-BR"/>
        </w:rPr>
        <w:t>(</w:t>
      </w:r>
      <w:r w:rsidRPr="00BB6462">
        <w:rPr>
          <w:lang w:val="pt-BR"/>
        </w:rPr>
        <w:t>认定对攻击广泛背景的知情可从若干事实推测得出，包括：</w:t>
      </w:r>
      <w:r w:rsidRPr="00BB6462">
        <w:rPr>
          <w:rFonts w:hint="eastAsia"/>
          <w:lang w:val="pt-BR"/>
        </w:rPr>
        <w:t>“</w:t>
      </w:r>
      <w:r w:rsidRPr="00BB6462">
        <w:rPr>
          <w:lang w:val="pt-BR"/>
        </w:rPr>
        <w:t>所犯犯罪的性质及其为人所共知的程度</w:t>
      </w:r>
      <w:r w:rsidRPr="00BB6462">
        <w:rPr>
          <w:rFonts w:hint="eastAsia"/>
          <w:lang w:val="pt-BR"/>
        </w:rPr>
        <w:t>”</w:t>
      </w:r>
      <w:r w:rsidRPr="00BB6462">
        <w:rPr>
          <w:lang w:val="pt-BR"/>
        </w:rPr>
        <w:t>)</w:t>
      </w:r>
      <w:r w:rsidRPr="00BB6462">
        <w:rPr>
          <w:lang w:val="pt-BR"/>
        </w:rPr>
        <w:t>；</w:t>
      </w:r>
      <w:r w:rsidRPr="00BB6462">
        <w:rPr>
          <w:lang w:val="pt-BR"/>
        </w:rPr>
        <w:t>Tadić 199</w:t>
      </w:r>
      <w:r>
        <w:rPr>
          <w:lang w:val="pt-BR"/>
        </w:rPr>
        <w:t xml:space="preserve">7, </w:t>
      </w:r>
      <w:r w:rsidRPr="00BB6462">
        <w:rPr>
          <w:lang w:val="pt-BR"/>
        </w:rPr>
        <w:t>前注</w:t>
      </w:r>
      <w:r w:rsidRPr="00BB6462">
        <w:rPr>
          <w:lang w:val="pt-BR"/>
        </w:rPr>
        <w:t>12</w:t>
      </w:r>
      <w:r>
        <w:rPr>
          <w:lang w:val="pt-BR"/>
        </w:rPr>
        <w:t xml:space="preserve">1, </w:t>
      </w:r>
      <w:r w:rsidRPr="00BB6462">
        <w:rPr>
          <w:lang w:val="pt-BR"/>
        </w:rPr>
        <w:t>第</w:t>
      </w:r>
      <w:r w:rsidRPr="00BB6462">
        <w:rPr>
          <w:lang w:val="pt-BR"/>
        </w:rPr>
        <w:t>657</w:t>
      </w:r>
      <w:r w:rsidRPr="00BB6462">
        <w:rPr>
          <w:lang w:val="pt-BR"/>
        </w:rPr>
        <w:t>段</w:t>
      </w:r>
      <w:r w:rsidRPr="00BB6462">
        <w:rPr>
          <w:lang w:val="pt-BR"/>
        </w:rPr>
        <w:t>(</w:t>
      </w:r>
      <w:r w:rsidRPr="00BB6462">
        <w:rPr>
          <w:rFonts w:hint="eastAsia"/>
          <w:lang w:val="pt-BR"/>
        </w:rPr>
        <w:t>“</w:t>
      </w:r>
      <w:r w:rsidRPr="00BB6462">
        <w:rPr>
          <w:lang w:val="pt-BR"/>
        </w:rPr>
        <w:t>虽然因此要求知情这一条件，但知情与否要经过客观分析，并可根据有关情况从事实上推导得出。</w:t>
      </w:r>
      <w:r w:rsidRPr="00BB6462">
        <w:rPr>
          <w:rFonts w:hint="eastAsia"/>
          <w:lang w:val="pt-BR"/>
        </w:rPr>
        <w:t>”</w:t>
      </w:r>
      <w:r w:rsidRPr="00BB6462">
        <w:rPr>
          <w:lang w:val="pt-BR"/>
        </w:rPr>
        <w:t>)</w:t>
      </w:r>
      <w:r w:rsidRPr="00BB6462">
        <w:rPr>
          <w:lang w:val="pt-BR"/>
        </w:rPr>
        <w:t>；另见</w:t>
      </w:r>
      <w:r w:rsidRPr="00BB6462">
        <w:rPr>
          <w:lang w:val="pt-BR"/>
        </w:rPr>
        <w:t>Kayishema 199</w:t>
      </w:r>
      <w:r>
        <w:rPr>
          <w:lang w:val="pt-BR"/>
        </w:rPr>
        <w:t xml:space="preserve">9, </w:t>
      </w:r>
      <w:r w:rsidRPr="00BB6462">
        <w:rPr>
          <w:lang w:val="pt-BR"/>
        </w:rPr>
        <w:t>前注</w:t>
      </w:r>
      <w:r w:rsidRPr="00BB6462">
        <w:rPr>
          <w:lang w:val="pt-BR"/>
        </w:rPr>
        <w:t>12</w:t>
      </w:r>
      <w:r>
        <w:rPr>
          <w:lang w:val="pt-BR"/>
        </w:rPr>
        <w:t xml:space="preserve">2, </w:t>
      </w:r>
      <w:r w:rsidRPr="00BB6462">
        <w:rPr>
          <w:lang w:val="pt-BR"/>
        </w:rPr>
        <w:t>第</w:t>
      </w:r>
      <w:r w:rsidRPr="00BB6462">
        <w:rPr>
          <w:lang w:val="pt-BR"/>
        </w:rPr>
        <w:t>134</w:t>
      </w:r>
      <w:r w:rsidRPr="00BB6462">
        <w:rPr>
          <w:lang w:val="pt-BR"/>
        </w:rPr>
        <w:t>段</w:t>
      </w:r>
      <w:r w:rsidRPr="00BB6462">
        <w:rPr>
          <w:lang w:val="pt-BR"/>
        </w:rPr>
        <w:t>(</w:t>
      </w:r>
      <w:r w:rsidRPr="00BB6462">
        <w:rPr>
          <w:lang w:val="pt-BR"/>
        </w:rPr>
        <w:t>认定</w:t>
      </w:r>
      <w:r w:rsidRPr="00BB6462">
        <w:rPr>
          <w:rFonts w:hint="eastAsia"/>
          <w:lang w:val="pt-BR"/>
        </w:rPr>
        <w:t>“</w:t>
      </w:r>
      <w:r w:rsidRPr="00BB6462">
        <w:rPr>
          <w:lang w:val="pt-BR"/>
        </w:rPr>
        <w:t>对攻击更广泛的背景实际知情或推定知情</w:t>
      </w:r>
      <w:r w:rsidRPr="00BB6462">
        <w:rPr>
          <w:rFonts w:hint="eastAsia"/>
          <w:lang w:val="pt-BR"/>
        </w:rPr>
        <w:t>”</w:t>
      </w:r>
      <w:r w:rsidRPr="00BB6462">
        <w:rPr>
          <w:lang w:val="pt-BR"/>
        </w:rPr>
        <w:t>即可</w:t>
      </w:r>
      <w:r w:rsidRPr="00BB6462">
        <w:rPr>
          <w:lang w:val="pt-BR"/>
        </w:rPr>
        <w:t>)</w:t>
      </w:r>
      <w:r w:rsidRPr="00BB6462">
        <w:rPr>
          <w:lang w:val="pt-BR"/>
        </w:rPr>
        <w:t>。</w:t>
      </w:r>
    </w:p>
  </w:footnote>
  <w:footnote w:id="21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Bemba 200</w:t>
      </w:r>
      <w:r>
        <w:rPr>
          <w:lang w:val="pt-BR"/>
        </w:rPr>
        <w:t xml:space="preserve">9, </w:t>
      </w:r>
      <w:r w:rsidRPr="00BB6462">
        <w:rPr>
          <w:lang w:val="pt-BR"/>
        </w:rPr>
        <w:t>前注</w:t>
      </w:r>
      <w:r w:rsidRPr="00BB6462">
        <w:rPr>
          <w:lang w:val="pt-BR"/>
        </w:rPr>
        <w:t>12</w:t>
      </w:r>
      <w:r>
        <w:rPr>
          <w:lang w:val="pt-BR"/>
        </w:rPr>
        <w:t xml:space="preserve">5, </w:t>
      </w:r>
      <w:r w:rsidRPr="00BB6462">
        <w:rPr>
          <w:lang w:val="pt-BR"/>
        </w:rPr>
        <w:t>第</w:t>
      </w:r>
      <w:r w:rsidRPr="00BB6462">
        <w:rPr>
          <w:lang w:val="pt-BR"/>
        </w:rPr>
        <w:t>126</w:t>
      </w:r>
      <w:r w:rsidRPr="00BB6462">
        <w:rPr>
          <w:lang w:val="pt-BR"/>
        </w:rPr>
        <w:t>段。</w:t>
      </w:r>
    </w:p>
  </w:footnote>
  <w:footnote w:id="21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200</w:t>
      </w:r>
      <w:r>
        <w:rPr>
          <w:lang w:val="pt-BR"/>
        </w:rPr>
        <w:t xml:space="preserve">8, </w:t>
      </w:r>
      <w:r w:rsidRPr="00BB6462">
        <w:rPr>
          <w:lang w:val="pt-BR"/>
        </w:rPr>
        <w:t>前注</w:t>
      </w:r>
      <w:r w:rsidRPr="00BB6462">
        <w:rPr>
          <w:rFonts w:hint="eastAsia"/>
          <w:lang w:val="pt-BR"/>
        </w:rPr>
        <w:t>12</w:t>
      </w:r>
      <w:r>
        <w:rPr>
          <w:rFonts w:hint="eastAsia"/>
          <w:lang w:val="pt-BR"/>
        </w:rPr>
        <w:t xml:space="preserve">6, </w:t>
      </w:r>
      <w:r w:rsidRPr="00BB6462">
        <w:rPr>
          <w:lang w:val="pt-BR"/>
        </w:rPr>
        <w:t>第</w:t>
      </w:r>
      <w:r w:rsidRPr="00BB6462">
        <w:rPr>
          <w:lang w:val="pt-BR"/>
        </w:rPr>
        <w:t>402</w:t>
      </w:r>
      <w:r w:rsidRPr="00BB6462">
        <w:rPr>
          <w:lang w:val="pt-BR"/>
        </w:rPr>
        <w:t>段。</w:t>
      </w:r>
    </w:p>
  </w:footnote>
  <w:footnote w:id="21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rFonts w:eastAsia="楷体"/>
        </w:rPr>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2, </w:t>
      </w:r>
      <w:r w:rsidRPr="00BB6462">
        <w:rPr>
          <w:lang w:val="pt-BR"/>
        </w:rPr>
        <w:t>前注</w:t>
      </w:r>
      <w:r w:rsidRPr="00BB6462">
        <w:rPr>
          <w:rFonts w:hint="eastAsia"/>
          <w:lang w:val="pt-BR"/>
        </w:rPr>
        <w:t>13</w:t>
      </w:r>
      <w:r>
        <w:rPr>
          <w:rFonts w:hint="eastAsia"/>
          <w:lang w:val="pt-BR"/>
        </w:rPr>
        <w:t xml:space="preserve">8, </w:t>
      </w:r>
      <w:r w:rsidRPr="00BB6462">
        <w:rPr>
          <w:lang w:val="pt-BR"/>
        </w:rPr>
        <w:t>第</w:t>
      </w:r>
      <w:r w:rsidRPr="00BB6462">
        <w:rPr>
          <w:lang w:val="pt-BR"/>
        </w:rPr>
        <w:t>103</w:t>
      </w:r>
      <w:r w:rsidRPr="00BB6462">
        <w:rPr>
          <w:lang w:val="pt-BR"/>
        </w:rPr>
        <w:t>段；</w:t>
      </w:r>
      <w:r w:rsidRPr="00BB6462">
        <w:rPr>
          <w:lang w:val="pt-BR"/>
        </w:rPr>
        <w:t>Kupreškić 200</w:t>
      </w:r>
      <w:r>
        <w:rPr>
          <w:lang w:val="pt-BR"/>
        </w:rPr>
        <w:t xml:space="preserve">0, </w:t>
      </w:r>
      <w:r w:rsidRPr="00BB6462">
        <w:rPr>
          <w:lang w:val="pt-BR"/>
        </w:rPr>
        <w:t>前注</w:t>
      </w:r>
      <w:r w:rsidRPr="00BB6462">
        <w:rPr>
          <w:lang w:val="pt-BR"/>
        </w:rPr>
        <w:t>9</w:t>
      </w:r>
      <w:r>
        <w:rPr>
          <w:lang w:val="pt-BR"/>
        </w:rPr>
        <w:t xml:space="preserve">7, </w:t>
      </w:r>
      <w:r w:rsidRPr="00BB6462">
        <w:rPr>
          <w:lang w:val="pt-BR"/>
        </w:rPr>
        <w:t>第</w:t>
      </w:r>
      <w:r w:rsidRPr="00BB6462">
        <w:rPr>
          <w:lang w:val="pt-BR"/>
        </w:rPr>
        <w:t>558</w:t>
      </w:r>
      <w:r w:rsidRPr="00BB6462">
        <w:rPr>
          <w:lang w:val="pt-BR"/>
        </w:rPr>
        <w:t>段。</w:t>
      </w:r>
    </w:p>
  </w:footnote>
  <w:footnote w:id="22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Kunarac 200</w:t>
      </w:r>
      <w:r>
        <w:rPr>
          <w:lang w:val="pt-BR"/>
        </w:rPr>
        <w:t xml:space="preserve">2, </w:t>
      </w:r>
      <w:r w:rsidRPr="00BB6462">
        <w:rPr>
          <w:lang w:val="pt-BR"/>
        </w:rPr>
        <w:t>前注</w:t>
      </w:r>
      <w:r w:rsidRPr="00BB6462">
        <w:rPr>
          <w:rFonts w:hint="eastAsia"/>
          <w:lang w:val="pt-BR"/>
        </w:rPr>
        <w:t>13</w:t>
      </w:r>
      <w:r>
        <w:rPr>
          <w:rFonts w:hint="eastAsia"/>
          <w:lang w:val="pt-BR"/>
        </w:rPr>
        <w:t xml:space="preserve">8, </w:t>
      </w:r>
      <w:r w:rsidRPr="00BB6462">
        <w:rPr>
          <w:lang w:val="pt-BR"/>
        </w:rPr>
        <w:t>第</w:t>
      </w:r>
      <w:r w:rsidRPr="00BB6462">
        <w:rPr>
          <w:lang w:val="pt-BR"/>
        </w:rPr>
        <w:t>103</w:t>
      </w:r>
      <w:r w:rsidRPr="00BB6462">
        <w:rPr>
          <w:lang w:val="pt-BR"/>
        </w:rPr>
        <w:t>段。</w:t>
      </w:r>
    </w:p>
  </w:footnote>
  <w:footnote w:id="22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1, </w:t>
      </w:r>
      <w:r w:rsidRPr="00BB6462">
        <w:rPr>
          <w:lang w:val="pt-BR"/>
        </w:rPr>
        <w:t>前注</w:t>
      </w:r>
      <w:r w:rsidRPr="00BB6462">
        <w:rPr>
          <w:lang w:val="pt-BR"/>
        </w:rPr>
        <w:t>12</w:t>
      </w:r>
      <w:r>
        <w:rPr>
          <w:lang w:val="pt-BR"/>
        </w:rPr>
        <w:t xml:space="preserve">6, </w:t>
      </w:r>
      <w:r w:rsidRPr="00BB6462">
        <w:rPr>
          <w:lang w:val="pt-BR"/>
        </w:rPr>
        <w:t>第</w:t>
      </w:r>
      <w:r w:rsidRPr="00BB6462">
        <w:rPr>
          <w:lang w:val="pt-BR"/>
        </w:rPr>
        <w:t>592</w:t>
      </w:r>
      <w:r w:rsidRPr="00BB6462">
        <w:rPr>
          <w:lang w:val="pt-BR"/>
        </w:rPr>
        <w:t>段。</w:t>
      </w:r>
    </w:p>
  </w:footnote>
  <w:footnote w:id="22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w:t>
      </w:r>
    </w:p>
  </w:footnote>
  <w:footnote w:id="22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Katanga 201</w:t>
      </w:r>
      <w:r>
        <w:rPr>
          <w:lang w:val="pt-BR"/>
        </w:rPr>
        <w:t xml:space="preserve">4, </w:t>
      </w:r>
      <w:r w:rsidRPr="00BB6462">
        <w:rPr>
          <w:lang w:val="pt-BR"/>
        </w:rPr>
        <w:t>前注</w:t>
      </w:r>
      <w:r w:rsidRPr="00BB6462">
        <w:rPr>
          <w:lang w:val="pt-BR"/>
        </w:rPr>
        <w:t>12</w:t>
      </w:r>
      <w:r>
        <w:rPr>
          <w:lang w:val="pt-BR"/>
        </w:rPr>
        <w:t xml:space="preserve">6, </w:t>
      </w:r>
      <w:r w:rsidRPr="00BB6462">
        <w:rPr>
          <w:lang w:val="pt-BR"/>
        </w:rPr>
        <w:t>第</w:t>
      </w:r>
      <w:r w:rsidRPr="00BB6462">
        <w:rPr>
          <w:lang w:val="pt-BR"/>
        </w:rPr>
        <w:t>1125</w:t>
      </w:r>
      <w:r w:rsidRPr="00BB6462">
        <w:rPr>
          <w:lang w:val="pt-BR"/>
        </w:rPr>
        <w:t>段。</w:t>
      </w:r>
    </w:p>
  </w:footnote>
  <w:footnote w:id="22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例如，见</w:t>
      </w:r>
      <w:r w:rsidRPr="00BB6462">
        <w:rPr>
          <w:lang w:val="pt-BR"/>
        </w:rPr>
        <w:t>Kunarac 200</w:t>
      </w:r>
      <w:r>
        <w:rPr>
          <w:lang w:val="pt-BR"/>
        </w:rPr>
        <w:t xml:space="preserve">2, </w:t>
      </w:r>
      <w:r w:rsidRPr="00BB6462">
        <w:rPr>
          <w:lang w:val="pt-BR"/>
        </w:rPr>
        <w:t>前注</w:t>
      </w:r>
      <w:r w:rsidRPr="00BB6462">
        <w:rPr>
          <w:rFonts w:hint="eastAsia"/>
          <w:lang w:val="pt-BR"/>
        </w:rPr>
        <w:t>13</w:t>
      </w:r>
      <w:r>
        <w:rPr>
          <w:rFonts w:hint="eastAsia"/>
          <w:lang w:val="pt-BR"/>
        </w:rPr>
        <w:t xml:space="preserve">8, </w:t>
      </w:r>
      <w:r w:rsidRPr="00BB6462">
        <w:rPr>
          <w:lang w:val="pt-BR"/>
        </w:rPr>
        <w:t>第</w:t>
      </w:r>
      <w:r w:rsidRPr="00BB6462">
        <w:rPr>
          <w:lang w:val="pt-BR"/>
        </w:rPr>
        <w:t>100</w:t>
      </w:r>
      <w:r w:rsidRPr="00BB6462">
        <w:rPr>
          <w:lang w:val="pt-BR"/>
        </w:rPr>
        <w:t>段；</w:t>
      </w:r>
      <w:r w:rsidRPr="00BB6462">
        <w:rPr>
          <w:lang w:val="pt-BR"/>
        </w:rPr>
        <w:t>Tadić 199</w:t>
      </w:r>
      <w:r>
        <w:rPr>
          <w:lang w:val="pt-BR"/>
        </w:rPr>
        <w:t xml:space="preserve">7, </w:t>
      </w:r>
      <w:r w:rsidRPr="00BB6462">
        <w:rPr>
          <w:lang w:val="pt-BR"/>
        </w:rPr>
        <w:t>前注</w:t>
      </w:r>
      <w:r w:rsidRPr="00BB6462">
        <w:rPr>
          <w:lang w:val="pt-BR"/>
        </w:rPr>
        <w:t>12</w:t>
      </w:r>
      <w:r>
        <w:rPr>
          <w:lang w:val="pt-BR"/>
        </w:rPr>
        <w:t xml:space="preserve">1, </w:t>
      </w:r>
      <w:r w:rsidRPr="00BB6462">
        <w:rPr>
          <w:lang w:val="pt-BR"/>
        </w:rPr>
        <w:t>第</w:t>
      </w:r>
      <w:r w:rsidRPr="00BB6462">
        <w:rPr>
          <w:lang w:val="pt-BR"/>
        </w:rPr>
        <w:t>649</w:t>
      </w:r>
      <w:r w:rsidRPr="00BB6462">
        <w:rPr>
          <w:lang w:val="pt-BR"/>
        </w:rPr>
        <w:t>段。</w:t>
      </w:r>
    </w:p>
  </w:footnote>
  <w:footnote w:id="22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7D7E36">
        <w:tab/>
      </w:r>
      <w:r w:rsidRPr="00BB6462">
        <w:rPr>
          <w:lang w:val="pt-BR"/>
        </w:rPr>
        <w:t>例如，见</w:t>
      </w:r>
      <w:r w:rsidRPr="0041050A">
        <w:rPr>
          <w:rFonts w:ascii="楷体_GB2312" w:eastAsia="楷体_GB2312"/>
          <w:lang w:val="pt-BR"/>
        </w:rPr>
        <w:t>检察官诉</w:t>
      </w:r>
      <w:r w:rsidRPr="00BB6462">
        <w:rPr>
          <w:lang w:val="pt-BR"/>
        </w:rPr>
        <w:t>Mrkšić</w:t>
      </w:r>
      <w:r w:rsidRPr="0041050A">
        <w:rPr>
          <w:rFonts w:ascii="楷体_GB2312" w:eastAsia="楷体_GB2312"/>
          <w:lang w:val="pt-BR"/>
        </w:rPr>
        <w:t>等人</w:t>
      </w:r>
      <w:r w:rsidRPr="00BB6462">
        <w:rPr>
          <w:lang w:val="pt-BR"/>
        </w:rPr>
        <w:t>，上诉分庭的判决，案件号</w:t>
      </w:r>
      <w:r w:rsidRPr="00BB6462">
        <w:rPr>
          <w:lang w:val="pt-BR"/>
        </w:rPr>
        <w:t>IT-95-13/1-</w:t>
      </w:r>
      <w:r>
        <w:rPr>
          <w:lang w:val="pt-BR"/>
        </w:rPr>
        <w:t xml:space="preserve">A, </w:t>
      </w:r>
      <w:r w:rsidRPr="00BB6462">
        <w:rPr>
          <w:lang w:val="pt-BR"/>
        </w:rPr>
        <w:t>2009</w:t>
      </w:r>
      <w:r w:rsidRPr="00BB6462">
        <w:rPr>
          <w:lang w:val="pt-BR"/>
        </w:rPr>
        <w:t>年</w:t>
      </w:r>
      <w:r w:rsidRPr="00BB6462">
        <w:rPr>
          <w:lang w:val="pt-BR"/>
        </w:rPr>
        <w:t>5</w:t>
      </w:r>
      <w:r w:rsidRPr="00BB6462">
        <w:rPr>
          <w:lang w:val="pt-BR"/>
        </w:rPr>
        <w:t>月</w:t>
      </w:r>
      <w:r w:rsidRPr="00BB6462">
        <w:rPr>
          <w:lang w:val="pt-BR"/>
        </w:rPr>
        <w:t>5</w:t>
      </w:r>
      <w:r w:rsidRPr="00BB6462">
        <w:rPr>
          <w:lang w:val="pt-BR"/>
        </w:rPr>
        <w:t>日，第</w:t>
      </w:r>
      <w:r w:rsidRPr="00BB6462">
        <w:rPr>
          <w:lang w:val="pt-BR"/>
        </w:rPr>
        <w:t>41</w:t>
      </w:r>
      <w:r w:rsidRPr="00BB6462">
        <w:rPr>
          <w:lang w:val="pt-BR"/>
        </w:rPr>
        <w:t>段；</w:t>
      </w:r>
      <w:r w:rsidRPr="0041050A">
        <w:rPr>
          <w:rFonts w:ascii="楷体_GB2312" w:eastAsia="楷体_GB2312"/>
          <w:lang w:val="pt-BR"/>
        </w:rPr>
        <w:t>检察官诉</w:t>
      </w:r>
      <w:r w:rsidRPr="00BB6462">
        <w:rPr>
          <w:lang w:val="pt-BR"/>
        </w:rPr>
        <w:t>Naletillić</w:t>
      </w:r>
      <w:r w:rsidRPr="00BB6462">
        <w:rPr>
          <w:lang w:val="pt-BR"/>
        </w:rPr>
        <w:t>，审判分庭的判决，案件号</w:t>
      </w:r>
      <w:r w:rsidRPr="00BB6462">
        <w:rPr>
          <w:lang w:val="pt-BR"/>
        </w:rPr>
        <w:t>IT-98-34-</w:t>
      </w:r>
      <w:r>
        <w:rPr>
          <w:lang w:val="pt-BR"/>
        </w:rPr>
        <w:t xml:space="preserve">T, </w:t>
      </w:r>
      <w:r w:rsidRPr="00BB6462">
        <w:rPr>
          <w:lang w:val="pt-BR"/>
        </w:rPr>
        <w:t>2003</w:t>
      </w:r>
      <w:r w:rsidRPr="00BB6462">
        <w:rPr>
          <w:lang w:val="pt-BR"/>
        </w:rPr>
        <w:t>年</w:t>
      </w:r>
      <w:r w:rsidRPr="00BB6462">
        <w:rPr>
          <w:lang w:val="pt-BR"/>
        </w:rPr>
        <w:t>3</w:t>
      </w:r>
      <w:r w:rsidRPr="00BB6462">
        <w:rPr>
          <w:lang w:val="pt-BR"/>
        </w:rPr>
        <w:t>月</w:t>
      </w:r>
      <w:r w:rsidRPr="00BB6462">
        <w:rPr>
          <w:lang w:val="pt-BR"/>
        </w:rPr>
        <w:t>31</w:t>
      </w:r>
      <w:r w:rsidRPr="00BB6462">
        <w:rPr>
          <w:lang w:val="pt-BR"/>
        </w:rPr>
        <w:t>日，第</w:t>
      </w:r>
      <w:r w:rsidRPr="00BB6462">
        <w:rPr>
          <w:lang w:val="pt-BR"/>
        </w:rPr>
        <w:t>234</w:t>
      </w:r>
      <w:r w:rsidRPr="00BB6462">
        <w:rPr>
          <w:lang w:val="pt-BR"/>
        </w:rPr>
        <w:t>段；</w:t>
      </w:r>
      <w:r w:rsidRPr="00BB6462">
        <w:rPr>
          <w:lang w:val="pt-BR"/>
        </w:rPr>
        <w:t>Mrkšić 200</w:t>
      </w:r>
      <w:r>
        <w:rPr>
          <w:lang w:val="pt-BR"/>
        </w:rPr>
        <w:t xml:space="preserve">7, </w:t>
      </w:r>
      <w:r w:rsidRPr="00BB6462">
        <w:rPr>
          <w:lang w:val="pt-BR"/>
        </w:rPr>
        <w:t>前注</w:t>
      </w:r>
      <w:r w:rsidRPr="00BB6462">
        <w:rPr>
          <w:lang w:val="pt-BR"/>
        </w:rPr>
        <w:t>12</w:t>
      </w:r>
      <w:r>
        <w:rPr>
          <w:lang w:val="pt-BR"/>
        </w:rPr>
        <w:t xml:space="preserve">2, </w:t>
      </w:r>
      <w:r w:rsidRPr="00BB6462">
        <w:rPr>
          <w:lang w:val="pt-BR"/>
        </w:rPr>
        <w:t>第</w:t>
      </w:r>
      <w:r w:rsidRPr="00BB6462">
        <w:rPr>
          <w:lang w:val="pt-BR"/>
        </w:rPr>
        <w:t>438</w:t>
      </w:r>
      <w:r w:rsidRPr="00BB6462">
        <w:rPr>
          <w:lang w:val="pt-BR"/>
        </w:rPr>
        <w:t>段；</w:t>
      </w:r>
      <w:r w:rsidRPr="00BB6462">
        <w:rPr>
          <w:lang w:val="pt-BR"/>
        </w:rPr>
        <w:t>Tadić 199</w:t>
      </w:r>
      <w:r>
        <w:rPr>
          <w:lang w:val="pt-BR"/>
        </w:rPr>
        <w:t xml:space="preserve">9, </w:t>
      </w:r>
      <w:r w:rsidRPr="00BB6462">
        <w:rPr>
          <w:lang w:val="pt-BR"/>
        </w:rPr>
        <w:t>前注</w:t>
      </w:r>
      <w:r w:rsidRPr="00BB6462">
        <w:rPr>
          <w:rFonts w:hint="eastAsia"/>
          <w:lang w:val="pt-BR"/>
        </w:rPr>
        <w:t>10</w:t>
      </w:r>
      <w:r>
        <w:rPr>
          <w:rFonts w:hint="eastAsia"/>
          <w:lang w:val="pt-BR"/>
        </w:rPr>
        <w:t xml:space="preserve">5, </w:t>
      </w:r>
      <w:r w:rsidRPr="00BB6462">
        <w:rPr>
          <w:lang w:val="pt-BR"/>
        </w:rPr>
        <w:t>第</w:t>
      </w:r>
      <w:r w:rsidRPr="00BB6462">
        <w:rPr>
          <w:lang w:val="pt-BR"/>
        </w:rPr>
        <w:t>249</w:t>
      </w:r>
      <w:r w:rsidRPr="00BB6462">
        <w:rPr>
          <w:lang w:val="pt-BR"/>
        </w:rPr>
        <w:t>段。</w:t>
      </w:r>
    </w:p>
  </w:footnote>
  <w:footnote w:id="22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《禁止酷刑和其他残忍、不人道或有辱人格的待遇或处罚公约》，</w:t>
      </w:r>
      <w:r w:rsidRPr="00BB6462">
        <w:rPr>
          <w:lang w:val="pt-BR"/>
        </w:rPr>
        <w:t>1984</w:t>
      </w:r>
      <w:r w:rsidRPr="00BB6462">
        <w:rPr>
          <w:lang w:val="pt-BR"/>
        </w:rPr>
        <w:t>年</w:t>
      </w:r>
      <w:r w:rsidRPr="00BB6462">
        <w:rPr>
          <w:lang w:val="pt-BR"/>
        </w:rPr>
        <w:t>12</w:t>
      </w:r>
      <w:r w:rsidRPr="00BB6462">
        <w:rPr>
          <w:lang w:val="pt-BR"/>
        </w:rPr>
        <w:t>月</w:t>
      </w:r>
      <w:r w:rsidRPr="00BB6462">
        <w:rPr>
          <w:lang w:val="pt-BR"/>
        </w:rPr>
        <w:t>10</w:t>
      </w:r>
      <w:r w:rsidRPr="00BB6462">
        <w:rPr>
          <w:lang w:val="pt-BR"/>
        </w:rPr>
        <w:t>日订于纽约，联合国，《条约汇编》，第</w:t>
      </w:r>
      <w:r w:rsidRPr="00BB6462">
        <w:rPr>
          <w:lang w:val="pt-BR"/>
        </w:rPr>
        <w:t>1465</w:t>
      </w:r>
      <w:r w:rsidRPr="00BB6462">
        <w:rPr>
          <w:lang w:val="pt-BR"/>
        </w:rPr>
        <w:t>卷，第</w:t>
      </w:r>
      <w:r w:rsidRPr="00BB6462">
        <w:rPr>
          <w:lang w:val="pt-BR"/>
        </w:rPr>
        <w:t>85</w:t>
      </w:r>
      <w:r w:rsidRPr="00BB6462">
        <w:rPr>
          <w:lang w:val="pt-BR"/>
        </w:rPr>
        <w:t>页</w:t>
      </w:r>
      <w:r w:rsidRPr="00BB6462">
        <w:rPr>
          <w:lang w:val="pt-BR"/>
        </w:rPr>
        <w:t>(</w:t>
      </w:r>
      <w:r w:rsidRPr="00BB6462">
        <w:rPr>
          <w:lang w:val="pt-BR"/>
        </w:rPr>
        <w:t>下称</w:t>
      </w:r>
      <w:r w:rsidRPr="00BB6462">
        <w:rPr>
          <w:rFonts w:hint="eastAsia"/>
          <w:lang w:val="pt-BR"/>
        </w:rPr>
        <w:t>“</w:t>
      </w:r>
      <w:r w:rsidRPr="00BB6462">
        <w:rPr>
          <w:lang w:val="pt-BR"/>
        </w:rPr>
        <w:t>《禁止酷刑公约》</w:t>
      </w:r>
      <w:r w:rsidRPr="00BB6462">
        <w:rPr>
          <w:rFonts w:hint="eastAsia"/>
          <w:lang w:val="pt-BR"/>
        </w:rPr>
        <w:t>”</w:t>
      </w:r>
      <w:r w:rsidRPr="00BB6462">
        <w:rPr>
          <w:lang w:val="pt-BR"/>
        </w:rPr>
        <w:t>)</w:t>
      </w:r>
      <w:r w:rsidRPr="00BB6462">
        <w:rPr>
          <w:lang w:val="pt-BR"/>
        </w:rPr>
        <w:t>。</w:t>
      </w:r>
    </w:p>
  </w:footnote>
  <w:footnote w:id="22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《保护所有人不遭受强迫失踪宣言》，大会</w:t>
      </w:r>
      <w:r w:rsidRPr="00BB6462">
        <w:rPr>
          <w:lang w:val="pt-BR"/>
        </w:rPr>
        <w:t>1992</w:t>
      </w:r>
      <w:r w:rsidRPr="00BB6462">
        <w:rPr>
          <w:lang w:val="pt-BR"/>
        </w:rPr>
        <w:t>年</w:t>
      </w:r>
      <w:r w:rsidRPr="00BB6462">
        <w:rPr>
          <w:lang w:val="pt-BR"/>
        </w:rPr>
        <w:t>12</w:t>
      </w:r>
      <w:r w:rsidRPr="00BB6462">
        <w:rPr>
          <w:lang w:val="pt-BR"/>
        </w:rPr>
        <w:t>月</w:t>
      </w:r>
      <w:r w:rsidRPr="00BB6462">
        <w:rPr>
          <w:lang w:val="pt-BR"/>
        </w:rPr>
        <w:t>18</w:t>
      </w:r>
      <w:r w:rsidRPr="00BB6462">
        <w:rPr>
          <w:lang w:val="pt-BR"/>
        </w:rPr>
        <w:t>日第</w:t>
      </w:r>
      <w:r w:rsidRPr="00BB6462">
        <w:rPr>
          <w:lang w:val="pt-BR"/>
        </w:rPr>
        <w:t>47/133</w:t>
      </w:r>
      <w:r w:rsidRPr="00BB6462">
        <w:rPr>
          <w:lang w:val="pt-BR"/>
        </w:rPr>
        <w:t>号决议</w:t>
      </w:r>
      <w:r w:rsidRPr="00BB6462">
        <w:rPr>
          <w:rFonts w:hint="eastAsia"/>
          <w:lang w:val="pt-BR"/>
        </w:rPr>
        <w:t>，</w:t>
      </w:r>
      <w:r w:rsidRPr="00BB6462">
        <w:rPr>
          <w:lang w:val="pt-BR"/>
        </w:rPr>
        <w:t>A/RES/47/133</w:t>
      </w:r>
      <w:r w:rsidRPr="00BB6462">
        <w:rPr>
          <w:rFonts w:hint="eastAsia"/>
          <w:lang w:val="pt-BR"/>
        </w:rPr>
        <w:t>号文件</w:t>
      </w:r>
      <w:r w:rsidRPr="00BB6462">
        <w:rPr>
          <w:lang w:val="pt-BR"/>
        </w:rPr>
        <w:t>。</w:t>
      </w:r>
    </w:p>
  </w:footnote>
  <w:footnote w:id="22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《美洲被迫失踪人士公约》，</w:t>
      </w:r>
      <w:r w:rsidRPr="00BB6462">
        <w:rPr>
          <w:lang w:val="pt-BR"/>
        </w:rPr>
        <w:t>1994</w:t>
      </w:r>
      <w:r w:rsidRPr="00BB6462">
        <w:rPr>
          <w:lang w:val="pt-BR"/>
        </w:rPr>
        <w:t>年</w:t>
      </w:r>
      <w:r w:rsidRPr="00BB6462">
        <w:rPr>
          <w:lang w:val="pt-BR"/>
        </w:rPr>
        <w:t>6</w:t>
      </w:r>
      <w:r w:rsidRPr="00BB6462">
        <w:rPr>
          <w:lang w:val="pt-BR"/>
        </w:rPr>
        <w:t>月</w:t>
      </w:r>
      <w:r w:rsidRPr="00BB6462">
        <w:rPr>
          <w:lang w:val="pt-BR"/>
        </w:rPr>
        <w:t>9</w:t>
      </w:r>
      <w:r w:rsidRPr="00BB6462">
        <w:rPr>
          <w:lang w:val="pt-BR"/>
        </w:rPr>
        <w:t>日订于贝伦杜帕拉，美洲国家组织文件</w:t>
      </w:r>
      <w:r w:rsidRPr="00BB6462">
        <w:rPr>
          <w:lang w:val="pt-BR"/>
        </w:rPr>
        <w:t>OEA/</w:t>
      </w:r>
      <w:r w:rsidRPr="00BB6462">
        <w:rPr>
          <w:rFonts w:hint="eastAsia"/>
          <w:lang w:val="pt-BR"/>
        </w:rPr>
        <w:t xml:space="preserve"> </w:t>
      </w:r>
      <w:r w:rsidRPr="00BB6462">
        <w:rPr>
          <w:lang w:val="pt-BR"/>
        </w:rPr>
        <w:t>Ser.P/AG/</w:t>
      </w:r>
      <w:r w:rsidRPr="00BB6462">
        <w:t>d</w:t>
      </w:r>
      <w:r w:rsidRPr="00BB6462">
        <w:rPr>
          <w:lang w:val="pt-BR"/>
        </w:rPr>
        <w:t>oc 3114/94</w:t>
      </w:r>
      <w:r w:rsidRPr="00BB6462">
        <w:rPr>
          <w:lang w:val="pt-BR"/>
        </w:rPr>
        <w:t>。</w:t>
      </w:r>
    </w:p>
  </w:footnote>
  <w:footnote w:id="22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《保护所有人免遭强迫失踪国际公约》，</w:t>
      </w:r>
      <w:r w:rsidRPr="00BB6462">
        <w:rPr>
          <w:lang w:val="pt-BR"/>
        </w:rPr>
        <w:t>2006</w:t>
      </w:r>
      <w:r w:rsidRPr="00BB6462">
        <w:rPr>
          <w:lang w:val="pt-BR"/>
        </w:rPr>
        <w:t>年</w:t>
      </w:r>
      <w:r w:rsidRPr="00BB6462">
        <w:rPr>
          <w:lang w:val="pt-BR"/>
        </w:rPr>
        <w:t>12</w:t>
      </w:r>
      <w:r w:rsidRPr="00BB6462">
        <w:rPr>
          <w:lang w:val="pt-BR"/>
        </w:rPr>
        <w:t>月</w:t>
      </w:r>
      <w:r w:rsidRPr="00BB6462">
        <w:rPr>
          <w:lang w:val="pt-BR"/>
        </w:rPr>
        <w:t>20</w:t>
      </w:r>
      <w:r w:rsidRPr="00BB6462">
        <w:rPr>
          <w:lang w:val="pt-BR"/>
        </w:rPr>
        <w:t>日订于纽约，联合国，《条约汇编》，第</w:t>
      </w:r>
      <w:r w:rsidRPr="00BB6462">
        <w:rPr>
          <w:lang w:val="pt-BR"/>
        </w:rPr>
        <w:t>2716</w:t>
      </w:r>
      <w:r w:rsidRPr="00BB6462">
        <w:rPr>
          <w:lang w:val="pt-BR"/>
        </w:rPr>
        <w:t>卷，第</w:t>
      </w:r>
      <w:r w:rsidRPr="00BB6462">
        <w:rPr>
          <w:lang w:val="pt-BR"/>
        </w:rPr>
        <w:t>3</w:t>
      </w:r>
      <w:r w:rsidRPr="00BB6462">
        <w:rPr>
          <w:lang w:val="pt-BR"/>
        </w:rPr>
        <w:t>页</w:t>
      </w:r>
      <w:r w:rsidRPr="00BB6462">
        <w:rPr>
          <w:lang w:val="pt-BR"/>
        </w:rPr>
        <w:t>(</w:t>
      </w:r>
      <w:r w:rsidRPr="00BB6462">
        <w:rPr>
          <w:lang w:val="pt-BR"/>
        </w:rPr>
        <w:t>下称《强迫失踪公约》</w:t>
      </w:r>
      <w:r w:rsidRPr="00BB6462">
        <w:rPr>
          <w:lang w:val="pt-BR"/>
        </w:rPr>
        <w:t>)</w:t>
      </w:r>
      <w:r w:rsidRPr="00BB6462">
        <w:rPr>
          <w:lang w:val="pt-BR"/>
        </w:rPr>
        <w:t>。</w:t>
      </w:r>
    </w:p>
  </w:footnote>
  <w:footnote w:id="23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《防止及惩治灭绝种族罪公约》，</w:t>
      </w:r>
      <w:r w:rsidRPr="00BB6462">
        <w:rPr>
          <w:lang w:val="pt-BR"/>
        </w:rPr>
        <w:t>1948</w:t>
      </w:r>
      <w:r w:rsidRPr="00BB6462">
        <w:rPr>
          <w:lang w:val="pt-BR"/>
        </w:rPr>
        <w:t>年</w:t>
      </w:r>
      <w:r w:rsidRPr="00BB6462">
        <w:rPr>
          <w:lang w:val="pt-BR"/>
        </w:rPr>
        <w:t>12</w:t>
      </w:r>
      <w:r w:rsidRPr="00BB6462">
        <w:rPr>
          <w:lang w:val="pt-BR"/>
        </w:rPr>
        <w:t>月</w:t>
      </w:r>
      <w:r w:rsidRPr="00BB6462">
        <w:rPr>
          <w:lang w:val="pt-BR"/>
        </w:rPr>
        <w:t>9</w:t>
      </w:r>
      <w:r w:rsidRPr="00BB6462">
        <w:rPr>
          <w:lang w:val="pt-BR"/>
        </w:rPr>
        <w:t>日订于巴黎，联合国，《条约汇编》，第</w:t>
      </w:r>
      <w:r w:rsidRPr="00BB6462">
        <w:rPr>
          <w:lang w:val="pt-BR"/>
        </w:rPr>
        <w:t>78</w:t>
      </w:r>
      <w:r w:rsidRPr="00BB6462">
        <w:rPr>
          <w:lang w:val="pt-BR"/>
        </w:rPr>
        <w:t>卷，第</w:t>
      </w:r>
      <w:r w:rsidRPr="00BB6462">
        <w:rPr>
          <w:lang w:val="pt-BR"/>
        </w:rPr>
        <w:t>277</w:t>
      </w:r>
      <w:r w:rsidRPr="00BB6462">
        <w:rPr>
          <w:lang w:val="pt-BR"/>
        </w:rPr>
        <w:t>页。</w:t>
      </w:r>
    </w:p>
  </w:footnote>
  <w:footnote w:id="23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《关于制止危害民用航空安全的非法行为的公约》，</w:t>
      </w:r>
      <w:r w:rsidRPr="00BB6462">
        <w:rPr>
          <w:lang w:val="pt-BR"/>
        </w:rPr>
        <w:t>1971</w:t>
      </w:r>
      <w:r w:rsidRPr="00BB6462">
        <w:rPr>
          <w:lang w:val="pt-BR"/>
        </w:rPr>
        <w:t>年</w:t>
      </w:r>
      <w:r w:rsidRPr="00BB6462">
        <w:rPr>
          <w:lang w:val="pt-BR"/>
        </w:rPr>
        <w:t>9</w:t>
      </w:r>
      <w:r w:rsidRPr="00BB6462">
        <w:rPr>
          <w:lang w:val="pt-BR"/>
        </w:rPr>
        <w:t>月</w:t>
      </w:r>
      <w:r w:rsidRPr="00BB6462">
        <w:rPr>
          <w:lang w:val="pt-BR"/>
        </w:rPr>
        <w:t>23</w:t>
      </w:r>
      <w:r w:rsidRPr="00BB6462">
        <w:rPr>
          <w:lang w:val="pt-BR"/>
        </w:rPr>
        <w:t>日订于蒙特利尔，联合国，《条约汇编》，第</w:t>
      </w:r>
      <w:r w:rsidRPr="00BB6462">
        <w:rPr>
          <w:lang w:val="pt-BR"/>
        </w:rPr>
        <w:t>974</w:t>
      </w:r>
      <w:r w:rsidRPr="00BB6462">
        <w:rPr>
          <w:lang w:val="pt-BR"/>
        </w:rPr>
        <w:t>卷，第</w:t>
      </w:r>
      <w:r w:rsidRPr="00BB6462">
        <w:rPr>
          <w:lang w:val="pt-BR"/>
        </w:rPr>
        <w:t>178</w:t>
      </w:r>
      <w:r w:rsidRPr="00BB6462">
        <w:rPr>
          <w:lang w:val="pt-BR"/>
        </w:rPr>
        <w:t>页。第十条第</w:t>
      </w:r>
      <w:r w:rsidRPr="00BB6462">
        <w:rPr>
          <w:lang w:val="pt-BR"/>
        </w:rPr>
        <w:t>(</w:t>
      </w:r>
      <w:r w:rsidRPr="00BB6462">
        <w:rPr>
          <w:lang w:val="pt-BR"/>
        </w:rPr>
        <w:t>一</w:t>
      </w:r>
      <w:r w:rsidRPr="00BB6462">
        <w:rPr>
          <w:lang w:val="pt-BR"/>
        </w:rPr>
        <w:t>)</w:t>
      </w:r>
      <w:r w:rsidRPr="00BB6462">
        <w:rPr>
          <w:lang w:val="pt-BR"/>
        </w:rPr>
        <w:t>款规定：</w:t>
      </w:r>
      <w:r w:rsidRPr="00BB6462">
        <w:rPr>
          <w:rFonts w:hint="eastAsia"/>
          <w:lang w:val="pt-BR"/>
        </w:rPr>
        <w:t>“</w:t>
      </w:r>
      <w:r w:rsidRPr="00BB6462">
        <w:rPr>
          <w:lang w:val="pt-BR"/>
        </w:rPr>
        <w:t>缔约各国应根据国际法和本国法，努力采取一切可能的措施，以防止发生第一条所指的罪行。</w:t>
      </w:r>
      <w:r w:rsidRPr="00BB6462">
        <w:rPr>
          <w:rFonts w:hint="eastAsia"/>
          <w:lang w:val="pt-BR"/>
        </w:rPr>
        <w:t>”</w:t>
      </w:r>
    </w:p>
  </w:footnote>
  <w:footnote w:id="23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《关于防止和惩处侵害应受国际保护人员包括外交代表的罪行的公约》，</w:t>
      </w:r>
      <w:r w:rsidRPr="00BB6462">
        <w:rPr>
          <w:lang w:val="pt-BR"/>
        </w:rPr>
        <w:t>1973</w:t>
      </w:r>
      <w:r w:rsidRPr="00BB6462">
        <w:rPr>
          <w:lang w:val="pt-BR"/>
        </w:rPr>
        <w:t>年</w:t>
      </w:r>
      <w:r w:rsidRPr="00BB6462">
        <w:rPr>
          <w:lang w:val="pt-BR"/>
        </w:rPr>
        <w:t>12</w:t>
      </w:r>
      <w:r w:rsidRPr="00BB6462">
        <w:rPr>
          <w:lang w:val="pt-BR"/>
        </w:rPr>
        <w:t>月</w:t>
      </w:r>
      <w:r w:rsidRPr="00BB6462">
        <w:rPr>
          <w:lang w:val="pt-BR"/>
        </w:rPr>
        <w:t>14</w:t>
      </w:r>
      <w:r w:rsidRPr="00BB6462">
        <w:rPr>
          <w:lang w:val="pt-BR"/>
        </w:rPr>
        <w:t>日订于纽约，联合国，《条约汇编》，第</w:t>
      </w:r>
      <w:r w:rsidRPr="00BB6462">
        <w:rPr>
          <w:lang w:val="pt-BR"/>
        </w:rPr>
        <w:t>1035</w:t>
      </w:r>
      <w:r w:rsidRPr="00BB6462">
        <w:rPr>
          <w:lang w:val="pt-BR"/>
        </w:rPr>
        <w:t>卷，第</w:t>
      </w:r>
      <w:r w:rsidRPr="00BB6462">
        <w:rPr>
          <w:lang w:val="pt-BR"/>
        </w:rPr>
        <w:t>167</w:t>
      </w:r>
      <w:r w:rsidRPr="00BB6462">
        <w:rPr>
          <w:lang w:val="pt-BR"/>
        </w:rPr>
        <w:t>页。第四条第</w:t>
      </w:r>
      <w:r w:rsidRPr="00BB6462">
        <w:rPr>
          <w:lang w:val="pt-BR"/>
        </w:rPr>
        <w:t>1</w:t>
      </w:r>
      <w:r w:rsidRPr="00BB6462">
        <w:rPr>
          <w:lang w:val="pt-BR"/>
        </w:rPr>
        <w:t>款规定：</w:t>
      </w:r>
      <w:r w:rsidRPr="00BB6462">
        <w:rPr>
          <w:rFonts w:hint="eastAsia"/>
          <w:lang w:val="pt-BR"/>
        </w:rPr>
        <w:t>“</w:t>
      </w:r>
      <w:r w:rsidRPr="00BB6462">
        <w:rPr>
          <w:lang w:val="pt-BR"/>
        </w:rPr>
        <w:t>各缔约国应特别以下列方式进行合作，以防止第二条所列举的罪行：</w:t>
      </w:r>
      <w:r w:rsidRPr="00BB6462">
        <w:rPr>
          <w:lang w:val="pt-BR"/>
        </w:rPr>
        <w:t>(a)</w:t>
      </w:r>
      <w:r>
        <w:rPr>
          <w:rFonts w:hint="eastAsia"/>
          <w:lang w:val="pt-BR"/>
        </w:rPr>
        <w:t xml:space="preserve"> </w:t>
      </w:r>
      <w:r w:rsidRPr="00BB6462">
        <w:rPr>
          <w:lang w:val="pt-BR"/>
        </w:rPr>
        <w:t>采取一切切实可行的措施，以防止在各该国领土内策划在其领土以内或以外实施这些罪</w:t>
      </w:r>
      <w:r w:rsidRPr="00BB6462">
        <w:rPr>
          <w:rFonts w:hint="eastAsia"/>
          <w:lang w:val="pt-BR"/>
        </w:rPr>
        <w:t>行……”</w:t>
      </w:r>
      <w:r>
        <w:rPr>
          <w:rFonts w:hint="eastAsia"/>
          <w:lang w:val="pt-BR"/>
        </w:rPr>
        <w:t>。</w:t>
      </w:r>
    </w:p>
  </w:footnote>
  <w:footnote w:id="23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《禁止并惩治种族隔离罪行国际公约》，</w:t>
      </w:r>
      <w:r w:rsidRPr="00BB6462">
        <w:rPr>
          <w:lang w:val="pt-BR"/>
        </w:rPr>
        <w:t>1973</w:t>
      </w:r>
      <w:r w:rsidRPr="00BB6462">
        <w:rPr>
          <w:lang w:val="pt-BR"/>
        </w:rPr>
        <w:t>年</w:t>
      </w:r>
      <w:r w:rsidRPr="00BB6462">
        <w:rPr>
          <w:lang w:val="pt-BR"/>
        </w:rPr>
        <w:t>11</w:t>
      </w:r>
      <w:r w:rsidRPr="00BB6462">
        <w:rPr>
          <w:lang w:val="pt-BR"/>
        </w:rPr>
        <w:t>月</w:t>
      </w:r>
      <w:r w:rsidRPr="00BB6462">
        <w:rPr>
          <w:lang w:val="pt-BR"/>
        </w:rPr>
        <w:t>30</w:t>
      </w:r>
      <w:r w:rsidRPr="00BB6462">
        <w:rPr>
          <w:lang w:val="pt-BR"/>
        </w:rPr>
        <w:t>日订于纽约，联合国，《条约汇编》，第</w:t>
      </w:r>
      <w:r w:rsidRPr="00BB6462">
        <w:rPr>
          <w:lang w:val="pt-BR"/>
        </w:rPr>
        <w:t>1015</w:t>
      </w:r>
      <w:r w:rsidRPr="00BB6462">
        <w:rPr>
          <w:lang w:val="pt-BR"/>
        </w:rPr>
        <w:t>卷，第</w:t>
      </w:r>
      <w:r w:rsidRPr="00BB6462">
        <w:rPr>
          <w:lang w:val="pt-BR"/>
        </w:rPr>
        <w:t>243</w:t>
      </w:r>
      <w:r w:rsidRPr="00BB6462">
        <w:rPr>
          <w:lang w:val="pt-BR"/>
        </w:rPr>
        <w:t>页。第四条</w:t>
      </w:r>
      <w:r w:rsidRPr="00BB6462">
        <w:rPr>
          <w:lang w:val="pt-BR"/>
        </w:rPr>
        <w:t>(a)</w:t>
      </w:r>
      <w:r w:rsidRPr="00BB6462">
        <w:rPr>
          <w:lang w:val="pt-BR"/>
        </w:rPr>
        <w:t>项规定：</w:t>
      </w:r>
      <w:r w:rsidRPr="00BB6462">
        <w:rPr>
          <w:rFonts w:hint="eastAsia"/>
          <w:lang w:val="pt-BR"/>
        </w:rPr>
        <w:t>“</w:t>
      </w:r>
      <w:r w:rsidRPr="00BB6462">
        <w:rPr>
          <w:lang w:val="pt-BR"/>
        </w:rPr>
        <w:t>本公约缔约国</w:t>
      </w:r>
      <w:r w:rsidRPr="00BB6462">
        <w:rPr>
          <w:rFonts w:hint="eastAsia"/>
          <w:lang w:val="pt-BR"/>
        </w:rPr>
        <w:t>承诺……</w:t>
      </w:r>
      <w:r w:rsidRPr="00BB6462">
        <w:rPr>
          <w:lang w:val="pt-BR"/>
        </w:rPr>
        <w:t>采用任何必要的立法或其他措施，来禁止并预防对于种族隔离罪行和类似的分隔主义政策或其表现的鼓励，并惩治触犯此种罪行的</w:t>
      </w:r>
      <w:r w:rsidRPr="00BB6462">
        <w:rPr>
          <w:rFonts w:hint="eastAsia"/>
          <w:lang w:val="pt-BR"/>
        </w:rPr>
        <w:t>人……”</w:t>
      </w:r>
    </w:p>
  </w:footnote>
  <w:footnote w:id="23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lang w:val="pt-BR"/>
        </w:rPr>
        <w:tab/>
      </w:r>
      <w:r w:rsidRPr="00736AA5">
        <w:rPr>
          <w:rStyle w:val="a3"/>
          <w:szCs w:val="21"/>
        </w:rPr>
        <w:footnoteRef/>
      </w:r>
      <w:r w:rsidRPr="00BB6462">
        <w:rPr>
          <w:lang w:val="pt-BR"/>
        </w:rPr>
        <w:tab/>
      </w:r>
      <w:r w:rsidRPr="00BB6462">
        <w:rPr>
          <w:lang w:val="pt-BR"/>
        </w:rPr>
        <w:t>《反对劫持人质国际公约》，</w:t>
      </w:r>
      <w:r w:rsidRPr="00BB6462">
        <w:rPr>
          <w:lang w:val="pt-BR"/>
        </w:rPr>
        <w:t>1979</w:t>
      </w:r>
      <w:r w:rsidRPr="00BB6462">
        <w:rPr>
          <w:lang w:val="pt-BR"/>
        </w:rPr>
        <w:t>年</w:t>
      </w:r>
      <w:r w:rsidRPr="00BB6462">
        <w:rPr>
          <w:lang w:val="pt-BR"/>
        </w:rPr>
        <w:t>12</w:t>
      </w:r>
      <w:r w:rsidRPr="00BB6462">
        <w:rPr>
          <w:lang w:val="pt-BR"/>
        </w:rPr>
        <w:t>月</w:t>
      </w:r>
      <w:r w:rsidRPr="00BB6462">
        <w:rPr>
          <w:lang w:val="pt-BR"/>
        </w:rPr>
        <w:t>17</w:t>
      </w:r>
      <w:r w:rsidRPr="00BB6462">
        <w:rPr>
          <w:lang w:val="pt-BR"/>
        </w:rPr>
        <w:t>日订于纽约，联合国，《条约汇编》，第</w:t>
      </w:r>
      <w:r w:rsidRPr="00BB6462">
        <w:rPr>
          <w:lang w:val="pt-BR"/>
        </w:rPr>
        <w:t>1316</w:t>
      </w:r>
      <w:r w:rsidRPr="00BB6462">
        <w:rPr>
          <w:lang w:val="pt-BR"/>
        </w:rPr>
        <w:t>卷，第</w:t>
      </w:r>
      <w:r w:rsidRPr="00BB6462">
        <w:rPr>
          <w:lang w:val="pt-BR"/>
        </w:rPr>
        <w:t>205</w:t>
      </w:r>
      <w:r w:rsidRPr="00BB6462">
        <w:rPr>
          <w:lang w:val="pt-BR"/>
        </w:rPr>
        <w:t>页。第四条</w:t>
      </w:r>
      <w:r w:rsidRPr="00BB6462">
        <w:rPr>
          <w:lang w:val="pt-BR"/>
        </w:rPr>
        <w:t>(a)</w:t>
      </w:r>
      <w:r w:rsidRPr="00BB6462">
        <w:rPr>
          <w:lang w:val="pt-BR"/>
        </w:rPr>
        <w:t>项规定：</w:t>
      </w:r>
      <w:r w:rsidRPr="00BB6462">
        <w:rPr>
          <w:rFonts w:hint="eastAsia"/>
          <w:lang w:val="pt-BR"/>
        </w:rPr>
        <w:t>“</w:t>
      </w:r>
      <w:r w:rsidRPr="00BB6462">
        <w:rPr>
          <w:lang w:val="pt-BR"/>
        </w:rPr>
        <w:t>各缔约国应合作防止第一条所称罪行，特别是：采取一切实际可行的措施，以防止为在其领土内外进行犯罪行为而在其领土上所做的准备，包括禁止鼓励、煽动、策划或参与劫持人质的行为的个人、团体和组织在其领土内从事非法活动的措施。</w:t>
      </w:r>
      <w:r w:rsidRPr="00BB6462">
        <w:rPr>
          <w:rFonts w:hint="eastAsia"/>
          <w:lang w:val="pt-BR"/>
        </w:rPr>
        <w:t>”</w:t>
      </w:r>
    </w:p>
  </w:footnote>
  <w:footnote w:id="23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《禁止酷刑公约》，前注</w:t>
      </w:r>
      <w:r>
        <w:rPr>
          <w:rFonts w:hint="eastAsia"/>
          <w:lang w:val="pt-BR"/>
        </w:rPr>
        <w:t>226</w:t>
      </w:r>
      <w:r w:rsidRPr="00BB6462">
        <w:rPr>
          <w:lang w:val="pt-BR"/>
        </w:rPr>
        <w:t>。第二条第</w:t>
      </w:r>
      <w:r w:rsidRPr="00BB6462">
        <w:rPr>
          <w:lang w:val="pt-BR"/>
        </w:rPr>
        <w:t>(1)</w:t>
      </w:r>
      <w:r w:rsidRPr="00BB6462">
        <w:rPr>
          <w:lang w:val="pt-BR"/>
        </w:rPr>
        <w:t>款规定：</w:t>
      </w:r>
      <w:r w:rsidRPr="00BB6462">
        <w:rPr>
          <w:rFonts w:hint="eastAsia"/>
          <w:lang w:val="pt-BR"/>
        </w:rPr>
        <w:t>“</w:t>
      </w:r>
      <w:r w:rsidRPr="00BB6462">
        <w:rPr>
          <w:lang w:val="pt-BR"/>
        </w:rPr>
        <w:t>每一缔约国应采取有效的立法、行政、司法或其他措施，防止在其管辖的任何领土内出现酷刑的行为。</w:t>
      </w:r>
      <w:r w:rsidRPr="00BB6462">
        <w:rPr>
          <w:rFonts w:hint="eastAsia"/>
          <w:lang w:val="pt-BR"/>
        </w:rPr>
        <w:t>”</w:t>
      </w:r>
    </w:p>
  </w:footnote>
  <w:footnote w:id="23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《美洲防止和惩处酷刑公约》，</w:t>
      </w:r>
      <w:r w:rsidRPr="00BB6462">
        <w:rPr>
          <w:lang w:val="pt-BR"/>
        </w:rPr>
        <w:t>1985</w:t>
      </w:r>
      <w:r w:rsidRPr="00BB6462">
        <w:rPr>
          <w:lang w:val="pt-BR"/>
        </w:rPr>
        <w:t>年</w:t>
      </w:r>
      <w:r w:rsidRPr="00BB6462">
        <w:rPr>
          <w:lang w:val="pt-BR"/>
        </w:rPr>
        <w:t>12</w:t>
      </w:r>
      <w:r w:rsidRPr="00BB6462">
        <w:rPr>
          <w:lang w:val="pt-BR"/>
        </w:rPr>
        <w:t>月</w:t>
      </w:r>
      <w:r w:rsidRPr="00BB6462">
        <w:rPr>
          <w:lang w:val="pt-BR"/>
        </w:rPr>
        <w:t>9</w:t>
      </w:r>
      <w:r w:rsidRPr="00BB6462">
        <w:rPr>
          <w:lang w:val="pt-BR"/>
        </w:rPr>
        <w:t>日订于卡塔赫纳德印第亚斯，美洲国家组织，《条约汇编》，第</w:t>
      </w:r>
      <w:r w:rsidRPr="00BB6462">
        <w:rPr>
          <w:lang w:val="pt-BR"/>
        </w:rPr>
        <w:t>67</w:t>
      </w:r>
      <w:r w:rsidRPr="00BB6462">
        <w:rPr>
          <w:lang w:val="pt-BR"/>
        </w:rPr>
        <w:t>号。第</w:t>
      </w:r>
      <w:r w:rsidRPr="00BB6462">
        <w:rPr>
          <w:lang w:val="pt-BR"/>
        </w:rPr>
        <w:t>1</w:t>
      </w:r>
      <w:r w:rsidRPr="00BB6462">
        <w:rPr>
          <w:lang w:val="pt-BR"/>
        </w:rPr>
        <w:t>条规定：</w:t>
      </w:r>
      <w:r w:rsidRPr="00BB6462">
        <w:rPr>
          <w:rFonts w:hint="eastAsia"/>
          <w:lang w:val="pt-BR"/>
        </w:rPr>
        <w:t>“</w:t>
      </w:r>
      <w:r w:rsidRPr="00BB6462">
        <w:rPr>
          <w:lang w:val="pt-BR"/>
        </w:rPr>
        <w:t>缔约国承诺根据本公约的规定，防止和惩处酷刑。</w:t>
      </w:r>
      <w:r w:rsidRPr="00BB6462">
        <w:rPr>
          <w:rFonts w:hint="eastAsia"/>
          <w:lang w:val="pt-BR"/>
        </w:rPr>
        <w:t>”</w:t>
      </w:r>
      <w:r w:rsidRPr="00BB6462">
        <w:rPr>
          <w:lang w:val="pt-BR"/>
        </w:rPr>
        <w:t>第</w:t>
      </w:r>
      <w:r w:rsidRPr="00BB6462">
        <w:rPr>
          <w:lang w:val="pt-BR"/>
        </w:rPr>
        <w:t>6</w:t>
      </w:r>
      <w:r w:rsidRPr="00BB6462">
        <w:rPr>
          <w:lang w:val="pt-BR"/>
        </w:rPr>
        <w:t>条规定：</w:t>
      </w:r>
      <w:r w:rsidRPr="00BB6462">
        <w:rPr>
          <w:rFonts w:hint="eastAsia"/>
          <w:lang w:val="pt-BR"/>
        </w:rPr>
        <w:t>“</w:t>
      </w:r>
      <w:r w:rsidRPr="00BB6462">
        <w:rPr>
          <w:lang w:val="pt-BR"/>
        </w:rPr>
        <w:t>缔约国同样应采取有效措施，以在其管辖范围内防止和惩处其他残忍、不人道或有辱人格的待遇或处罚。</w:t>
      </w:r>
      <w:r w:rsidRPr="00BB6462">
        <w:rPr>
          <w:rFonts w:hint="eastAsia"/>
          <w:lang w:val="pt-BR"/>
        </w:rPr>
        <w:t>”</w:t>
      </w:r>
    </w:p>
  </w:footnote>
  <w:footnote w:id="23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《美洲被迫失踪人士公约》，前注</w:t>
      </w:r>
      <w:r>
        <w:rPr>
          <w:rFonts w:hint="eastAsia"/>
          <w:lang w:val="pt-BR"/>
        </w:rPr>
        <w:t>228</w:t>
      </w:r>
      <w:r w:rsidRPr="00BB6462">
        <w:rPr>
          <w:lang w:val="pt-BR"/>
        </w:rPr>
        <w:t>。第</w:t>
      </w:r>
      <w:r w:rsidRPr="00BB6462">
        <w:rPr>
          <w:lang w:val="pt-BR"/>
        </w:rPr>
        <w:t>1</w:t>
      </w:r>
      <w:r w:rsidRPr="00BB6462">
        <w:rPr>
          <w:lang w:val="pt-BR"/>
        </w:rPr>
        <w:t>条</w:t>
      </w:r>
      <w:r w:rsidRPr="00BB6462">
        <w:rPr>
          <w:lang w:val="pt-BR"/>
        </w:rPr>
        <w:t>(c)</w:t>
      </w:r>
      <w:r w:rsidRPr="00BB6462">
        <w:rPr>
          <w:lang w:val="pt-BR"/>
        </w:rPr>
        <w:t>至</w:t>
      </w:r>
      <w:r w:rsidRPr="00BB6462">
        <w:rPr>
          <w:lang w:val="pt-BR"/>
        </w:rPr>
        <w:t>(d)</w:t>
      </w:r>
      <w:r w:rsidRPr="00BB6462">
        <w:rPr>
          <w:lang w:val="pt-BR"/>
        </w:rPr>
        <w:t>项规定：</w:t>
      </w:r>
      <w:r w:rsidRPr="00BB6462">
        <w:rPr>
          <w:rFonts w:hint="eastAsia"/>
          <w:lang w:val="pt-BR"/>
        </w:rPr>
        <w:t>“</w:t>
      </w:r>
      <w:r w:rsidRPr="00BB6462">
        <w:rPr>
          <w:lang w:val="pt-BR"/>
        </w:rPr>
        <w:t>本公约缔约国</w:t>
      </w:r>
      <w:r w:rsidRPr="00BB6462">
        <w:rPr>
          <w:rFonts w:hint="eastAsia"/>
          <w:lang w:val="pt-BR"/>
        </w:rPr>
        <w:t>承诺……</w:t>
      </w:r>
      <w:r w:rsidRPr="00BB6462">
        <w:rPr>
          <w:lang w:val="pt-BR"/>
        </w:rPr>
        <w:t>相互合作协助防止、惩处和消除人员被迫失踪问题；采取立法、行政、司法和其他任何必要措施，从而遵守对本公约所作承诺。</w:t>
      </w:r>
      <w:r w:rsidRPr="00BB6462">
        <w:rPr>
          <w:rFonts w:hint="eastAsia"/>
          <w:lang w:val="pt-BR"/>
        </w:rPr>
        <w:t>”</w:t>
      </w:r>
    </w:p>
  </w:footnote>
  <w:footnote w:id="23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spacing w:val="-2"/>
          <w:lang w:val="pt-BR"/>
        </w:rPr>
        <w:t>《联合国人员和有关人员安全公约》，</w:t>
      </w:r>
      <w:r w:rsidRPr="00BB6462">
        <w:rPr>
          <w:lang w:val="pt-BR"/>
        </w:rPr>
        <w:t>1994</w:t>
      </w:r>
      <w:r w:rsidRPr="00BB6462">
        <w:rPr>
          <w:lang w:val="pt-BR"/>
        </w:rPr>
        <w:t>年</w:t>
      </w:r>
      <w:r w:rsidRPr="00BB6462">
        <w:rPr>
          <w:lang w:val="pt-BR"/>
        </w:rPr>
        <w:t>12</w:t>
      </w:r>
      <w:r w:rsidRPr="00BB6462">
        <w:rPr>
          <w:lang w:val="pt-BR"/>
        </w:rPr>
        <w:t>月</w:t>
      </w:r>
      <w:r w:rsidRPr="00BB6462">
        <w:rPr>
          <w:lang w:val="pt-BR"/>
        </w:rPr>
        <w:t>9</w:t>
      </w:r>
      <w:r w:rsidRPr="00BB6462">
        <w:rPr>
          <w:lang w:val="pt-BR"/>
        </w:rPr>
        <w:t>日订于纽约，联合国，《条约汇编》，第</w:t>
      </w:r>
      <w:r w:rsidRPr="00BB6462">
        <w:rPr>
          <w:lang w:val="pt-BR"/>
        </w:rPr>
        <w:t>2051</w:t>
      </w:r>
      <w:r w:rsidRPr="00BB6462">
        <w:rPr>
          <w:lang w:val="pt-BR"/>
        </w:rPr>
        <w:t>卷，第</w:t>
      </w:r>
      <w:r w:rsidRPr="00BB6462">
        <w:rPr>
          <w:lang w:val="pt-BR"/>
        </w:rPr>
        <w:t>363</w:t>
      </w:r>
      <w:r w:rsidRPr="00BB6462">
        <w:rPr>
          <w:lang w:val="pt-BR"/>
        </w:rPr>
        <w:t>页。第</w:t>
      </w:r>
      <w:r w:rsidRPr="00BB6462">
        <w:rPr>
          <w:lang w:val="pt-BR"/>
        </w:rPr>
        <w:t>11</w:t>
      </w:r>
      <w:r w:rsidRPr="00BB6462">
        <w:rPr>
          <w:lang w:val="pt-BR"/>
        </w:rPr>
        <w:t>条规定：</w:t>
      </w:r>
      <w:r w:rsidRPr="00BB6462">
        <w:rPr>
          <w:rFonts w:hint="eastAsia"/>
          <w:lang w:val="pt-BR"/>
        </w:rPr>
        <w:t>“</w:t>
      </w:r>
      <w:r w:rsidRPr="00BB6462">
        <w:rPr>
          <w:lang w:val="pt-BR"/>
        </w:rPr>
        <w:t>缔约国应合作以防止第</w:t>
      </w:r>
      <w:r w:rsidRPr="00BB6462">
        <w:rPr>
          <w:lang w:val="pt-BR"/>
        </w:rPr>
        <w:t>9</w:t>
      </w:r>
      <w:r w:rsidRPr="00BB6462">
        <w:rPr>
          <w:lang w:val="pt-BR"/>
        </w:rPr>
        <w:t>条所列举的罪行，尤其应：</w:t>
      </w:r>
      <w:r w:rsidRPr="00BB6462">
        <w:rPr>
          <w:lang w:val="pt-BR"/>
        </w:rPr>
        <w:t>(a)</w:t>
      </w:r>
      <w:r w:rsidRPr="00BB6462">
        <w:rPr>
          <w:rFonts w:hint="eastAsia"/>
          <w:lang w:val="pt-BR"/>
        </w:rPr>
        <w:t xml:space="preserve"> </w:t>
      </w:r>
      <w:r w:rsidRPr="00BB6462">
        <w:rPr>
          <w:lang w:val="pt-BR"/>
        </w:rPr>
        <w:t>采取一切实际可行的措施，以防止在其各自境内策划在其境内或境外犯下此种罪行；</w:t>
      </w:r>
      <w:r w:rsidRPr="00BB6462">
        <w:rPr>
          <w:lang w:val="pt-BR"/>
        </w:rPr>
        <w:t>(b)</w:t>
      </w:r>
      <w:r w:rsidRPr="00BB6462">
        <w:rPr>
          <w:rFonts w:hint="eastAsia"/>
          <w:lang w:val="pt-BR"/>
        </w:rPr>
        <w:t xml:space="preserve"> </w:t>
      </w:r>
      <w:r w:rsidRPr="00BB6462">
        <w:rPr>
          <w:lang w:val="pt-BR"/>
        </w:rPr>
        <w:t>按照国内法律的规定交换情报，酌情采取行政的或其他方面的措施，以防止发生此种罪行。</w:t>
      </w:r>
      <w:r w:rsidRPr="00BB6462">
        <w:rPr>
          <w:rFonts w:hint="eastAsia"/>
          <w:lang w:val="pt-BR"/>
        </w:rPr>
        <w:t>”</w:t>
      </w:r>
    </w:p>
  </w:footnote>
  <w:footnote w:id="23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《制止恐怖主义爆炸事件的国际公约》，</w:t>
      </w:r>
      <w:r w:rsidRPr="00BB6462">
        <w:rPr>
          <w:lang w:val="pt-BR"/>
        </w:rPr>
        <w:t>1997</w:t>
      </w:r>
      <w:r w:rsidRPr="00BB6462">
        <w:rPr>
          <w:lang w:val="pt-BR"/>
        </w:rPr>
        <w:t>年</w:t>
      </w:r>
      <w:r w:rsidRPr="00BB6462">
        <w:rPr>
          <w:lang w:val="pt-BR"/>
        </w:rPr>
        <w:t>12</w:t>
      </w:r>
      <w:r w:rsidRPr="00BB6462">
        <w:rPr>
          <w:lang w:val="pt-BR"/>
        </w:rPr>
        <w:t>月</w:t>
      </w:r>
      <w:r w:rsidRPr="00BB6462">
        <w:rPr>
          <w:lang w:val="pt-BR"/>
        </w:rPr>
        <w:t>15</w:t>
      </w:r>
      <w:r w:rsidRPr="00BB6462">
        <w:rPr>
          <w:lang w:val="pt-BR"/>
        </w:rPr>
        <w:t>日订于纽约，联合国，《条约汇编》，第</w:t>
      </w:r>
      <w:r w:rsidRPr="00BB6462">
        <w:rPr>
          <w:lang w:val="pt-BR"/>
        </w:rPr>
        <w:t>2149</w:t>
      </w:r>
      <w:r w:rsidRPr="00BB6462">
        <w:rPr>
          <w:lang w:val="pt-BR"/>
        </w:rPr>
        <w:t>卷，第</w:t>
      </w:r>
      <w:r w:rsidRPr="00BB6462">
        <w:rPr>
          <w:lang w:val="pt-BR"/>
        </w:rPr>
        <w:t>2</w:t>
      </w:r>
      <w:r>
        <w:rPr>
          <w:rFonts w:hint="eastAsia"/>
          <w:lang w:val="pt-BR"/>
        </w:rPr>
        <w:t>56</w:t>
      </w:r>
      <w:r w:rsidRPr="00BB6462">
        <w:rPr>
          <w:lang w:val="pt-BR"/>
        </w:rPr>
        <w:t>页。第</w:t>
      </w:r>
      <w:r w:rsidRPr="00BB6462">
        <w:rPr>
          <w:lang w:val="pt-BR"/>
        </w:rPr>
        <w:t>15</w:t>
      </w:r>
      <w:r w:rsidRPr="00BB6462">
        <w:rPr>
          <w:lang w:val="pt-BR"/>
        </w:rPr>
        <w:t>条</w:t>
      </w:r>
      <w:r w:rsidRPr="00BB6462">
        <w:rPr>
          <w:lang w:val="pt-BR"/>
        </w:rPr>
        <w:t>(a)</w:t>
      </w:r>
      <w:r>
        <w:rPr>
          <w:rFonts w:hint="eastAsia"/>
          <w:lang w:val="pt-BR"/>
        </w:rPr>
        <w:t>项</w:t>
      </w:r>
      <w:r w:rsidRPr="00BB6462">
        <w:rPr>
          <w:lang w:val="pt-BR"/>
        </w:rPr>
        <w:t>规定：</w:t>
      </w:r>
      <w:r w:rsidRPr="00BB6462">
        <w:rPr>
          <w:rFonts w:hint="eastAsia"/>
          <w:lang w:val="pt-BR"/>
        </w:rPr>
        <w:t>“</w:t>
      </w:r>
      <w:r w:rsidRPr="00BB6462">
        <w:rPr>
          <w:lang w:val="pt-BR"/>
        </w:rPr>
        <w:t>缔约国应在防止第</w:t>
      </w:r>
      <w:r w:rsidRPr="00BB6462">
        <w:rPr>
          <w:lang w:val="pt-BR"/>
        </w:rPr>
        <w:t>2</w:t>
      </w:r>
      <w:r w:rsidRPr="00BB6462">
        <w:rPr>
          <w:lang w:val="pt-BR"/>
        </w:rPr>
        <w:t>条所述的罪行方面进行合</w:t>
      </w:r>
      <w:r w:rsidRPr="00BB6462">
        <w:rPr>
          <w:rFonts w:hint="eastAsia"/>
          <w:lang w:val="pt-BR"/>
        </w:rPr>
        <w:t>作……”。</w:t>
      </w:r>
    </w:p>
  </w:footnote>
  <w:footnote w:id="24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《联合国打击跨国有组织犯罪公约》，</w:t>
      </w:r>
      <w:r w:rsidRPr="00BB6462">
        <w:rPr>
          <w:lang w:val="pt-BR"/>
        </w:rPr>
        <w:t>2000</w:t>
      </w:r>
      <w:r w:rsidRPr="00BB6462">
        <w:rPr>
          <w:lang w:val="pt-BR"/>
        </w:rPr>
        <w:t>年</w:t>
      </w:r>
      <w:r w:rsidRPr="00BB6462">
        <w:rPr>
          <w:lang w:val="pt-BR"/>
        </w:rPr>
        <w:t>11</w:t>
      </w:r>
      <w:r w:rsidRPr="00BB6462">
        <w:rPr>
          <w:lang w:val="pt-BR"/>
        </w:rPr>
        <w:t>月</w:t>
      </w:r>
      <w:r w:rsidRPr="00BB6462">
        <w:rPr>
          <w:lang w:val="pt-BR"/>
        </w:rPr>
        <w:t>15</w:t>
      </w:r>
      <w:r w:rsidRPr="00BB6462">
        <w:rPr>
          <w:lang w:val="pt-BR"/>
        </w:rPr>
        <w:t>日订于纽约，联合国，《条约汇编》，第</w:t>
      </w:r>
      <w:r w:rsidRPr="00BB6462">
        <w:rPr>
          <w:lang w:val="pt-BR"/>
        </w:rPr>
        <w:t>2225</w:t>
      </w:r>
      <w:r w:rsidRPr="00BB6462">
        <w:rPr>
          <w:lang w:val="pt-BR"/>
        </w:rPr>
        <w:t>卷，第</w:t>
      </w:r>
      <w:r w:rsidRPr="00BB6462">
        <w:rPr>
          <w:lang w:val="pt-BR"/>
        </w:rPr>
        <w:t>209</w:t>
      </w:r>
      <w:r w:rsidRPr="00BB6462">
        <w:rPr>
          <w:lang w:val="pt-BR"/>
        </w:rPr>
        <w:t>页。第</w:t>
      </w:r>
      <w:r w:rsidRPr="00BB6462">
        <w:rPr>
          <w:lang w:val="pt-BR"/>
        </w:rPr>
        <w:t>9</w:t>
      </w:r>
      <w:r w:rsidRPr="00BB6462">
        <w:rPr>
          <w:lang w:val="pt-BR"/>
        </w:rPr>
        <w:t>条第</w:t>
      </w:r>
      <w:r w:rsidRPr="00BB6462">
        <w:rPr>
          <w:lang w:val="pt-BR"/>
        </w:rPr>
        <w:t>(1)</w:t>
      </w:r>
      <w:r w:rsidRPr="00BB6462">
        <w:rPr>
          <w:lang w:val="pt-BR"/>
        </w:rPr>
        <w:t>款规定：</w:t>
      </w:r>
      <w:r w:rsidRPr="00BB6462">
        <w:rPr>
          <w:rFonts w:hint="eastAsia"/>
          <w:lang w:val="pt-BR"/>
        </w:rPr>
        <w:t>“</w:t>
      </w:r>
      <w:r w:rsidRPr="00BB6462">
        <w:rPr>
          <w:lang w:val="pt-BR"/>
        </w:rPr>
        <w:t>除本公约第</w:t>
      </w:r>
      <w:r w:rsidRPr="00BB6462">
        <w:rPr>
          <w:lang w:val="pt-BR"/>
        </w:rPr>
        <w:t xml:space="preserve"> 8 </w:t>
      </w:r>
      <w:r w:rsidRPr="00BB6462">
        <w:rPr>
          <w:lang w:val="pt-BR"/>
        </w:rPr>
        <w:t>条所列各项措施外，各缔约国均应在适当时并在符合其法律制度的情况下，采取立法、行政或其他有效措施，以促进公职人员廉洁奉公，并预防、调查和惩治腐败行为。</w:t>
      </w:r>
      <w:r w:rsidRPr="00BB6462">
        <w:rPr>
          <w:rFonts w:hint="eastAsia"/>
          <w:lang w:val="pt-BR"/>
        </w:rPr>
        <w:t>”</w:t>
      </w:r>
      <w:r w:rsidRPr="00BB6462">
        <w:rPr>
          <w:lang w:val="pt-BR"/>
        </w:rPr>
        <w:t>第</w:t>
      </w:r>
      <w:r w:rsidRPr="00BB6462">
        <w:rPr>
          <w:lang w:val="pt-BR"/>
        </w:rPr>
        <w:t>9</w:t>
      </w:r>
      <w:r w:rsidRPr="00BB6462">
        <w:rPr>
          <w:lang w:val="pt-BR"/>
        </w:rPr>
        <w:t>条第</w:t>
      </w:r>
      <w:r w:rsidRPr="00BB6462">
        <w:rPr>
          <w:lang w:val="pt-BR"/>
        </w:rPr>
        <w:t>(2)</w:t>
      </w:r>
      <w:r w:rsidRPr="00BB6462">
        <w:rPr>
          <w:lang w:val="pt-BR"/>
        </w:rPr>
        <w:t>款规定：</w:t>
      </w:r>
      <w:r w:rsidRPr="00BB6462">
        <w:rPr>
          <w:rFonts w:hint="eastAsia"/>
          <w:lang w:val="pt-BR"/>
        </w:rPr>
        <w:t>“</w:t>
      </w:r>
      <w:r w:rsidRPr="00BB6462">
        <w:rPr>
          <w:lang w:val="pt-BR"/>
        </w:rPr>
        <w:t>各缔约国均应采取措施，确保本国当局在预防、调查和惩治公职人员</w:t>
      </w:r>
      <w:r w:rsidRPr="00BB6462">
        <w:rPr>
          <w:lang w:val="pt-BR"/>
        </w:rPr>
        <w:t xml:space="preserve"> </w:t>
      </w:r>
      <w:r w:rsidRPr="00BB6462">
        <w:rPr>
          <w:lang w:val="pt-BR"/>
        </w:rPr>
        <w:t>腐败行为方面采取有效行动，包括使该当局具备适当的独立性，以免其行动受到不适当的影响。</w:t>
      </w:r>
      <w:r w:rsidRPr="00BB6462">
        <w:rPr>
          <w:rFonts w:hint="eastAsia"/>
          <w:lang w:val="pt-BR"/>
        </w:rPr>
        <w:t>”</w:t>
      </w:r>
      <w:r w:rsidRPr="00BB6462">
        <w:rPr>
          <w:lang w:val="pt-BR"/>
        </w:rPr>
        <w:t>第</w:t>
      </w:r>
      <w:r w:rsidRPr="00BB6462">
        <w:rPr>
          <w:lang w:val="pt-BR"/>
        </w:rPr>
        <w:t>29</w:t>
      </w:r>
      <w:r w:rsidRPr="00BB6462">
        <w:rPr>
          <w:lang w:val="pt-BR"/>
        </w:rPr>
        <w:t>条第</w:t>
      </w:r>
      <w:r w:rsidRPr="00BB6462">
        <w:rPr>
          <w:lang w:val="pt-BR"/>
        </w:rPr>
        <w:t>(1)</w:t>
      </w:r>
      <w:r w:rsidRPr="00BB6462">
        <w:rPr>
          <w:lang w:val="pt-BR"/>
        </w:rPr>
        <w:t>款规定：</w:t>
      </w:r>
      <w:r w:rsidRPr="00BB6462">
        <w:rPr>
          <w:rFonts w:hint="eastAsia"/>
          <w:lang w:val="pt-BR"/>
        </w:rPr>
        <w:t>“</w:t>
      </w:r>
      <w:r w:rsidRPr="00BB6462">
        <w:rPr>
          <w:lang w:val="pt-BR"/>
        </w:rPr>
        <w:t>各缔约国均应在必要时为其执法人员，包括检察官、进行调查的法官和海关人员及其他负责预防、侦查和控制本公约所涵盖的犯罪的人员开展、拟订或改进具体的培训方案。</w:t>
      </w:r>
      <w:r w:rsidRPr="00BB6462">
        <w:rPr>
          <w:rFonts w:hint="eastAsia"/>
          <w:lang w:val="pt-BR"/>
        </w:rPr>
        <w:t>”</w:t>
      </w:r>
      <w:r w:rsidRPr="00BB6462">
        <w:rPr>
          <w:lang w:val="pt-BR"/>
        </w:rPr>
        <w:t>第</w:t>
      </w:r>
      <w:r w:rsidRPr="00BB6462">
        <w:rPr>
          <w:lang w:val="pt-BR"/>
        </w:rPr>
        <w:t>31</w:t>
      </w:r>
      <w:r w:rsidRPr="00BB6462">
        <w:rPr>
          <w:lang w:val="pt-BR"/>
        </w:rPr>
        <w:t>条第</w:t>
      </w:r>
      <w:r w:rsidRPr="00BB6462">
        <w:rPr>
          <w:lang w:val="pt-BR"/>
        </w:rPr>
        <w:t>(1)</w:t>
      </w:r>
      <w:r w:rsidRPr="00BB6462">
        <w:rPr>
          <w:lang w:val="pt-BR"/>
        </w:rPr>
        <w:t>款规定：</w:t>
      </w:r>
      <w:r w:rsidRPr="00BB6462">
        <w:rPr>
          <w:rFonts w:hint="eastAsia"/>
          <w:lang w:val="pt-BR"/>
        </w:rPr>
        <w:t>“</w:t>
      </w:r>
      <w:r w:rsidRPr="00BB6462">
        <w:rPr>
          <w:lang w:val="pt-BR"/>
        </w:rPr>
        <w:t>缔约国应努力开发和评估各种旨在预防跨国有组织犯罪的国家项目，并制订和促进这方面的最佳做法和政策。</w:t>
      </w:r>
      <w:r w:rsidRPr="00BB6462">
        <w:rPr>
          <w:rFonts w:hint="eastAsia"/>
          <w:lang w:val="pt-BR"/>
        </w:rPr>
        <w:t>”</w:t>
      </w:r>
    </w:p>
  </w:footnote>
  <w:footnote w:id="24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rPr>
          <w:lang w:val="en-GB"/>
        </w:rPr>
        <w:tab/>
      </w:r>
      <w:r w:rsidRPr="00BB6462">
        <w:rPr>
          <w:lang w:val="pt-BR"/>
        </w:rPr>
        <w:t>《联合国打击跨国有组织犯罪公约关于预防、禁止和惩治贩运人口特别是妇女和儿童行为的补充议定书》，</w:t>
      </w:r>
      <w:r w:rsidRPr="00BB6462">
        <w:rPr>
          <w:lang w:val="pt-BR"/>
        </w:rPr>
        <w:t>2000</w:t>
      </w:r>
      <w:r w:rsidRPr="00BB6462">
        <w:rPr>
          <w:lang w:val="pt-BR"/>
        </w:rPr>
        <w:t>年</w:t>
      </w:r>
      <w:r w:rsidRPr="00BB6462">
        <w:rPr>
          <w:lang w:val="pt-BR"/>
        </w:rPr>
        <w:t>11</w:t>
      </w:r>
      <w:r w:rsidRPr="00BB6462">
        <w:rPr>
          <w:lang w:val="pt-BR"/>
        </w:rPr>
        <w:t>月</w:t>
      </w:r>
      <w:r w:rsidRPr="00BB6462">
        <w:rPr>
          <w:lang w:val="pt-BR"/>
        </w:rPr>
        <w:t>15</w:t>
      </w:r>
      <w:r w:rsidRPr="00BB6462">
        <w:rPr>
          <w:lang w:val="pt-BR"/>
        </w:rPr>
        <w:t>日订于纽约，联合国，《条约汇编》，第</w:t>
      </w:r>
      <w:r w:rsidRPr="00BB6462">
        <w:rPr>
          <w:lang w:val="pt-BR"/>
        </w:rPr>
        <w:t>2237</w:t>
      </w:r>
      <w:r w:rsidRPr="00BB6462">
        <w:rPr>
          <w:lang w:val="pt-BR"/>
        </w:rPr>
        <w:t>卷，第</w:t>
      </w:r>
      <w:r w:rsidRPr="00BB6462">
        <w:rPr>
          <w:lang w:val="pt-BR"/>
        </w:rPr>
        <w:t>319</w:t>
      </w:r>
      <w:r w:rsidRPr="00BB6462">
        <w:rPr>
          <w:lang w:val="pt-BR"/>
        </w:rPr>
        <w:t>页。第</w:t>
      </w:r>
      <w:r w:rsidRPr="00BB6462">
        <w:rPr>
          <w:lang w:val="pt-BR"/>
        </w:rPr>
        <w:t>9</w:t>
      </w:r>
      <w:r w:rsidRPr="00BB6462">
        <w:rPr>
          <w:lang w:val="pt-BR"/>
        </w:rPr>
        <w:t>条第</w:t>
      </w:r>
      <w:r w:rsidRPr="00BB6462">
        <w:rPr>
          <w:lang w:val="pt-BR"/>
        </w:rPr>
        <w:t>(1)</w:t>
      </w:r>
      <w:r w:rsidRPr="00BB6462">
        <w:rPr>
          <w:lang w:val="pt-BR"/>
        </w:rPr>
        <w:t>款规定：</w:t>
      </w:r>
      <w:r w:rsidRPr="00BB6462">
        <w:rPr>
          <w:rFonts w:hint="eastAsia"/>
          <w:lang w:val="pt-BR"/>
        </w:rPr>
        <w:t>“</w:t>
      </w:r>
      <w:r w:rsidRPr="00BB6462">
        <w:rPr>
          <w:lang w:val="pt-BR"/>
        </w:rPr>
        <w:t>缔约国应制定综合政策、方案和其他措施，以便：</w:t>
      </w:r>
      <w:r w:rsidRPr="00BB6462">
        <w:rPr>
          <w:lang w:val="pt-BR"/>
        </w:rPr>
        <w:t>(a)</w:t>
      </w:r>
      <w:r w:rsidRPr="00BB6462">
        <w:rPr>
          <w:rFonts w:hint="eastAsia"/>
          <w:lang w:val="pt-BR"/>
        </w:rPr>
        <w:t xml:space="preserve"> </w:t>
      </w:r>
      <w:r w:rsidRPr="00BB6462">
        <w:rPr>
          <w:lang w:val="pt-BR"/>
        </w:rPr>
        <w:t>预防和打击人口贩运；并</w:t>
      </w:r>
      <w:r w:rsidRPr="00BB6462">
        <w:rPr>
          <w:lang w:val="pt-BR"/>
        </w:rPr>
        <w:t>(b)</w:t>
      </w:r>
      <w:r w:rsidRPr="00BB6462">
        <w:rPr>
          <w:rFonts w:hint="eastAsia"/>
          <w:lang w:val="pt-BR"/>
        </w:rPr>
        <w:t xml:space="preserve"> </w:t>
      </w:r>
      <w:r w:rsidRPr="00BB6462">
        <w:rPr>
          <w:lang w:val="pt-BR"/>
        </w:rPr>
        <w:t>保护人口贩运活动被害人特别是妇女和儿童免于再度受害。</w:t>
      </w:r>
      <w:r w:rsidRPr="00BB6462">
        <w:rPr>
          <w:rFonts w:hint="eastAsia"/>
          <w:lang w:val="pt-BR"/>
        </w:rPr>
        <w:t>”</w:t>
      </w:r>
    </w:p>
  </w:footnote>
  <w:footnote w:id="24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rPr>
          <w:lang w:val="en-GB"/>
        </w:rPr>
        <w:tab/>
      </w:r>
      <w:r w:rsidRPr="00BB6462">
        <w:rPr>
          <w:lang w:val="pt-BR"/>
        </w:rPr>
        <w:t>《禁止酷刑和其他残忍、不人道或有辱人格的待遇或处罚公约任择议定书》，</w:t>
      </w:r>
      <w:r w:rsidRPr="00BB6462">
        <w:rPr>
          <w:lang w:val="pt-BR"/>
        </w:rPr>
        <w:t>2002</w:t>
      </w:r>
      <w:r w:rsidRPr="00BB6462">
        <w:rPr>
          <w:lang w:val="pt-BR"/>
        </w:rPr>
        <w:t>年</w:t>
      </w:r>
      <w:r w:rsidRPr="00BB6462">
        <w:rPr>
          <w:lang w:val="pt-BR"/>
        </w:rPr>
        <w:t>12</w:t>
      </w:r>
      <w:r w:rsidRPr="00BB6462">
        <w:rPr>
          <w:lang w:val="pt-BR"/>
        </w:rPr>
        <w:t>月</w:t>
      </w:r>
      <w:r w:rsidRPr="00BB6462">
        <w:rPr>
          <w:lang w:val="pt-BR"/>
        </w:rPr>
        <w:t>18</w:t>
      </w:r>
      <w:r w:rsidRPr="00BB6462">
        <w:rPr>
          <w:lang w:val="pt-BR"/>
        </w:rPr>
        <w:t>日订于纽约，联合国，《条约汇编》，第</w:t>
      </w:r>
      <w:r w:rsidRPr="00BB6462">
        <w:rPr>
          <w:lang w:val="pt-BR"/>
        </w:rPr>
        <w:t>2375</w:t>
      </w:r>
      <w:r w:rsidRPr="00BB6462">
        <w:rPr>
          <w:lang w:val="pt-BR"/>
        </w:rPr>
        <w:t>卷，第</w:t>
      </w:r>
      <w:r w:rsidRPr="00BB6462">
        <w:rPr>
          <w:lang w:val="pt-BR"/>
        </w:rPr>
        <w:t>237</w:t>
      </w:r>
      <w:r w:rsidRPr="00BB6462">
        <w:rPr>
          <w:lang w:val="pt-BR"/>
        </w:rPr>
        <w:t>页。序言部分写明：</w:t>
      </w:r>
      <w:r w:rsidRPr="00BB6462">
        <w:rPr>
          <w:rFonts w:hint="eastAsia"/>
          <w:lang w:val="pt-BR"/>
        </w:rPr>
        <w:t>“</w:t>
      </w:r>
      <w:r w:rsidRPr="00BB6462">
        <w:rPr>
          <w:lang w:val="pt-BR"/>
        </w:rPr>
        <w:t>忆及有效防止酷刑和其他残忍、不人道或有辱人格的待遇或处罚要求，进行教育并综合采取立法、行政、司法或其他措施</w:t>
      </w:r>
      <w:r w:rsidRPr="00BB6462">
        <w:rPr>
          <w:rFonts w:hint="eastAsia"/>
          <w:lang w:val="pt-BR"/>
        </w:rPr>
        <w:t>”</w:t>
      </w:r>
      <w:r w:rsidRPr="00BB6462">
        <w:rPr>
          <w:lang w:val="pt-BR"/>
        </w:rPr>
        <w:t>。第</w:t>
      </w:r>
      <w:r w:rsidRPr="00BB6462">
        <w:rPr>
          <w:lang w:val="pt-BR"/>
        </w:rPr>
        <w:t>3</w:t>
      </w:r>
      <w:r w:rsidRPr="00BB6462">
        <w:rPr>
          <w:lang w:val="pt-BR"/>
        </w:rPr>
        <w:t>条规定：</w:t>
      </w:r>
      <w:r w:rsidRPr="00BB6462">
        <w:rPr>
          <w:rFonts w:hint="eastAsia"/>
          <w:lang w:val="pt-BR"/>
        </w:rPr>
        <w:t>“</w:t>
      </w:r>
      <w:r w:rsidRPr="00BB6462">
        <w:rPr>
          <w:lang w:val="pt-BR"/>
        </w:rPr>
        <w:t>每一缔约国应在国内一级设立、指定或保持一个或多个预防酷刑和其他残忍、不人道或有辱人格的待遇或处罚的查访</w:t>
      </w:r>
      <w:r w:rsidRPr="00BB6462">
        <w:rPr>
          <w:rFonts w:hint="eastAsia"/>
          <w:lang w:val="pt-BR"/>
        </w:rPr>
        <w:t>机构……”</w:t>
      </w:r>
      <w:r>
        <w:rPr>
          <w:rFonts w:hint="eastAsia"/>
          <w:lang w:val="pt-BR"/>
        </w:rPr>
        <w:t>。</w:t>
      </w:r>
    </w:p>
  </w:footnote>
  <w:footnote w:id="243">
    <w:p w:rsidR="00F60D83" w:rsidRPr="00FC5452" w:rsidRDefault="00F60D83" w:rsidP="007C3A88">
      <w:pPr>
        <w:pStyle w:val="a5"/>
        <w:tabs>
          <w:tab w:val="clear" w:pos="418"/>
          <w:tab w:val="right" w:pos="1195"/>
          <w:tab w:val="left" w:pos="1264"/>
          <w:tab w:val="left" w:pos="1695"/>
          <w:tab w:val="left" w:pos="2126"/>
          <w:tab w:val="left" w:pos="2557"/>
        </w:tabs>
        <w:ind w:left="1264" w:right="1264" w:hanging="432"/>
        <w:rPr>
          <w:spacing w:val="-4"/>
        </w:rPr>
      </w:pPr>
      <w:r w:rsidRPr="00BB6462">
        <w:tab/>
      </w:r>
      <w:r w:rsidRPr="00736AA5">
        <w:rPr>
          <w:rStyle w:val="a3"/>
          <w:szCs w:val="21"/>
        </w:rPr>
        <w:footnoteRef/>
      </w:r>
      <w:r w:rsidRPr="00BB6462">
        <w:rPr>
          <w:lang w:val="en-GB"/>
        </w:rPr>
        <w:tab/>
      </w:r>
      <w:r w:rsidRPr="00BB6462">
        <w:rPr>
          <w:lang w:val="pt-BR"/>
        </w:rPr>
        <w:t>《强迫失踪公约》，前注</w:t>
      </w:r>
      <w:r>
        <w:rPr>
          <w:rFonts w:hint="eastAsia"/>
          <w:lang w:val="pt-BR"/>
        </w:rPr>
        <w:t>229</w:t>
      </w:r>
      <w:r w:rsidRPr="00BB6462">
        <w:rPr>
          <w:lang w:val="pt-BR"/>
        </w:rPr>
        <w:t>。序言部分写明：</w:t>
      </w:r>
      <w:r w:rsidRPr="00BB6462">
        <w:rPr>
          <w:rFonts w:hint="eastAsia"/>
          <w:lang w:val="pt-BR"/>
        </w:rPr>
        <w:t>“</w:t>
      </w:r>
      <w:r w:rsidRPr="00BB6462">
        <w:rPr>
          <w:lang w:val="pt-BR"/>
        </w:rPr>
        <w:t>决心防止强迫失踪，制止犯有强迫失踪罪而不受惩罚的现象</w:t>
      </w:r>
      <w:r w:rsidRPr="00BB6462">
        <w:rPr>
          <w:rFonts w:hint="eastAsia"/>
          <w:lang w:val="pt-BR"/>
        </w:rPr>
        <w:t>”</w:t>
      </w:r>
      <w:r w:rsidRPr="00BB6462">
        <w:rPr>
          <w:lang w:val="pt-BR"/>
        </w:rPr>
        <w:t>。第二十三条规定：</w:t>
      </w:r>
      <w:r w:rsidRPr="00BB6462">
        <w:rPr>
          <w:rFonts w:hint="eastAsia"/>
          <w:lang w:val="pt-BR"/>
        </w:rPr>
        <w:t>“</w:t>
      </w:r>
      <w:r w:rsidRPr="00BB6462">
        <w:rPr>
          <w:lang w:val="pt-BR"/>
        </w:rPr>
        <w:t>一、各缔约国应确保，对执法人员、文职或军事人员、医务人员、国家官员和其他可能参与监押或处置任何被剥夺自由者的人的培训，应包括对本公约相关规定的必要教育和信息，以便：</w:t>
      </w:r>
      <w:r w:rsidRPr="00BB6462">
        <w:rPr>
          <w:lang w:val="pt-BR"/>
        </w:rPr>
        <w:t>(</w:t>
      </w:r>
      <w:r w:rsidRPr="00BB6462">
        <w:rPr>
          <w:lang w:val="pt-BR"/>
        </w:rPr>
        <w:t>一</w:t>
      </w:r>
      <w:r w:rsidRPr="00BB6462">
        <w:rPr>
          <w:lang w:val="pt-BR"/>
        </w:rPr>
        <w:t xml:space="preserve">) </w:t>
      </w:r>
      <w:r w:rsidRPr="00BB6462">
        <w:rPr>
          <w:lang w:val="pt-BR"/>
        </w:rPr>
        <w:t>防止这类官员卷入强迫失踪案件；</w:t>
      </w:r>
      <w:r w:rsidRPr="00BB6462">
        <w:rPr>
          <w:lang w:val="pt-BR"/>
        </w:rPr>
        <w:t>(</w:t>
      </w:r>
      <w:r w:rsidRPr="00BB6462">
        <w:rPr>
          <w:lang w:val="pt-BR"/>
        </w:rPr>
        <w:t>二</w:t>
      </w:r>
      <w:r w:rsidRPr="00BB6462">
        <w:rPr>
          <w:lang w:val="pt-BR"/>
        </w:rPr>
        <w:t xml:space="preserve">) </w:t>
      </w:r>
      <w:r w:rsidRPr="00BB6462">
        <w:rPr>
          <w:lang w:val="pt-BR"/>
        </w:rPr>
        <w:t>强调防止和调查强迫失踪案件的重要性；</w:t>
      </w:r>
      <w:r w:rsidRPr="00BB6462">
        <w:rPr>
          <w:lang w:val="pt-BR"/>
        </w:rPr>
        <w:t>(</w:t>
      </w:r>
      <w:r w:rsidRPr="00BB6462">
        <w:rPr>
          <w:lang w:val="pt-BR"/>
        </w:rPr>
        <w:t>三</w:t>
      </w:r>
      <w:r w:rsidRPr="00BB6462">
        <w:rPr>
          <w:lang w:val="pt-BR"/>
        </w:rPr>
        <w:t xml:space="preserve">) </w:t>
      </w:r>
      <w:r w:rsidRPr="00BB6462">
        <w:rPr>
          <w:lang w:val="pt-BR"/>
        </w:rPr>
        <w:t>确保认识到解决强迫失踪案件的迫切性。二、各缔约国应确保禁止发布</w:t>
      </w:r>
      <w:r w:rsidRPr="00FC5452">
        <w:rPr>
          <w:spacing w:val="-4"/>
          <w:lang w:val="pt-BR"/>
        </w:rPr>
        <w:t>任何命令和指示，指令、授权或鼓励制造强迫失踪。各国应保证，拒绝遵守这类命令的人不得受到惩罚。三、各缔约国应采取必要措施，确保当本条第一款所指的人有理由相信强迫失踪案件已经发生或正在计划之中时，应向上级报告，并在必要时报告拥有审查权或补救权的有关当局或机关。</w:t>
      </w:r>
      <w:r w:rsidRPr="00FC5452">
        <w:rPr>
          <w:rFonts w:hint="eastAsia"/>
          <w:spacing w:val="-4"/>
          <w:lang w:val="pt-BR"/>
        </w:rPr>
        <w:t>”</w:t>
      </w:r>
    </w:p>
  </w:footnote>
  <w:footnote w:id="24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《消除一切形式种族歧视国际公约》，</w:t>
      </w:r>
      <w:r w:rsidRPr="00BB6462">
        <w:rPr>
          <w:lang w:val="pt-BR"/>
        </w:rPr>
        <w:t>1966</w:t>
      </w:r>
      <w:r w:rsidRPr="00BB6462">
        <w:rPr>
          <w:lang w:val="pt-BR"/>
        </w:rPr>
        <w:t>年</w:t>
      </w:r>
      <w:r w:rsidRPr="00BB6462">
        <w:rPr>
          <w:lang w:val="pt-BR"/>
        </w:rPr>
        <w:t>3</w:t>
      </w:r>
      <w:r w:rsidRPr="00BB6462">
        <w:rPr>
          <w:lang w:val="pt-BR"/>
        </w:rPr>
        <w:t>月</w:t>
      </w:r>
      <w:r w:rsidRPr="00BB6462">
        <w:rPr>
          <w:lang w:val="pt-BR"/>
        </w:rPr>
        <w:t>7</w:t>
      </w:r>
      <w:r w:rsidRPr="00BB6462">
        <w:rPr>
          <w:lang w:val="pt-BR"/>
        </w:rPr>
        <w:t>日订于纽约，联合国，《条约汇编》，第</w:t>
      </w:r>
      <w:r w:rsidRPr="00BB6462">
        <w:rPr>
          <w:lang w:val="pt-BR"/>
        </w:rPr>
        <w:t>660</w:t>
      </w:r>
      <w:r w:rsidRPr="00BB6462">
        <w:rPr>
          <w:lang w:val="pt-BR"/>
        </w:rPr>
        <w:t>卷，第</w:t>
      </w:r>
      <w:r w:rsidRPr="00BB6462">
        <w:rPr>
          <w:lang w:val="pt-BR"/>
        </w:rPr>
        <w:t>195</w:t>
      </w:r>
      <w:r w:rsidRPr="00BB6462">
        <w:rPr>
          <w:lang w:val="pt-BR"/>
        </w:rPr>
        <w:t>页。第三条规定：</w:t>
      </w:r>
      <w:r w:rsidRPr="00BB6462">
        <w:rPr>
          <w:rFonts w:hint="eastAsia"/>
          <w:lang w:val="pt-BR"/>
        </w:rPr>
        <w:t>“</w:t>
      </w:r>
      <w:r w:rsidRPr="00BB6462">
        <w:rPr>
          <w:lang w:val="pt-BR"/>
        </w:rPr>
        <w:t>缔约国特别谴责种族分隔及</w:t>
      </w:r>
      <w:r w:rsidRPr="00BB6462">
        <w:rPr>
          <w:lang w:val="pt-BR"/>
        </w:rPr>
        <w:t>‘</w:t>
      </w:r>
      <w:r w:rsidRPr="00BB6462">
        <w:rPr>
          <w:lang w:val="pt-BR"/>
        </w:rPr>
        <w:t>种族隔离</w:t>
      </w:r>
      <w:r w:rsidRPr="00BB6462">
        <w:rPr>
          <w:lang w:val="pt-BR"/>
        </w:rPr>
        <w:t>’</w:t>
      </w:r>
      <w:r w:rsidRPr="00BB6462">
        <w:rPr>
          <w:lang w:val="pt-BR"/>
        </w:rPr>
        <w:t>并承诺在其所辖领土内防止、禁止并根除具有此种性质的一切习例。</w:t>
      </w:r>
      <w:r w:rsidRPr="00BB6462">
        <w:rPr>
          <w:rFonts w:hint="eastAsia"/>
          <w:lang w:val="pt-BR"/>
        </w:rPr>
        <w:t>”</w:t>
      </w:r>
    </w:p>
  </w:footnote>
  <w:footnote w:id="24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rPr>
          <w:lang w:val="en-GB"/>
        </w:rPr>
        <w:tab/>
      </w:r>
      <w:r w:rsidRPr="00BB6462">
        <w:rPr>
          <w:lang w:val="pt-BR"/>
        </w:rPr>
        <w:t>《消除对妇女一切形式歧视公约》，</w:t>
      </w:r>
      <w:r w:rsidRPr="00BB6462">
        <w:rPr>
          <w:lang w:val="pt-BR"/>
        </w:rPr>
        <w:t>1979</w:t>
      </w:r>
      <w:r w:rsidRPr="00BB6462">
        <w:rPr>
          <w:lang w:val="pt-BR"/>
        </w:rPr>
        <w:t>年</w:t>
      </w:r>
      <w:r w:rsidRPr="00BB6462">
        <w:rPr>
          <w:lang w:val="pt-BR"/>
        </w:rPr>
        <w:t>12</w:t>
      </w:r>
      <w:r w:rsidRPr="00BB6462">
        <w:rPr>
          <w:lang w:val="pt-BR"/>
        </w:rPr>
        <w:t>月</w:t>
      </w:r>
      <w:r w:rsidRPr="00BB6462">
        <w:rPr>
          <w:lang w:val="pt-BR"/>
        </w:rPr>
        <w:t>18</w:t>
      </w:r>
      <w:r w:rsidRPr="00BB6462">
        <w:rPr>
          <w:lang w:val="pt-BR"/>
        </w:rPr>
        <w:t>日订于纽约，联合国，《条约汇编》，第</w:t>
      </w:r>
      <w:r w:rsidRPr="00BB6462">
        <w:rPr>
          <w:lang w:val="pt-BR"/>
        </w:rPr>
        <w:t>1249</w:t>
      </w:r>
      <w:r w:rsidRPr="00BB6462">
        <w:rPr>
          <w:lang w:val="pt-BR"/>
        </w:rPr>
        <w:t>卷，第</w:t>
      </w:r>
      <w:r w:rsidRPr="00BB6462">
        <w:rPr>
          <w:lang w:val="pt-BR"/>
        </w:rPr>
        <w:t>13</w:t>
      </w:r>
      <w:r w:rsidRPr="00BB6462">
        <w:rPr>
          <w:lang w:val="pt-BR"/>
        </w:rPr>
        <w:t>页。第二条规定：</w:t>
      </w:r>
      <w:r w:rsidRPr="00BB6462">
        <w:rPr>
          <w:rFonts w:hint="eastAsia"/>
          <w:lang w:val="pt-BR"/>
        </w:rPr>
        <w:t>“</w:t>
      </w:r>
      <w:r w:rsidRPr="00BB6462">
        <w:rPr>
          <w:lang w:val="pt-BR"/>
        </w:rPr>
        <w:t>缔约各国谴责对妇女一切形式的歧视，协议立即用一切适当办法，推行政策，消除对妇女的歧视。</w:t>
      </w:r>
      <w:r w:rsidRPr="00BB6462">
        <w:rPr>
          <w:rFonts w:hint="eastAsia"/>
          <w:lang w:val="pt-BR"/>
        </w:rPr>
        <w:t>”</w:t>
      </w:r>
      <w:r w:rsidRPr="00BB6462">
        <w:rPr>
          <w:lang w:val="pt-BR"/>
        </w:rPr>
        <w:t>第三条规定：</w:t>
      </w:r>
      <w:r w:rsidRPr="00BB6462">
        <w:rPr>
          <w:rFonts w:hint="eastAsia"/>
          <w:lang w:val="pt-BR"/>
        </w:rPr>
        <w:t>“</w:t>
      </w:r>
      <w:r w:rsidRPr="00BB6462">
        <w:rPr>
          <w:lang w:val="pt-BR"/>
        </w:rPr>
        <w:t>缔约各国应承担在所有领域，特别是在政治、社会、经济、文化领域，采取一切适当措施，包括制定法律，保证妇女得到充分发展和进步，其目的是为确保她们在与男子平等的基础上，行使和享有人权和基本自由。</w:t>
      </w:r>
      <w:r w:rsidRPr="00BB6462">
        <w:rPr>
          <w:rFonts w:hint="eastAsia"/>
          <w:lang w:val="pt-BR"/>
        </w:rPr>
        <w:t>”</w:t>
      </w:r>
    </w:p>
  </w:footnote>
  <w:footnote w:id="24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rPr>
          <w:lang w:val="en-GB"/>
        </w:rPr>
        <w:tab/>
      </w:r>
      <w:r w:rsidRPr="00BB6462">
        <w:rPr>
          <w:lang w:val="pt-BR"/>
        </w:rPr>
        <w:t>《欧洲委员会防止和打击暴力侵害妇女行为和家庭暴力公约》，</w:t>
      </w:r>
      <w:r w:rsidRPr="00BB6462">
        <w:rPr>
          <w:lang w:val="pt-BR"/>
        </w:rPr>
        <w:t>2011</w:t>
      </w:r>
      <w:r w:rsidRPr="00BB6462">
        <w:rPr>
          <w:lang w:val="pt-BR"/>
        </w:rPr>
        <w:t>年</w:t>
      </w:r>
      <w:r w:rsidRPr="00BB6462">
        <w:rPr>
          <w:lang w:val="pt-BR"/>
        </w:rPr>
        <w:t>11</w:t>
      </w:r>
      <w:r w:rsidRPr="00BB6462">
        <w:rPr>
          <w:lang w:val="pt-BR"/>
        </w:rPr>
        <w:t>月</w:t>
      </w:r>
      <w:r w:rsidRPr="00BB6462">
        <w:rPr>
          <w:lang w:val="pt-BR"/>
        </w:rPr>
        <w:t>5</w:t>
      </w:r>
      <w:r w:rsidRPr="00BB6462">
        <w:rPr>
          <w:lang w:val="pt-BR"/>
        </w:rPr>
        <w:t>日订于伊斯坦布尔，欧洲委员会，《条约汇编》，第</w:t>
      </w:r>
      <w:r w:rsidRPr="00BB6462">
        <w:rPr>
          <w:lang w:val="pt-BR"/>
        </w:rPr>
        <w:t>210</w:t>
      </w:r>
      <w:r w:rsidRPr="00BB6462">
        <w:rPr>
          <w:lang w:val="pt-BR"/>
        </w:rPr>
        <w:t>号。第</w:t>
      </w:r>
      <w:r w:rsidRPr="00BB6462">
        <w:rPr>
          <w:lang w:val="pt-BR"/>
        </w:rPr>
        <w:t>4</w:t>
      </w:r>
      <w:r w:rsidRPr="00BB6462">
        <w:rPr>
          <w:lang w:val="pt-BR"/>
        </w:rPr>
        <w:t>条第</w:t>
      </w:r>
      <w:r w:rsidRPr="00BB6462">
        <w:rPr>
          <w:lang w:val="pt-BR"/>
        </w:rPr>
        <w:t>(2)</w:t>
      </w:r>
      <w:r w:rsidRPr="00BB6462">
        <w:rPr>
          <w:lang w:val="pt-BR"/>
        </w:rPr>
        <w:t>款规定：</w:t>
      </w:r>
      <w:r w:rsidRPr="00BB6462">
        <w:rPr>
          <w:rFonts w:hint="eastAsia"/>
          <w:lang w:val="pt-BR"/>
        </w:rPr>
        <w:t>“</w:t>
      </w:r>
      <w:r w:rsidRPr="00BB6462">
        <w:rPr>
          <w:lang w:val="pt-BR"/>
        </w:rPr>
        <w:t>缔约国谴责对妇女一切形式的歧视，立即采取必要的立法和其他措施来防止歧视，尤其是：在国家宪法和其他适当立法中纳入男女平等原则，并确保该原则在实践中得以实现；禁止歧视妇女，包括适时采用制裁措施等方式；废除歧视妇女的法律和做法。</w:t>
      </w:r>
      <w:r w:rsidRPr="00BB6462">
        <w:rPr>
          <w:rFonts w:hint="eastAsia"/>
          <w:lang w:val="pt-BR"/>
        </w:rPr>
        <w:t>”</w:t>
      </w:r>
    </w:p>
  </w:footnote>
  <w:footnote w:id="24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《公民权利和政治权利国际公约》，</w:t>
      </w:r>
      <w:r w:rsidRPr="00BB6462">
        <w:rPr>
          <w:lang w:val="pt-BR"/>
        </w:rPr>
        <w:t>1966</w:t>
      </w:r>
      <w:r w:rsidRPr="00BB6462">
        <w:rPr>
          <w:lang w:val="pt-BR"/>
        </w:rPr>
        <w:t>年</w:t>
      </w:r>
      <w:r w:rsidRPr="00BB6462">
        <w:rPr>
          <w:lang w:val="pt-BR"/>
        </w:rPr>
        <w:t>12</w:t>
      </w:r>
      <w:r w:rsidRPr="00BB6462">
        <w:rPr>
          <w:lang w:val="pt-BR"/>
        </w:rPr>
        <w:t>月</w:t>
      </w:r>
      <w:r w:rsidRPr="00BB6462">
        <w:rPr>
          <w:lang w:val="pt-BR"/>
        </w:rPr>
        <w:t>16</w:t>
      </w:r>
      <w:r w:rsidRPr="00BB6462">
        <w:rPr>
          <w:lang w:val="pt-BR"/>
        </w:rPr>
        <w:t>日订于纽约，联合国，《条约汇编》，第</w:t>
      </w:r>
      <w:r w:rsidRPr="00BB6462">
        <w:rPr>
          <w:lang w:val="pt-BR"/>
        </w:rPr>
        <w:t>999</w:t>
      </w:r>
      <w:r w:rsidRPr="00BB6462">
        <w:rPr>
          <w:lang w:val="pt-BR"/>
        </w:rPr>
        <w:t>卷，第</w:t>
      </w:r>
      <w:r w:rsidRPr="00BB6462">
        <w:rPr>
          <w:lang w:val="pt-BR"/>
        </w:rPr>
        <w:t>171</w:t>
      </w:r>
      <w:r w:rsidRPr="00BB6462">
        <w:rPr>
          <w:lang w:val="pt-BR"/>
        </w:rPr>
        <w:t>页。第二条第</w:t>
      </w:r>
      <w:r w:rsidRPr="00BB6462">
        <w:rPr>
          <w:lang w:val="pt-BR"/>
        </w:rPr>
        <w:t>(</w:t>
      </w:r>
      <w:r w:rsidRPr="00BB6462">
        <w:rPr>
          <w:lang w:val="pt-BR"/>
        </w:rPr>
        <w:t>二</w:t>
      </w:r>
      <w:r w:rsidRPr="00BB6462">
        <w:rPr>
          <w:lang w:val="pt-BR"/>
        </w:rPr>
        <w:t>)</w:t>
      </w:r>
      <w:r w:rsidRPr="00BB6462">
        <w:rPr>
          <w:lang w:val="pt-BR"/>
        </w:rPr>
        <w:t>款规定：</w:t>
      </w:r>
      <w:r w:rsidRPr="00BB6462">
        <w:rPr>
          <w:rFonts w:hint="eastAsia"/>
          <w:lang w:val="pt-BR"/>
        </w:rPr>
        <w:t>“</w:t>
      </w:r>
      <w:r w:rsidRPr="00BB6462">
        <w:rPr>
          <w:lang w:val="pt-BR"/>
        </w:rPr>
        <w:t>凡未经现行立法或其他措施予以规定者，本公约每一缔约国承担按照其宪法程序和本公约的规定采取必要的步骤，以采纳为实施本公约所承认的权利所需的立法或其他措施。</w:t>
      </w:r>
      <w:r w:rsidRPr="00BB6462">
        <w:rPr>
          <w:rFonts w:hint="eastAsia"/>
          <w:lang w:val="pt-BR"/>
        </w:rPr>
        <w:t>”</w:t>
      </w:r>
    </w:p>
  </w:footnote>
  <w:footnote w:id="24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《儿童权利公约》，</w:t>
      </w:r>
      <w:r w:rsidRPr="00BB6462">
        <w:rPr>
          <w:lang w:val="pt-BR"/>
        </w:rPr>
        <w:t>1989</w:t>
      </w:r>
      <w:r w:rsidRPr="00BB6462">
        <w:rPr>
          <w:lang w:val="pt-BR"/>
        </w:rPr>
        <w:t>年</w:t>
      </w:r>
      <w:r w:rsidRPr="00BB6462">
        <w:rPr>
          <w:lang w:val="pt-BR"/>
        </w:rPr>
        <w:t>11</w:t>
      </w:r>
      <w:r w:rsidRPr="00BB6462">
        <w:rPr>
          <w:lang w:val="pt-BR"/>
        </w:rPr>
        <w:t>月</w:t>
      </w:r>
      <w:r w:rsidRPr="00BB6462">
        <w:rPr>
          <w:lang w:val="pt-BR"/>
        </w:rPr>
        <w:t>20</w:t>
      </w:r>
      <w:r w:rsidRPr="00BB6462">
        <w:rPr>
          <w:lang w:val="pt-BR"/>
        </w:rPr>
        <w:t>日订于纽约，联合国，《条约汇编》，第</w:t>
      </w:r>
      <w:r w:rsidRPr="00BB6462">
        <w:rPr>
          <w:lang w:val="pt-BR"/>
        </w:rPr>
        <w:t>1577</w:t>
      </w:r>
      <w:r w:rsidRPr="00BB6462">
        <w:rPr>
          <w:lang w:val="pt-BR"/>
        </w:rPr>
        <w:t>卷，第</w:t>
      </w:r>
      <w:r w:rsidRPr="00BB6462">
        <w:rPr>
          <w:lang w:val="pt-BR"/>
        </w:rPr>
        <w:t>3</w:t>
      </w:r>
      <w:r w:rsidRPr="00BB6462">
        <w:rPr>
          <w:lang w:val="pt-BR"/>
        </w:rPr>
        <w:t>页。第</w:t>
      </w:r>
      <w:r w:rsidRPr="00BB6462">
        <w:rPr>
          <w:lang w:val="pt-BR"/>
        </w:rPr>
        <w:t>4</w:t>
      </w:r>
      <w:r w:rsidRPr="00BB6462">
        <w:rPr>
          <w:lang w:val="pt-BR"/>
        </w:rPr>
        <w:t>条规定：</w:t>
      </w:r>
      <w:r w:rsidRPr="00BB6462">
        <w:rPr>
          <w:rFonts w:hint="eastAsia"/>
          <w:lang w:val="pt-BR"/>
        </w:rPr>
        <w:t>“</w:t>
      </w:r>
      <w:r w:rsidRPr="00BB6462">
        <w:rPr>
          <w:lang w:val="pt-BR"/>
        </w:rPr>
        <w:t>缔约国应采取一切适当的立法、行政和其他措施以实现本公约所确认的权利。</w:t>
      </w:r>
      <w:r w:rsidRPr="00BB6462">
        <w:rPr>
          <w:rFonts w:hint="eastAsia"/>
          <w:lang w:val="pt-BR"/>
        </w:rPr>
        <w:t>”</w:t>
      </w:r>
    </w:p>
  </w:footnote>
  <w:footnote w:id="24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rFonts w:eastAsia="楷体"/>
        </w:rPr>
        <w:tab/>
      </w:r>
      <w:r w:rsidRPr="00736AA5">
        <w:rPr>
          <w:rStyle w:val="a3"/>
          <w:szCs w:val="21"/>
        </w:rPr>
        <w:footnoteRef/>
      </w:r>
      <w:r w:rsidRPr="00BB6462">
        <w:rPr>
          <w:lang w:val="en-GB"/>
        </w:rPr>
        <w:tab/>
      </w:r>
      <w:r w:rsidRPr="00BB6462">
        <w:rPr>
          <w:lang w:val="pt-BR"/>
        </w:rPr>
        <w:t>《防止及惩治灭绝种族罪公约》的适用</w:t>
      </w:r>
      <w:r w:rsidRPr="00BB6462">
        <w:rPr>
          <w:lang w:val="pt-BR"/>
        </w:rPr>
        <w:t>(</w:t>
      </w:r>
      <w:r w:rsidRPr="00EB5B5E">
        <w:rPr>
          <w:rFonts w:ascii="楷体" w:eastAsia="楷体" w:hAnsi="楷体"/>
          <w:lang w:val="pt-BR"/>
        </w:rPr>
        <w:t>波斯尼亚和黑塞哥维那诉塞尔维亚和黑山</w:t>
      </w:r>
      <w:r w:rsidRPr="00BB6462">
        <w:rPr>
          <w:lang w:val="pt-BR"/>
        </w:rPr>
        <w:t>)</w:t>
      </w:r>
      <w:r w:rsidRPr="00BB6462">
        <w:rPr>
          <w:lang w:val="pt-BR"/>
        </w:rPr>
        <w:t>，</w:t>
      </w:r>
      <w:r>
        <w:rPr>
          <w:rFonts w:hint="eastAsia"/>
          <w:lang w:val="pt-BR"/>
        </w:rPr>
        <w:t>判决，</w:t>
      </w:r>
      <w:r w:rsidRPr="00BB6462">
        <w:rPr>
          <w:lang w:val="pt-BR"/>
        </w:rPr>
        <w:t>《</w:t>
      </w:r>
      <w:r w:rsidRPr="00BB6462">
        <w:rPr>
          <w:lang w:val="pt-BR"/>
        </w:rPr>
        <w:t>2007</w:t>
      </w:r>
      <w:r w:rsidRPr="00BB6462">
        <w:rPr>
          <w:lang w:val="pt-BR"/>
        </w:rPr>
        <w:t>年国际法院案例汇编》，第</w:t>
      </w:r>
      <w:r w:rsidRPr="00BB6462">
        <w:rPr>
          <w:lang w:val="pt-BR"/>
        </w:rPr>
        <w:t>219</w:t>
      </w:r>
      <w:r w:rsidRPr="00BB6462">
        <w:rPr>
          <w:lang w:val="pt-BR"/>
        </w:rPr>
        <w:t>页第</w:t>
      </w:r>
      <w:r w:rsidRPr="00BB6462">
        <w:rPr>
          <w:lang w:val="pt-BR"/>
        </w:rPr>
        <w:t>426</w:t>
      </w:r>
      <w:r w:rsidRPr="00BB6462">
        <w:rPr>
          <w:lang w:val="pt-BR"/>
        </w:rPr>
        <w:t>段</w:t>
      </w:r>
      <w:r w:rsidRPr="00BB6462">
        <w:rPr>
          <w:lang w:val="pt-BR"/>
        </w:rPr>
        <w:t>(</w:t>
      </w:r>
      <w:r w:rsidRPr="00BB6462">
        <w:rPr>
          <w:lang w:val="pt-BR"/>
        </w:rPr>
        <w:t>下称</w:t>
      </w:r>
      <w:r w:rsidRPr="00BB6462">
        <w:rPr>
          <w:rFonts w:hint="eastAsia"/>
          <w:lang w:val="pt-BR"/>
        </w:rPr>
        <w:t>“</w:t>
      </w:r>
      <w:r w:rsidRPr="008940CB">
        <w:rPr>
          <w:rFonts w:ascii="楷体_GB2312" w:eastAsia="楷体_GB2312"/>
          <w:lang w:val="pt-BR"/>
        </w:rPr>
        <w:t>波黑诉塞黑</w:t>
      </w:r>
      <w:r w:rsidRPr="00BB6462">
        <w:rPr>
          <w:rFonts w:hint="eastAsia"/>
          <w:lang w:val="pt-BR"/>
        </w:rPr>
        <w:t>”</w:t>
      </w:r>
      <w:r w:rsidRPr="00BB6462">
        <w:rPr>
          <w:lang w:val="pt-BR"/>
        </w:rPr>
        <w:t>)</w:t>
      </w:r>
      <w:r w:rsidRPr="00BB6462">
        <w:rPr>
          <w:lang w:val="pt-BR"/>
        </w:rPr>
        <w:t>。</w:t>
      </w:r>
    </w:p>
  </w:footnote>
  <w:footnote w:id="25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同上，第</w:t>
      </w:r>
      <w:r w:rsidRPr="00BB6462">
        <w:rPr>
          <w:lang w:val="pt-BR"/>
        </w:rPr>
        <w:t>425</w:t>
      </w:r>
      <w:r w:rsidRPr="00BB6462">
        <w:rPr>
          <w:lang w:val="pt-BR"/>
        </w:rPr>
        <w:t>段。</w:t>
      </w:r>
    </w:p>
  </w:footnote>
  <w:footnote w:id="25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rPr>
          <w:lang w:val="en-GB"/>
        </w:rPr>
        <w:tab/>
      </w:r>
      <w:r w:rsidRPr="00BB6462">
        <w:rPr>
          <w:lang w:val="pt-BR"/>
        </w:rPr>
        <w:t>同上，第</w:t>
      </w:r>
      <w:r w:rsidRPr="00BB6462">
        <w:rPr>
          <w:lang w:val="pt-BR"/>
        </w:rPr>
        <w:t>220</w:t>
      </w:r>
      <w:r w:rsidRPr="00BB6462">
        <w:rPr>
          <w:lang w:val="pt-BR"/>
        </w:rPr>
        <w:t>页第</w:t>
      </w:r>
      <w:r w:rsidRPr="00BB6462">
        <w:rPr>
          <w:lang w:val="pt-BR"/>
        </w:rPr>
        <w:t>427</w:t>
      </w:r>
      <w:r w:rsidRPr="00BB6462">
        <w:rPr>
          <w:lang w:val="pt-BR"/>
        </w:rPr>
        <w:t>段。</w:t>
      </w:r>
    </w:p>
  </w:footnote>
  <w:footnote w:id="25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szCs w:val="21"/>
        </w:rPr>
        <w:footnoteRef/>
      </w:r>
      <w:r w:rsidRPr="00BB6462">
        <w:rPr>
          <w:lang w:val="en-GB"/>
        </w:rPr>
        <w:tab/>
      </w:r>
      <w:r w:rsidRPr="00BB6462">
        <w:rPr>
          <w:lang w:val="pt-BR"/>
        </w:rPr>
        <w:t>《防止及惩治灭绝种族罪公约》的适用</w:t>
      </w:r>
      <w:r w:rsidRPr="00BB6462">
        <w:rPr>
          <w:lang w:val="pt-BR"/>
        </w:rPr>
        <w:t>(</w:t>
      </w:r>
      <w:r w:rsidRPr="00EB5B5E">
        <w:rPr>
          <w:rFonts w:ascii="楷体" w:eastAsia="楷体" w:hAnsi="楷体"/>
          <w:lang w:val="pt-BR"/>
        </w:rPr>
        <w:t>波黑诉塞黑</w:t>
      </w:r>
      <w:r w:rsidRPr="00BB6462">
        <w:rPr>
          <w:lang w:val="pt-BR"/>
        </w:rPr>
        <w:t>)</w:t>
      </w:r>
      <w:r w:rsidRPr="00BB6462">
        <w:rPr>
          <w:lang w:val="pt-BR"/>
        </w:rPr>
        <w:t>，临时措施令，《</w:t>
      </w:r>
      <w:r w:rsidRPr="00BB6462">
        <w:rPr>
          <w:lang w:val="pt-BR"/>
        </w:rPr>
        <w:t>1993</w:t>
      </w:r>
      <w:r w:rsidRPr="00BB6462">
        <w:rPr>
          <w:lang w:val="pt-BR"/>
        </w:rPr>
        <w:t>年国际法院案例汇编》，第</w:t>
      </w:r>
      <w:r w:rsidRPr="00BB6462">
        <w:rPr>
          <w:lang w:val="pt-BR"/>
        </w:rPr>
        <w:t>22</w:t>
      </w:r>
      <w:r w:rsidRPr="00BB6462">
        <w:rPr>
          <w:lang w:val="pt-BR"/>
        </w:rPr>
        <w:t>页第</w:t>
      </w:r>
      <w:r w:rsidRPr="00BB6462">
        <w:rPr>
          <w:lang w:val="pt-BR"/>
        </w:rPr>
        <w:t>45</w:t>
      </w:r>
      <w:r w:rsidRPr="00BB6462">
        <w:rPr>
          <w:lang w:val="pt-BR"/>
        </w:rPr>
        <w:t>段。</w:t>
      </w:r>
    </w:p>
  </w:footnote>
  <w:footnote w:id="25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rFonts w:eastAsia="楷体"/>
        </w:rPr>
        <w:tab/>
      </w:r>
      <w:r w:rsidRPr="00736AA5">
        <w:rPr>
          <w:rStyle w:val="a3"/>
          <w:szCs w:val="21"/>
        </w:rPr>
        <w:footnoteRef/>
      </w:r>
      <w:r w:rsidRPr="00BB6462">
        <w:rPr>
          <w:rFonts w:eastAsia="楷体"/>
        </w:rPr>
        <w:tab/>
      </w:r>
      <w:r w:rsidRPr="008940CB">
        <w:rPr>
          <w:rFonts w:ascii="楷体_GB2312" w:eastAsia="楷体_GB2312"/>
          <w:lang w:val="pt-BR"/>
        </w:rPr>
        <w:t>波黑诉塞黑</w:t>
      </w:r>
      <w:r w:rsidRPr="00BB6462">
        <w:rPr>
          <w:lang w:val="pt-BR"/>
        </w:rPr>
        <w:t>，前注</w:t>
      </w:r>
      <w:r w:rsidRPr="00BB6462">
        <w:rPr>
          <w:rFonts w:hint="eastAsia"/>
          <w:lang w:val="pt-BR"/>
        </w:rPr>
        <w:t>24</w:t>
      </w:r>
      <w:r>
        <w:rPr>
          <w:rFonts w:hint="eastAsia"/>
          <w:lang w:val="pt-BR"/>
        </w:rPr>
        <w:t xml:space="preserve">9, </w:t>
      </w:r>
      <w:r w:rsidRPr="00BB6462">
        <w:rPr>
          <w:lang w:val="pt-BR"/>
        </w:rPr>
        <w:t>第</w:t>
      </w:r>
      <w:r w:rsidRPr="00BB6462">
        <w:rPr>
          <w:lang w:val="pt-BR"/>
        </w:rPr>
        <w:t>111</w:t>
      </w:r>
      <w:r w:rsidRPr="00BB6462">
        <w:rPr>
          <w:lang w:val="pt-BR"/>
        </w:rPr>
        <w:t>页第</w:t>
      </w:r>
      <w:r w:rsidRPr="00BB6462">
        <w:rPr>
          <w:lang w:val="pt-BR"/>
        </w:rPr>
        <w:t>162</w:t>
      </w:r>
      <w:r w:rsidRPr="00BB6462">
        <w:rPr>
          <w:lang w:val="pt-BR"/>
        </w:rPr>
        <w:t>段。</w:t>
      </w:r>
    </w:p>
  </w:footnote>
  <w:footnote w:id="25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221</w:t>
      </w:r>
      <w:r w:rsidRPr="00BB6462">
        <w:rPr>
          <w:lang w:val="pt-BR"/>
        </w:rPr>
        <w:t>页第</w:t>
      </w:r>
      <w:r w:rsidRPr="00BB6462">
        <w:rPr>
          <w:lang w:val="pt-BR"/>
        </w:rPr>
        <w:t>430</w:t>
      </w:r>
      <w:r w:rsidRPr="00BB6462">
        <w:rPr>
          <w:lang w:val="pt-BR"/>
        </w:rPr>
        <w:t>段。</w:t>
      </w:r>
    </w:p>
  </w:footnote>
  <w:footnote w:id="25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113</w:t>
      </w:r>
      <w:r w:rsidRPr="00BB6462">
        <w:rPr>
          <w:lang w:val="pt-BR"/>
        </w:rPr>
        <w:t>页第</w:t>
      </w:r>
      <w:r w:rsidRPr="00BB6462">
        <w:rPr>
          <w:lang w:val="pt-BR"/>
        </w:rPr>
        <w:t>166</w:t>
      </w:r>
      <w:r w:rsidRPr="00BB6462">
        <w:rPr>
          <w:lang w:val="pt-BR"/>
        </w:rPr>
        <w:t>段。</w:t>
      </w:r>
    </w:p>
  </w:footnote>
  <w:footnote w:id="25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en-GB"/>
        </w:rPr>
      </w:pPr>
      <w:r w:rsidRPr="00BB6462">
        <w:rPr>
          <w:lang w:val="en-GB"/>
        </w:rPr>
        <w:tab/>
      </w:r>
      <w:r w:rsidRPr="00736AA5">
        <w:rPr>
          <w:rStyle w:val="a3"/>
          <w:szCs w:val="21"/>
        </w:rPr>
        <w:footnoteRef/>
      </w:r>
      <w:r w:rsidRPr="00BB6462">
        <w:rPr>
          <w:lang w:val="en-GB"/>
        </w:rPr>
        <w:tab/>
      </w:r>
      <w:r w:rsidRPr="00BB6462">
        <w:rPr>
          <w:lang w:val="pt-BR"/>
        </w:rPr>
        <w:t>同上，第</w:t>
      </w:r>
      <w:r w:rsidRPr="00BB6462">
        <w:rPr>
          <w:lang w:val="pt-BR"/>
        </w:rPr>
        <w:t>113</w:t>
      </w:r>
      <w:r w:rsidRPr="00BB6462">
        <w:rPr>
          <w:lang w:val="pt-BR"/>
        </w:rPr>
        <w:t>页第</w:t>
      </w:r>
      <w:r w:rsidRPr="00BB6462">
        <w:rPr>
          <w:lang w:val="pt-BR"/>
        </w:rPr>
        <w:t>166</w:t>
      </w:r>
      <w:r w:rsidRPr="00BB6462">
        <w:rPr>
          <w:lang w:val="pt-BR"/>
        </w:rPr>
        <w:t>段。</w:t>
      </w:r>
    </w:p>
  </w:footnote>
  <w:footnote w:id="25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120</w:t>
      </w:r>
      <w:r w:rsidRPr="00BB6462">
        <w:rPr>
          <w:lang w:val="pt-BR"/>
        </w:rPr>
        <w:t>页第</w:t>
      </w:r>
      <w:r w:rsidRPr="00BB6462">
        <w:rPr>
          <w:lang w:val="pt-BR"/>
        </w:rPr>
        <w:t>183</w:t>
      </w:r>
      <w:r w:rsidRPr="00BB6462">
        <w:rPr>
          <w:lang w:val="pt-BR"/>
        </w:rPr>
        <w:t>段。</w:t>
      </w:r>
    </w:p>
  </w:footnote>
  <w:footnote w:id="25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114</w:t>
      </w:r>
      <w:r w:rsidRPr="00BB6462">
        <w:rPr>
          <w:lang w:val="pt-BR"/>
        </w:rPr>
        <w:t>页第</w:t>
      </w:r>
      <w:r w:rsidRPr="00BB6462">
        <w:rPr>
          <w:lang w:val="pt-BR"/>
        </w:rPr>
        <w:t>167</w:t>
      </w:r>
      <w:r w:rsidRPr="00BB6462">
        <w:rPr>
          <w:lang w:val="pt-BR"/>
        </w:rPr>
        <w:t>段</w:t>
      </w:r>
      <w:r w:rsidRPr="00BB6462">
        <w:rPr>
          <w:lang w:val="pt-BR"/>
        </w:rPr>
        <w:t>(</w:t>
      </w:r>
      <w:r w:rsidRPr="00BB6462">
        <w:rPr>
          <w:lang w:val="pt-BR"/>
        </w:rPr>
        <w:t>国际责任</w:t>
      </w:r>
      <w:r w:rsidRPr="00BB6462">
        <w:rPr>
          <w:rFonts w:hint="eastAsia"/>
          <w:lang w:val="pt-BR"/>
        </w:rPr>
        <w:t>“</w:t>
      </w:r>
      <w:r w:rsidRPr="00BB6462">
        <w:rPr>
          <w:lang w:val="pt-BR"/>
        </w:rPr>
        <w:t>与刑事责任截然不同</w:t>
      </w:r>
      <w:r w:rsidRPr="00BB6462">
        <w:rPr>
          <w:rFonts w:hint="eastAsia"/>
          <w:lang w:val="pt-BR"/>
        </w:rPr>
        <w:t>”</w:t>
      </w:r>
      <w:r w:rsidRPr="00BB6462">
        <w:rPr>
          <w:lang w:val="pt-BR"/>
        </w:rPr>
        <w:t>的结论</w:t>
      </w:r>
      <w:r w:rsidRPr="00BB6462">
        <w:rPr>
          <w:lang w:val="pt-BR"/>
        </w:rPr>
        <w:t>)</w:t>
      </w:r>
      <w:r w:rsidRPr="00BB6462">
        <w:rPr>
          <w:lang w:val="pt-BR"/>
        </w:rPr>
        <w:t>。</w:t>
      </w:r>
    </w:p>
  </w:footnote>
  <w:footnote w:id="25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iCs/>
          <w:szCs w:val="21"/>
        </w:rPr>
        <w:footnoteRef/>
      </w:r>
      <w:r w:rsidRPr="00BB6462">
        <w:tab/>
      </w:r>
      <w:r w:rsidRPr="00BB6462">
        <w:rPr>
          <w:lang w:val="pt-BR"/>
        </w:rPr>
        <w:t>《</w:t>
      </w:r>
      <w:r w:rsidRPr="00BB6462">
        <w:rPr>
          <w:lang w:val="pt-BR"/>
        </w:rPr>
        <w:t>1998</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65</w:t>
      </w:r>
      <w:r w:rsidRPr="00BB6462">
        <w:rPr>
          <w:lang w:val="pt-BR"/>
        </w:rPr>
        <w:t>页第</w:t>
      </w:r>
      <w:r w:rsidRPr="00BB6462">
        <w:rPr>
          <w:lang w:val="pt-BR"/>
        </w:rPr>
        <w:t>248</w:t>
      </w:r>
      <w:r w:rsidRPr="00BB6462">
        <w:rPr>
          <w:lang w:val="pt-BR"/>
        </w:rPr>
        <w:t>段</w:t>
      </w:r>
      <w:r w:rsidRPr="00BB6462">
        <w:rPr>
          <w:lang w:val="pt-BR"/>
        </w:rPr>
        <w:t>(</w:t>
      </w:r>
      <w:r w:rsidRPr="00BB6462">
        <w:rPr>
          <w:lang w:val="pt-BR"/>
        </w:rPr>
        <w:t>结论是：《灭绝种族罪公约》</w:t>
      </w:r>
      <w:r w:rsidRPr="00BB6462">
        <w:rPr>
          <w:rFonts w:hint="eastAsia"/>
          <w:lang w:val="pt-BR"/>
        </w:rPr>
        <w:t>“</w:t>
      </w:r>
      <w:r w:rsidRPr="00BB6462">
        <w:rPr>
          <w:lang w:val="pt-BR"/>
        </w:rPr>
        <w:t>没有在关于国家责任的第九条中设想国家罪行或国家刑事责任的问题</w:t>
      </w:r>
      <w:r w:rsidRPr="00BB6462">
        <w:rPr>
          <w:rFonts w:hint="eastAsia"/>
          <w:lang w:val="pt-BR"/>
        </w:rPr>
        <w:t>”</w:t>
      </w:r>
      <w:r w:rsidRPr="00BB6462">
        <w:rPr>
          <w:lang w:val="pt-BR"/>
        </w:rPr>
        <w:t>)</w:t>
      </w:r>
      <w:r w:rsidRPr="00BB6462">
        <w:rPr>
          <w:lang w:val="pt-BR"/>
        </w:rPr>
        <w:t>。</w:t>
      </w:r>
    </w:p>
  </w:footnote>
  <w:footnote w:id="26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w:t>
      </w:r>
      <w:r w:rsidRPr="00BB6462">
        <w:rPr>
          <w:lang w:val="pt-BR"/>
        </w:rPr>
        <w:t>2001</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142</w:t>
      </w:r>
      <w:r w:rsidRPr="00BB6462">
        <w:rPr>
          <w:lang w:val="pt-BR"/>
        </w:rPr>
        <w:t>页</w:t>
      </w:r>
      <w:r w:rsidRPr="00BB6462">
        <w:rPr>
          <w:lang w:val="pt-BR"/>
        </w:rPr>
        <w:t>(</w:t>
      </w:r>
      <w:r w:rsidRPr="00BB6462">
        <w:rPr>
          <w:lang w:val="pt-BR"/>
        </w:rPr>
        <w:t>对第</w:t>
      </w:r>
      <w:r w:rsidRPr="00BB6462">
        <w:rPr>
          <w:lang w:val="pt-BR"/>
        </w:rPr>
        <w:t>58</w:t>
      </w:r>
      <w:r w:rsidRPr="00BB6462">
        <w:rPr>
          <w:lang w:val="pt-BR"/>
        </w:rPr>
        <w:t>条的评注第</w:t>
      </w:r>
      <w:r w:rsidRPr="00BB6462">
        <w:rPr>
          <w:lang w:val="pt-BR"/>
        </w:rPr>
        <w:t>3</w:t>
      </w:r>
      <w:r w:rsidRPr="00BB6462">
        <w:rPr>
          <w:lang w:val="pt-BR"/>
        </w:rPr>
        <w:t>段</w:t>
      </w:r>
      <w:r w:rsidRPr="00BB6462">
        <w:rPr>
          <w:lang w:val="pt-BR"/>
        </w:rPr>
        <w:t>)</w:t>
      </w:r>
      <w:r w:rsidRPr="00BB6462">
        <w:rPr>
          <w:lang w:val="pt-BR"/>
        </w:rPr>
        <w:t>。</w:t>
      </w:r>
    </w:p>
  </w:footnote>
  <w:footnote w:id="26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rPr>
          <w:rFonts w:eastAsia="楷体"/>
        </w:rPr>
        <w:tab/>
      </w:r>
      <w:r w:rsidRPr="00736AA5">
        <w:rPr>
          <w:rStyle w:val="a3"/>
          <w:szCs w:val="21"/>
        </w:rPr>
        <w:footnoteRef/>
      </w:r>
      <w:r w:rsidRPr="00BB6462">
        <w:rPr>
          <w:rFonts w:eastAsia="楷体"/>
        </w:rPr>
        <w:tab/>
      </w:r>
      <w:r w:rsidRPr="008940CB">
        <w:rPr>
          <w:rFonts w:ascii="楷体_GB2312" w:eastAsia="楷体_GB2312"/>
          <w:lang w:val="pt-BR"/>
        </w:rPr>
        <w:t>波黑诉塞黑</w:t>
      </w:r>
      <w:r w:rsidRPr="00BB6462">
        <w:rPr>
          <w:lang w:val="pt-BR"/>
        </w:rPr>
        <w:t>，前注</w:t>
      </w:r>
      <w:r w:rsidRPr="00BB6462">
        <w:rPr>
          <w:rFonts w:hint="eastAsia"/>
          <w:lang w:val="pt-BR"/>
        </w:rPr>
        <w:t>24</w:t>
      </w:r>
      <w:r>
        <w:rPr>
          <w:rFonts w:hint="eastAsia"/>
          <w:lang w:val="pt-BR"/>
        </w:rPr>
        <w:t xml:space="preserve">9, </w:t>
      </w:r>
      <w:r w:rsidRPr="00BB6462">
        <w:rPr>
          <w:lang w:val="pt-BR"/>
        </w:rPr>
        <w:t>第</w:t>
      </w:r>
      <w:r w:rsidRPr="00BB6462">
        <w:rPr>
          <w:lang w:val="pt-BR"/>
        </w:rPr>
        <w:t>113</w:t>
      </w:r>
      <w:r w:rsidRPr="00BB6462">
        <w:rPr>
          <w:lang w:val="pt-BR"/>
        </w:rPr>
        <w:t>页第</w:t>
      </w:r>
      <w:r w:rsidRPr="00BB6462">
        <w:rPr>
          <w:lang w:val="pt-BR"/>
        </w:rPr>
        <w:t>166</w:t>
      </w:r>
      <w:r w:rsidRPr="00BB6462">
        <w:rPr>
          <w:lang w:val="pt-BR"/>
        </w:rPr>
        <w:t>段。</w:t>
      </w:r>
    </w:p>
  </w:footnote>
  <w:footnote w:id="26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221</w:t>
      </w:r>
      <w:r w:rsidRPr="00BB6462">
        <w:rPr>
          <w:lang w:val="pt-BR"/>
        </w:rPr>
        <w:t>页第</w:t>
      </w:r>
      <w:r w:rsidRPr="00BB6462">
        <w:rPr>
          <w:lang w:val="pt-BR"/>
        </w:rPr>
        <w:t>430</w:t>
      </w:r>
      <w:r w:rsidRPr="00BB6462">
        <w:rPr>
          <w:lang w:val="pt-BR"/>
        </w:rPr>
        <w:t>段。</w:t>
      </w:r>
    </w:p>
  </w:footnote>
  <w:footnote w:id="26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rPr>
          <w:lang w:val="en-GB"/>
        </w:rPr>
        <w:tab/>
      </w:r>
      <w:r w:rsidRPr="00736AA5">
        <w:rPr>
          <w:rStyle w:val="a3"/>
          <w:szCs w:val="21"/>
        </w:rPr>
        <w:footnoteRef/>
      </w:r>
      <w:r w:rsidRPr="00BB6462">
        <w:rPr>
          <w:lang w:val="en-GB"/>
        </w:rPr>
        <w:tab/>
      </w:r>
      <w:r w:rsidRPr="00BB6462">
        <w:rPr>
          <w:lang w:val="pt-BR"/>
        </w:rPr>
        <w:t>同上。</w:t>
      </w:r>
    </w:p>
  </w:footnote>
  <w:footnote w:id="26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221</w:t>
      </w:r>
      <w:r w:rsidRPr="00BB6462">
        <w:rPr>
          <w:lang w:val="pt-BR"/>
        </w:rPr>
        <w:t>页第</w:t>
      </w:r>
      <w:r w:rsidRPr="00BB6462">
        <w:rPr>
          <w:lang w:val="pt-BR"/>
        </w:rPr>
        <w:t>431</w:t>
      </w:r>
      <w:r w:rsidRPr="00BB6462">
        <w:rPr>
          <w:lang w:val="pt-BR"/>
        </w:rPr>
        <w:t>段；见《</w:t>
      </w:r>
      <w:r w:rsidRPr="00BB6462">
        <w:rPr>
          <w:lang w:val="pt-BR"/>
        </w:rPr>
        <w:t>2001</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27</w:t>
      </w:r>
      <w:r w:rsidRPr="00BB6462">
        <w:rPr>
          <w:lang w:val="pt-BR"/>
        </w:rPr>
        <w:t>页</w:t>
      </w:r>
      <w:r w:rsidRPr="00BB6462">
        <w:rPr>
          <w:lang w:val="pt-BR"/>
        </w:rPr>
        <w:t>(</w:t>
      </w:r>
      <w:r w:rsidRPr="00BB6462">
        <w:rPr>
          <w:lang w:val="pt-BR"/>
        </w:rPr>
        <w:t>《关于国家对国际不法行为的责任的条款草案》，第</w:t>
      </w:r>
      <w:r w:rsidRPr="00BB6462">
        <w:rPr>
          <w:lang w:val="pt-BR"/>
        </w:rPr>
        <w:t>1</w:t>
      </w:r>
      <w:r>
        <w:rPr>
          <w:rFonts w:hint="eastAsia"/>
          <w:lang w:val="pt-BR"/>
        </w:rPr>
        <w:t>3</w:t>
      </w:r>
      <w:r w:rsidRPr="00BB6462">
        <w:rPr>
          <w:lang w:val="pt-BR"/>
        </w:rPr>
        <w:t>条第</w:t>
      </w:r>
      <w:r w:rsidRPr="00BB6462">
        <w:rPr>
          <w:lang w:val="pt-BR"/>
        </w:rPr>
        <w:t>(3)</w:t>
      </w:r>
      <w:r w:rsidRPr="00BB6462">
        <w:rPr>
          <w:lang w:val="pt-BR"/>
        </w:rPr>
        <w:t>款：</w:t>
      </w:r>
      <w:r w:rsidRPr="00BB6462">
        <w:rPr>
          <w:rFonts w:hint="eastAsia"/>
          <w:lang w:val="pt-BR"/>
        </w:rPr>
        <w:t>“</w:t>
      </w:r>
      <w:r w:rsidRPr="00BB6462">
        <w:rPr>
          <w:lang w:val="pt-BR"/>
        </w:rPr>
        <w:t>违反国家须防止某一特定事件的国际义务产生于该事件发生之</w:t>
      </w:r>
      <w:r w:rsidRPr="00BB6462">
        <w:rPr>
          <w:rFonts w:hint="eastAsia"/>
          <w:lang w:val="pt-BR"/>
        </w:rPr>
        <w:t>时……”</w:t>
      </w:r>
      <w:r w:rsidRPr="00BB6462">
        <w:rPr>
          <w:lang w:val="pt-BR"/>
        </w:rPr>
        <w:t>。</w:t>
      </w:r>
      <w:r w:rsidRPr="00BB6462">
        <w:rPr>
          <w:lang w:val="pt-BR"/>
        </w:rPr>
        <w:t>)</w:t>
      </w:r>
    </w:p>
  </w:footnote>
  <w:footnote w:id="26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《禁止酷刑公约》，前注</w:t>
      </w:r>
      <w:r>
        <w:rPr>
          <w:rFonts w:hint="eastAsia"/>
          <w:lang w:val="pt-BR"/>
        </w:rPr>
        <w:t xml:space="preserve">226, </w:t>
      </w:r>
      <w:r w:rsidRPr="00BB6462">
        <w:rPr>
          <w:lang w:val="pt-BR"/>
        </w:rPr>
        <w:t>第</w:t>
      </w:r>
      <w:r w:rsidRPr="00BB6462">
        <w:rPr>
          <w:lang w:val="pt-BR"/>
        </w:rPr>
        <w:t>2</w:t>
      </w:r>
      <w:r w:rsidRPr="00BB6462">
        <w:rPr>
          <w:lang w:val="pt-BR"/>
        </w:rPr>
        <w:t>条第</w:t>
      </w:r>
      <w:r w:rsidRPr="00BB6462">
        <w:rPr>
          <w:lang w:val="pt-BR"/>
        </w:rPr>
        <w:t>(1)</w:t>
      </w:r>
      <w:r w:rsidRPr="00BB6462">
        <w:rPr>
          <w:lang w:val="pt-BR"/>
        </w:rPr>
        <w:t>款。</w:t>
      </w:r>
    </w:p>
  </w:footnote>
  <w:footnote w:id="266">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见禁止酷刑委员会，第</w:t>
      </w:r>
      <w:r w:rsidRPr="00BB6462">
        <w:rPr>
          <w:lang w:val="pt-BR"/>
        </w:rPr>
        <w:t>2</w:t>
      </w:r>
      <w:r w:rsidRPr="00BB6462">
        <w:rPr>
          <w:lang w:val="pt-BR"/>
        </w:rPr>
        <w:t>号一般性意见，第</w:t>
      </w:r>
      <w:r w:rsidRPr="00BB6462">
        <w:rPr>
          <w:lang w:val="pt-BR"/>
        </w:rPr>
        <w:t>4</w:t>
      </w:r>
      <w:r w:rsidRPr="00BB6462">
        <w:rPr>
          <w:lang w:val="pt-BR"/>
        </w:rPr>
        <w:t>段</w:t>
      </w:r>
      <w:r w:rsidRPr="00BB6462">
        <w:rPr>
          <w:lang w:val="pt-BR"/>
        </w:rPr>
        <w:t>(CAT/C/GC/2/CRP.1/Rev.4)(2007</w:t>
      </w:r>
      <w:r w:rsidRPr="00BB6462">
        <w:rPr>
          <w:lang w:val="pt-BR"/>
        </w:rPr>
        <w:t>年</w:t>
      </w:r>
      <w:r w:rsidRPr="00BB6462">
        <w:rPr>
          <w:lang w:val="pt-BR"/>
        </w:rPr>
        <w:t>)</w:t>
      </w:r>
      <w:r w:rsidRPr="00BB6462">
        <w:rPr>
          <w:lang w:val="pt-BR"/>
        </w:rPr>
        <w:t>。</w:t>
      </w:r>
    </w:p>
  </w:footnote>
  <w:footnote w:id="267">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文件</w:t>
      </w:r>
      <w:r w:rsidRPr="00BB6462">
        <w:rPr>
          <w:lang w:val="pt-BR"/>
        </w:rPr>
        <w:t>A/HRC/28/L.2</w:t>
      </w:r>
      <w:r>
        <w:rPr>
          <w:lang w:val="pt-BR"/>
        </w:rPr>
        <w:t xml:space="preserve">5, </w:t>
      </w:r>
      <w:r w:rsidRPr="00BB6462">
        <w:rPr>
          <w:lang w:val="pt-BR"/>
        </w:rPr>
        <w:t>(2015</w:t>
      </w:r>
      <w:r w:rsidRPr="00BB6462">
        <w:rPr>
          <w:lang w:val="pt-BR"/>
        </w:rPr>
        <w:t>年</w:t>
      </w:r>
      <w:r w:rsidRPr="00BB6462">
        <w:rPr>
          <w:lang w:val="pt-BR"/>
        </w:rPr>
        <w:t>3</w:t>
      </w:r>
      <w:r w:rsidRPr="00BB6462">
        <w:rPr>
          <w:lang w:val="pt-BR"/>
        </w:rPr>
        <w:t>月</w:t>
      </w:r>
      <w:r w:rsidRPr="00BB6462">
        <w:rPr>
          <w:lang w:val="pt-BR"/>
        </w:rPr>
        <w:t>23</w:t>
      </w:r>
      <w:r w:rsidRPr="00BB6462">
        <w:rPr>
          <w:lang w:val="pt-BR"/>
        </w:rPr>
        <w:t>日</w:t>
      </w:r>
      <w:r w:rsidRPr="00BB6462">
        <w:rPr>
          <w:lang w:val="pt-BR"/>
        </w:rPr>
        <w:t>)</w:t>
      </w:r>
      <w:r w:rsidRPr="00BB6462">
        <w:rPr>
          <w:lang w:val="pt-BR"/>
        </w:rPr>
        <w:t>。</w:t>
      </w:r>
    </w:p>
  </w:footnote>
  <w:footnote w:id="26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2</w:t>
      </w:r>
      <w:r w:rsidRPr="00BB6462">
        <w:rPr>
          <w:lang w:val="pt-BR"/>
        </w:rPr>
        <w:t>段。</w:t>
      </w:r>
    </w:p>
  </w:footnote>
  <w:footnote w:id="26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同上，第</w:t>
      </w:r>
      <w:r w:rsidRPr="00BB6462">
        <w:rPr>
          <w:lang w:val="pt-BR"/>
        </w:rPr>
        <w:t>3</w:t>
      </w:r>
      <w:r w:rsidRPr="00BB6462">
        <w:rPr>
          <w:lang w:val="pt-BR"/>
        </w:rPr>
        <w:t>段。</w:t>
      </w:r>
    </w:p>
  </w:footnote>
  <w:footnote w:id="27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rPr>
          <w:lang w:val="es-ES_tradnl"/>
        </w:rPr>
        <w:tab/>
      </w:r>
      <w:r w:rsidRPr="00BB6462">
        <w:rPr>
          <w:lang w:val="pt-BR"/>
        </w:rPr>
        <w:t>同上，第</w:t>
      </w:r>
      <w:r w:rsidRPr="00BB6462">
        <w:rPr>
          <w:lang w:val="pt-BR"/>
        </w:rPr>
        <w:t>4</w:t>
      </w:r>
      <w:r w:rsidRPr="00BB6462">
        <w:rPr>
          <w:lang w:val="pt-BR"/>
        </w:rPr>
        <w:t>段。</w:t>
      </w:r>
    </w:p>
  </w:footnote>
  <w:footnote w:id="27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《欧洲保护人权与基本自由公约》，</w:t>
      </w:r>
      <w:r w:rsidRPr="00BB6462">
        <w:rPr>
          <w:lang w:val="pt-BR"/>
        </w:rPr>
        <w:t>1950</w:t>
      </w:r>
      <w:r w:rsidRPr="00BB6462">
        <w:rPr>
          <w:lang w:val="pt-BR"/>
        </w:rPr>
        <w:t>年</w:t>
      </w:r>
      <w:r w:rsidRPr="00BB6462">
        <w:rPr>
          <w:lang w:val="pt-BR"/>
        </w:rPr>
        <w:t>11</w:t>
      </w:r>
      <w:r w:rsidRPr="00BB6462">
        <w:rPr>
          <w:lang w:val="pt-BR"/>
        </w:rPr>
        <w:t>月</w:t>
      </w:r>
      <w:r w:rsidRPr="00BB6462">
        <w:rPr>
          <w:lang w:val="pt-BR"/>
        </w:rPr>
        <w:t>4</w:t>
      </w:r>
      <w:r w:rsidRPr="00BB6462">
        <w:rPr>
          <w:lang w:val="pt-BR"/>
        </w:rPr>
        <w:t>日于罗马订立，联合国，《条约汇编》，第</w:t>
      </w:r>
      <w:r w:rsidRPr="00BB6462">
        <w:rPr>
          <w:lang w:val="pt-BR"/>
        </w:rPr>
        <w:t>213</w:t>
      </w:r>
      <w:r w:rsidRPr="00BB6462">
        <w:rPr>
          <w:lang w:val="pt-BR"/>
        </w:rPr>
        <w:t>卷，第</w:t>
      </w:r>
      <w:r w:rsidRPr="00BB6462">
        <w:rPr>
          <w:lang w:val="pt-BR"/>
        </w:rPr>
        <w:t>221</w:t>
      </w:r>
      <w:r w:rsidRPr="00BB6462">
        <w:rPr>
          <w:lang w:val="pt-BR"/>
        </w:rPr>
        <w:t>页。</w:t>
      </w:r>
    </w:p>
  </w:footnote>
  <w:footnote w:id="27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color w:val="0000FF"/>
          <w:lang w:val="pt-BR"/>
        </w:rPr>
      </w:pPr>
      <w:r w:rsidRPr="00BB6462">
        <w:tab/>
      </w:r>
      <w:r w:rsidRPr="00736AA5">
        <w:rPr>
          <w:rStyle w:val="a3"/>
          <w:szCs w:val="21"/>
        </w:rPr>
        <w:footnoteRef/>
      </w:r>
      <w:r w:rsidRPr="00BB6462">
        <w:tab/>
      </w:r>
      <w:r w:rsidRPr="00BB6462">
        <w:rPr>
          <w:lang w:val="pt-BR"/>
        </w:rPr>
        <w:t>Makaratzis</w:t>
      </w:r>
      <w:r w:rsidRPr="008940CB">
        <w:rPr>
          <w:rFonts w:ascii="楷体_GB2312" w:eastAsia="楷体_GB2312"/>
          <w:lang w:val="pt-BR"/>
        </w:rPr>
        <w:t>诉希腊</w:t>
      </w:r>
      <w:r w:rsidRPr="00BB6462">
        <w:rPr>
          <w:lang w:val="pt-BR"/>
        </w:rPr>
        <w:t>，</w:t>
      </w:r>
      <w:r w:rsidRPr="00BB6462">
        <w:rPr>
          <w:rFonts w:hint="eastAsia"/>
          <w:lang w:val="pt-BR"/>
        </w:rPr>
        <w:t>判决</w:t>
      </w:r>
      <w:r>
        <w:rPr>
          <w:rFonts w:hint="eastAsia"/>
          <w:lang w:val="pt-BR"/>
        </w:rPr>
        <w:t>(</w:t>
      </w:r>
      <w:r w:rsidRPr="00BB6462">
        <w:rPr>
          <w:lang w:val="pt-BR"/>
        </w:rPr>
        <w:t>实质问题</w:t>
      </w:r>
      <w:r w:rsidRPr="00BB6462">
        <w:rPr>
          <w:rFonts w:hint="eastAsia"/>
          <w:lang w:val="pt-BR"/>
        </w:rPr>
        <w:t>和公正抵偿</w:t>
      </w:r>
      <w:r>
        <w:rPr>
          <w:rFonts w:hint="eastAsia"/>
          <w:lang w:val="pt-BR"/>
        </w:rPr>
        <w:t>)</w:t>
      </w:r>
      <w:r w:rsidRPr="00BB6462">
        <w:rPr>
          <w:rFonts w:hint="eastAsia"/>
          <w:lang w:val="pt-BR"/>
        </w:rPr>
        <w:t>，《判决和决定汇编》</w:t>
      </w:r>
      <w:r w:rsidRPr="00BB6462">
        <w:t>2004-X</w:t>
      </w:r>
      <w:r>
        <w:t xml:space="preserve">I, </w:t>
      </w:r>
      <w:r w:rsidRPr="00BB6462">
        <w:rPr>
          <w:lang w:val="pt-BR"/>
        </w:rPr>
        <w:t>ECH</w:t>
      </w:r>
      <w:r>
        <w:rPr>
          <w:lang w:val="pt-BR"/>
        </w:rPr>
        <w:t xml:space="preserve">R, </w:t>
      </w:r>
      <w:r w:rsidRPr="00BB6462">
        <w:rPr>
          <w:rFonts w:hint="eastAsia"/>
          <w:lang w:val="pt-BR"/>
        </w:rPr>
        <w:t>大审判庭，</w:t>
      </w:r>
      <w:r w:rsidRPr="00BB6462">
        <w:rPr>
          <w:lang w:val="pt-BR"/>
        </w:rPr>
        <w:t>第</w:t>
      </w:r>
      <w:r w:rsidRPr="00BB6462">
        <w:rPr>
          <w:lang w:val="pt-BR"/>
        </w:rPr>
        <w:t>50385/99</w:t>
      </w:r>
      <w:r w:rsidRPr="00BB6462">
        <w:rPr>
          <w:lang w:val="pt-BR"/>
        </w:rPr>
        <w:t>号申诉，</w:t>
      </w:r>
      <w:r w:rsidRPr="00BB6462">
        <w:rPr>
          <w:lang w:val="pt-BR"/>
        </w:rPr>
        <w:t>2004</w:t>
      </w:r>
      <w:r w:rsidRPr="00BB6462">
        <w:rPr>
          <w:rFonts w:hint="eastAsia"/>
          <w:lang w:val="pt-BR"/>
        </w:rPr>
        <w:t>年</w:t>
      </w:r>
      <w:r w:rsidRPr="00BB6462">
        <w:rPr>
          <w:rFonts w:hint="eastAsia"/>
          <w:lang w:val="pt-BR"/>
        </w:rPr>
        <w:t>12</w:t>
      </w:r>
      <w:r w:rsidRPr="00BB6462">
        <w:rPr>
          <w:rFonts w:hint="eastAsia"/>
          <w:lang w:val="pt-BR"/>
        </w:rPr>
        <w:t>月</w:t>
      </w:r>
      <w:r w:rsidRPr="00BB6462">
        <w:rPr>
          <w:rFonts w:hint="eastAsia"/>
          <w:lang w:val="pt-BR"/>
        </w:rPr>
        <w:t>20</w:t>
      </w:r>
      <w:r w:rsidRPr="00BB6462">
        <w:rPr>
          <w:rFonts w:hint="eastAsia"/>
          <w:lang w:val="pt-BR"/>
        </w:rPr>
        <w:t>日</w:t>
      </w:r>
      <w:r w:rsidRPr="00BB6462">
        <w:rPr>
          <w:lang w:val="pt-BR"/>
        </w:rPr>
        <w:t>，第</w:t>
      </w:r>
      <w:r w:rsidRPr="00BB6462">
        <w:rPr>
          <w:lang w:val="pt-BR"/>
        </w:rPr>
        <w:t>57</w:t>
      </w:r>
      <w:r w:rsidRPr="00BB6462">
        <w:rPr>
          <w:lang w:val="pt-BR"/>
        </w:rPr>
        <w:t>段；见</w:t>
      </w:r>
      <w:r w:rsidRPr="00BB6462">
        <w:rPr>
          <w:lang w:val="pt-BR"/>
        </w:rPr>
        <w:t>Kiliç</w:t>
      </w:r>
      <w:r w:rsidRPr="008940CB">
        <w:rPr>
          <w:rFonts w:ascii="楷体_GB2312" w:eastAsia="楷体_GB2312"/>
          <w:lang w:val="pt-BR"/>
        </w:rPr>
        <w:t>诉土耳其</w:t>
      </w:r>
      <w:r w:rsidRPr="00BB6462">
        <w:rPr>
          <w:lang w:val="pt-BR"/>
        </w:rPr>
        <w:t>，</w:t>
      </w:r>
      <w:r w:rsidRPr="00BB6462">
        <w:rPr>
          <w:rFonts w:hint="eastAsia"/>
          <w:lang w:val="pt-BR"/>
        </w:rPr>
        <w:t>《判决和决定汇编》</w:t>
      </w:r>
      <w:r w:rsidRPr="00BB6462">
        <w:t>200</w:t>
      </w:r>
      <w:r>
        <w:rPr>
          <w:rFonts w:hint="eastAsia"/>
        </w:rPr>
        <w:t>0</w:t>
      </w:r>
      <w:r w:rsidRPr="00BB6462">
        <w:t>-</w:t>
      </w:r>
      <w:r>
        <w:rPr>
          <w:rFonts w:hint="eastAsia"/>
        </w:rPr>
        <w:t>II</w:t>
      </w:r>
      <w:r>
        <w:t xml:space="preserve">I, </w:t>
      </w:r>
      <w:r w:rsidRPr="00BB6462">
        <w:rPr>
          <w:lang w:val="pt-BR"/>
        </w:rPr>
        <w:t>ECH</w:t>
      </w:r>
      <w:r>
        <w:rPr>
          <w:lang w:val="pt-BR"/>
        </w:rPr>
        <w:t xml:space="preserve">R, </w:t>
      </w:r>
      <w:r w:rsidRPr="00BB6462">
        <w:rPr>
          <w:rFonts w:hint="eastAsia"/>
          <w:lang w:val="pt-BR"/>
        </w:rPr>
        <w:t>审判庭，</w:t>
      </w:r>
      <w:r w:rsidRPr="00BB6462">
        <w:rPr>
          <w:lang w:val="pt-BR"/>
        </w:rPr>
        <w:t>第</w:t>
      </w:r>
      <w:r w:rsidRPr="00BB6462">
        <w:rPr>
          <w:lang w:val="pt-BR"/>
        </w:rPr>
        <w:t>22492/93</w:t>
      </w:r>
      <w:r w:rsidRPr="00BB6462">
        <w:rPr>
          <w:lang w:val="pt-BR"/>
        </w:rPr>
        <w:t>号申诉，</w:t>
      </w:r>
      <w:r w:rsidRPr="00BB6462">
        <w:rPr>
          <w:rFonts w:hint="eastAsia"/>
          <w:lang w:val="pt-BR"/>
        </w:rPr>
        <w:t>2000</w:t>
      </w:r>
      <w:r w:rsidRPr="00BB6462">
        <w:rPr>
          <w:rFonts w:hint="eastAsia"/>
          <w:lang w:val="pt-BR"/>
        </w:rPr>
        <w:t>年</w:t>
      </w:r>
      <w:r w:rsidRPr="00BB6462">
        <w:rPr>
          <w:rFonts w:hint="eastAsia"/>
          <w:lang w:val="pt-BR"/>
        </w:rPr>
        <w:t>3</w:t>
      </w:r>
      <w:r w:rsidRPr="00BB6462">
        <w:rPr>
          <w:rFonts w:hint="eastAsia"/>
          <w:lang w:val="pt-BR"/>
        </w:rPr>
        <w:t>月</w:t>
      </w:r>
      <w:r w:rsidRPr="00BB6462">
        <w:rPr>
          <w:rFonts w:hint="eastAsia"/>
          <w:lang w:val="pt-BR"/>
        </w:rPr>
        <w:t>28</w:t>
      </w:r>
      <w:r w:rsidRPr="00BB6462">
        <w:rPr>
          <w:rFonts w:hint="eastAsia"/>
          <w:lang w:val="pt-BR"/>
        </w:rPr>
        <w:t>日，</w:t>
      </w:r>
      <w:r w:rsidRPr="00BB6462">
        <w:rPr>
          <w:lang w:val="pt-BR"/>
        </w:rPr>
        <w:t>第</w:t>
      </w:r>
      <w:r w:rsidRPr="00BB6462">
        <w:rPr>
          <w:lang w:val="pt-BR"/>
        </w:rPr>
        <w:t>62</w:t>
      </w:r>
      <w:r w:rsidRPr="00BB6462">
        <w:rPr>
          <w:lang w:val="pt-BR"/>
        </w:rPr>
        <w:t>段</w:t>
      </w:r>
      <w:r w:rsidRPr="00BB6462">
        <w:rPr>
          <w:lang w:val="pt-BR"/>
        </w:rPr>
        <w:t>(</w:t>
      </w:r>
      <w:r w:rsidRPr="00BB6462">
        <w:rPr>
          <w:lang w:val="pt-BR"/>
        </w:rPr>
        <w:t>结论：第</w:t>
      </w:r>
      <w:r w:rsidRPr="00BB6462">
        <w:rPr>
          <w:lang w:val="pt-BR"/>
        </w:rPr>
        <w:t>2</w:t>
      </w:r>
      <w:r w:rsidRPr="00BB6462">
        <w:rPr>
          <w:lang w:val="pt-BR"/>
        </w:rPr>
        <w:t>条第</w:t>
      </w:r>
      <w:r w:rsidRPr="00BB6462">
        <w:rPr>
          <w:lang w:val="pt-BR"/>
        </w:rPr>
        <w:t>1</w:t>
      </w:r>
      <w:r w:rsidRPr="00BB6462">
        <w:rPr>
          <w:lang w:val="pt-BR"/>
        </w:rPr>
        <w:t>款使国家不仅有义务不得故意、非法剥夺生命，且有义务在其国内法律体系中采取适当步骤以保障其辖内人员的生命</w:t>
      </w:r>
      <w:r w:rsidRPr="00BB6462">
        <w:rPr>
          <w:lang w:val="pt-BR"/>
        </w:rPr>
        <w:t>)</w:t>
      </w:r>
      <w:r w:rsidRPr="00BB6462">
        <w:rPr>
          <w:lang w:val="pt-BR"/>
        </w:rPr>
        <w:t>。</w:t>
      </w:r>
      <w:r w:rsidRPr="00BB6462">
        <w:rPr>
          <w:color w:val="0000FF"/>
        </w:rPr>
        <w:t xml:space="preserve"> </w:t>
      </w:r>
    </w:p>
  </w:footnote>
  <w:footnote w:id="273">
    <w:p w:rsidR="00F60D83" w:rsidRPr="00BB6462" w:rsidRDefault="00F60D83" w:rsidP="007C3A88">
      <w:pPr>
        <w:pStyle w:val="a5"/>
        <w:tabs>
          <w:tab w:val="clear" w:pos="418"/>
          <w:tab w:val="right" w:pos="1195"/>
          <w:tab w:val="left" w:pos="1264"/>
          <w:tab w:val="left" w:pos="1695"/>
          <w:tab w:val="left" w:pos="2126"/>
          <w:tab w:val="left" w:pos="2557"/>
        </w:tabs>
        <w:spacing w:after="100"/>
        <w:ind w:left="1264" w:right="1264" w:hanging="431"/>
        <w:rPr>
          <w:color w:val="0000FF"/>
          <w:lang w:val="pt-BR"/>
        </w:rPr>
      </w:pPr>
      <w:r w:rsidRPr="00BB6462">
        <w:tab/>
      </w:r>
      <w:r w:rsidRPr="00736AA5">
        <w:rPr>
          <w:rStyle w:val="a3"/>
          <w:szCs w:val="21"/>
        </w:rPr>
        <w:footnoteRef/>
      </w:r>
      <w:r w:rsidRPr="00BB6462">
        <w:tab/>
      </w:r>
      <w:r w:rsidRPr="00BB6462">
        <w:rPr>
          <w:lang w:val="pt-BR"/>
        </w:rPr>
        <w:t>Mahmut Kaya</w:t>
      </w:r>
      <w:r w:rsidRPr="008940CB">
        <w:rPr>
          <w:rFonts w:ascii="楷体_GB2312" w:eastAsia="楷体_GB2312"/>
          <w:lang w:val="pt-BR"/>
        </w:rPr>
        <w:t>诉土耳其</w:t>
      </w:r>
      <w:r w:rsidRPr="00BB6462">
        <w:rPr>
          <w:lang w:val="pt-BR"/>
        </w:rPr>
        <w:t>，</w:t>
      </w:r>
      <w:r w:rsidRPr="00BB6462">
        <w:rPr>
          <w:rFonts w:hint="eastAsia"/>
          <w:lang w:val="pt-BR"/>
        </w:rPr>
        <w:t>判决</w:t>
      </w:r>
      <w:r>
        <w:rPr>
          <w:rFonts w:hint="eastAsia"/>
          <w:lang w:val="pt-BR"/>
        </w:rPr>
        <w:t>(</w:t>
      </w:r>
      <w:r w:rsidRPr="00BB6462">
        <w:rPr>
          <w:lang w:val="pt-BR"/>
        </w:rPr>
        <w:t>实质问题</w:t>
      </w:r>
      <w:r w:rsidRPr="00BB6462">
        <w:rPr>
          <w:rFonts w:hint="eastAsia"/>
          <w:lang w:val="pt-BR"/>
        </w:rPr>
        <w:t>和公正抵偿</w:t>
      </w:r>
      <w:r>
        <w:rPr>
          <w:rFonts w:hint="eastAsia"/>
          <w:lang w:val="pt-BR"/>
        </w:rPr>
        <w:t>)</w:t>
      </w:r>
      <w:r w:rsidRPr="00BB6462">
        <w:rPr>
          <w:rFonts w:hint="eastAsia"/>
          <w:lang w:val="pt-BR"/>
        </w:rPr>
        <w:t>，《判决和决定汇编》</w:t>
      </w:r>
      <w:r w:rsidRPr="00BB6462">
        <w:t>2000-II</w:t>
      </w:r>
      <w:r>
        <w:t xml:space="preserve">I, </w:t>
      </w:r>
      <w:r w:rsidRPr="00BB6462">
        <w:t>ECH</w:t>
      </w:r>
      <w:r>
        <w:t xml:space="preserve">R, </w:t>
      </w:r>
      <w:r w:rsidRPr="00BB6462">
        <w:rPr>
          <w:rFonts w:hint="eastAsia"/>
          <w:lang w:val="pt-BR"/>
        </w:rPr>
        <w:t>审判庭，</w:t>
      </w:r>
      <w:r w:rsidRPr="00BB6462">
        <w:rPr>
          <w:lang w:val="pt-BR"/>
        </w:rPr>
        <w:t>第</w:t>
      </w:r>
      <w:r w:rsidRPr="00BB6462">
        <w:t>22535/93</w:t>
      </w:r>
      <w:r w:rsidRPr="00BB6462">
        <w:rPr>
          <w:lang w:val="pt-BR"/>
        </w:rPr>
        <w:t>号申诉，</w:t>
      </w:r>
      <w:r w:rsidRPr="00BB6462">
        <w:rPr>
          <w:lang w:val="pt-BR"/>
        </w:rPr>
        <w:t>200</w:t>
      </w:r>
      <w:r w:rsidRPr="00BB6462">
        <w:rPr>
          <w:rFonts w:hint="eastAsia"/>
          <w:lang w:val="pt-BR"/>
        </w:rPr>
        <w:t>0</w:t>
      </w:r>
      <w:r w:rsidRPr="00BB6462">
        <w:rPr>
          <w:rFonts w:hint="eastAsia"/>
          <w:lang w:val="pt-BR"/>
        </w:rPr>
        <w:t>年</w:t>
      </w:r>
      <w:r w:rsidRPr="00BB6462">
        <w:rPr>
          <w:rFonts w:hint="eastAsia"/>
          <w:lang w:val="pt-BR"/>
        </w:rPr>
        <w:t>3</w:t>
      </w:r>
      <w:r w:rsidRPr="00BB6462">
        <w:rPr>
          <w:rFonts w:hint="eastAsia"/>
          <w:lang w:val="pt-BR"/>
        </w:rPr>
        <w:t>月</w:t>
      </w:r>
      <w:r w:rsidRPr="00BB6462">
        <w:rPr>
          <w:rFonts w:hint="eastAsia"/>
          <w:lang w:val="pt-BR"/>
        </w:rPr>
        <w:t>28</w:t>
      </w:r>
      <w:r w:rsidRPr="00BB6462">
        <w:rPr>
          <w:rFonts w:hint="eastAsia"/>
          <w:lang w:val="pt-BR"/>
        </w:rPr>
        <w:t>日</w:t>
      </w:r>
      <w:r w:rsidRPr="00BB6462">
        <w:rPr>
          <w:lang w:val="pt-BR"/>
        </w:rPr>
        <w:t>，第</w:t>
      </w:r>
      <w:r w:rsidRPr="00BB6462">
        <w:rPr>
          <w:lang w:val="pt-BR"/>
        </w:rPr>
        <w:t>86</w:t>
      </w:r>
      <w:r w:rsidRPr="00BB6462">
        <w:rPr>
          <w:lang w:val="pt-BR"/>
        </w:rPr>
        <w:t>段</w:t>
      </w:r>
      <w:r w:rsidRPr="00BB6462">
        <w:rPr>
          <w:lang w:val="pt-BR"/>
        </w:rPr>
        <w:t>(</w:t>
      </w:r>
      <w:r w:rsidRPr="00BB6462">
        <w:rPr>
          <w:rFonts w:hint="eastAsia"/>
          <w:lang w:val="pt-BR"/>
        </w:rPr>
        <w:t>“</w:t>
      </w:r>
      <w:r w:rsidRPr="00BB6462">
        <w:rPr>
          <w:lang w:val="pt-BR"/>
        </w:rPr>
        <w:t>考虑到现代社会中维持治安的难度、人的行为的不可预测性，在优先事项和资源方面必须做出实际操作上的选择，对</w:t>
      </w:r>
      <w:r w:rsidRPr="00BB6462">
        <w:rPr>
          <w:lang w:val="pt-BR"/>
        </w:rPr>
        <w:t>[</w:t>
      </w:r>
      <w:r w:rsidRPr="00BB6462">
        <w:rPr>
          <w:lang w:val="pt-BR"/>
        </w:rPr>
        <w:t>第</w:t>
      </w:r>
      <w:r w:rsidRPr="00BB6462">
        <w:rPr>
          <w:lang w:val="pt-BR"/>
        </w:rPr>
        <w:t>2</w:t>
      </w:r>
      <w:r w:rsidRPr="00BB6462">
        <w:rPr>
          <w:lang w:val="pt-BR"/>
        </w:rPr>
        <w:t>条第</w:t>
      </w:r>
      <w:r w:rsidRPr="00BB6462">
        <w:rPr>
          <w:lang w:val="pt-BR"/>
        </w:rPr>
        <w:t>1</w:t>
      </w:r>
      <w:r w:rsidRPr="00BB6462">
        <w:rPr>
          <w:lang w:val="pt-BR"/>
        </w:rPr>
        <w:t>款中</w:t>
      </w:r>
      <w:r w:rsidRPr="00BB6462">
        <w:rPr>
          <w:lang w:val="pt-BR"/>
        </w:rPr>
        <w:t>]</w:t>
      </w:r>
      <w:r w:rsidRPr="00BB6462">
        <w:rPr>
          <w:lang w:val="pt-BR"/>
        </w:rPr>
        <w:t>积极义务的解释办法须不得对当局施加难以达成或不成比例的负担。</w:t>
      </w:r>
      <w:r w:rsidRPr="00BB6462">
        <w:rPr>
          <w:rFonts w:hint="eastAsia"/>
          <w:lang w:val="pt-BR"/>
        </w:rPr>
        <w:t>”</w:t>
      </w:r>
      <w:r w:rsidRPr="00BB6462">
        <w:rPr>
          <w:lang w:val="pt-BR"/>
        </w:rPr>
        <w:t>)</w:t>
      </w:r>
      <w:r w:rsidRPr="00BB6462">
        <w:rPr>
          <w:lang w:val="pt-BR"/>
        </w:rPr>
        <w:t>；另见</w:t>
      </w:r>
      <w:r w:rsidRPr="00BB6462">
        <w:rPr>
          <w:lang w:val="pt-BR"/>
        </w:rPr>
        <w:t>Kerimova</w:t>
      </w:r>
      <w:r w:rsidRPr="008940CB">
        <w:rPr>
          <w:rFonts w:ascii="楷体_GB2312" w:eastAsia="楷体_GB2312" w:hint="eastAsia"/>
          <w:lang w:val="pt-BR"/>
        </w:rPr>
        <w:t>等人</w:t>
      </w:r>
      <w:r w:rsidRPr="008940CB">
        <w:rPr>
          <w:rFonts w:ascii="楷体_GB2312" w:eastAsia="楷体_GB2312"/>
          <w:lang w:val="pt-BR"/>
        </w:rPr>
        <w:t>诉俄罗斯</w:t>
      </w:r>
      <w:r w:rsidRPr="00BB6462">
        <w:rPr>
          <w:lang w:val="pt-BR"/>
        </w:rPr>
        <w:t>，</w:t>
      </w:r>
      <w:r w:rsidRPr="00BB6462">
        <w:rPr>
          <w:rFonts w:hint="eastAsia"/>
          <w:lang w:val="pt-BR"/>
        </w:rPr>
        <w:t>判决</w:t>
      </w:r>
      <w:r>
        <w:rPr>
          <w:rFonts w:hint="eastAsia"/>
          <w:lang w:val="pt-BR"/>
        </w:rPr>
        <w:t>(</w:t>
      </w:r>
      <w:r w:rsidRPr="00BB6462">
        <w:rPr>
          <w:lang w:val="pt-BR"/>
        </w:rPr>
        <w:t>实质问题</w:t>
      </w:r>
      <w:r w:rsidRPr="00BB6462">
        <w:rPr>
          <w:rFonts w:hint="eastAsia"/>
          <w:lang w:val="pt-BR"/>
        </w:rPr>
        <w:t>和公正抵偿</w:t>
      </w:r>
      <w:r>
        <w:rPr>
          <w:rFonts w:hint="eastAsia"/>
          <w:lang w:val="pt-BR"/>
        </w:rPr>
        <w:t>)</w:t>
      </w:r>
      <w:r w:rsidRPr="00BB6462">
        <w:rPr>
          <w:rFonts w:hint="eastAsia"/>
          <w:lang w:val="pt-BR"/>
        </w:rPr>
        <w:t>，</w:t>
      </w:r>
      <w:r w:rsidRPr="00BB6462">
        <w:t>ECH</w:t>
      </w:r>
      <w:r>
        <w:t xml:space="preserve">R, </w:t>
      </w:r>
      <w:r w:rsidRPr="00BB6462">
        <w:rPr>
          <w:rFonts w:hint="eastAsia"/>
          <w:lang w:val="pt-BR"/>
        </w:rPr>
        <w:t>审判庭，</w:t>
      </w:r>
      <w:r w:rsidRPr="00BB6462">
        <w:rPr>
          <w:lang w:val="pt-BR"/>
        </w:rPr>
        <w:t>第</w:t>
      </w:r>
      <w:r w:rsidRPr="00BB6462">
        <w:rPr>
          <w:lang w:val="pt-BR"/>
        </w:rPr>
        <w:t>17170/04</w:t>
      </w:r>
      <w:r w:rsidRPr="00BB6462">
        <w:rPr>
          <w:lang w:val="pt-BR"/>
        </w:rPr>
        <w:t>、第</w:t>
      </w:r>
      <w:r w:rsidRPr="00BB6462">
        <w:rPr>
          <w:lang w:val="pt-BR"/>
        </w:rPr>
        <w:t>20792/04</w:t>
      </w:r>
      <w:r w:rsidRPr="00BB6462">
        <w:rPr>
          <w:lang w:val="pt-BR"/>
        </w:rPr>
        <w:t>、第</w:t>
      </w:r>
      <w:r w:rsidRPr="00BB6462">
        <w:rPr>
          <w:lang w:val="pt-BR"/>
        </w:rPr>
        <w:t>22448/04</w:t>
      </w:r>
      <w:r w:rsidRPr="00BB6462">
        <w:rPr>
          <w:lang w:val="pt-BR"/>
        </w:rPr>
        <w:t>、第</w:t>
      </w:r>
      <w:r w:rsidRPr="00BB6462">
        <w:rPr>
          <w:lang w:val="pt-BR"/>
        </w:rPr>
        <w:t>23360/04</w:t>
      </w:r>
      <w:r w:rsidRPr="00BB6462">
        <w:rPr>
          <w:lang w:val="pt-BR"/>
        </w:rPr>
        <w:t>、第</w:t>
      </w:r>
      <w:r w:rsidRPr="00BB6462">
        <w:rPr>
          <w:lang w:val="pt-BR"/>
        </w:rPr>
        <w:t>5681/05</w:t>
      </w:r>
      <w:r w:rsidRPr="00BB6462">
        <w:rPr>
          <w:lang w:val="pt-BR"/>
        </w:rPr>
        <w:t>和第</w:t>
      </w:r>
      <w:r w:rsidRPr="00BB6462">
        <w:rPr>
          <w:lang w:val="pt-BR"/>
        </w:rPr>
        <w:t>5684/05</w:t>
      </w:r>
      <w:r w:rsidRPr="00BB6462">
        <w:rPr>
          <w:lang w:val="pt-BR"/>
        </w:rPr>
        <w:t>号申诉，</w:t>
      </w:r>
      <w:r w:rsidRPr="00BB6462">
        <w:rPr>
          <w:rFonts w:hint="eastAsia"/>
          <w:lang w:val="pt-BR"/>
        </w:rPr>
        <w:t>2011</w:t>
      </w:r>
      <w:r w:rsidRPr="00BB6462">
        <w:rPr>
          <w:rFonts w:hint="eastAsia"/>
          <w:lang w:val="pt-BR"/>
        </w:rPr>
        <w:t>年</w:t>
      </w:r>
      <w:r w:rsidRPr="00BB6462">
        <w:rPr>
          <w:rFonts w:hint="eastAsia"/>
          <w:lang w:val="pt-BR"/>
        </w:rPr>
        <w:t>5</w:t>
      </w:r>
      <w:r w:rsidRPr="00BB6462">
        <w:rPr>
          <w:rFonts w:hint="eastAsia"/>
          <w:lang w:val="pt-BR"/>
        </w:rPr>
        <w:t>月</w:t>
      </w:r>
      <w:r>
        <w:rPr>
          <w:rFonts w:hint="eastAsia"/>
          <w:lang w:val="pt-BR"/>
        </w:rPr>
        <w:t>3</w:t>
      </w:r>
      <w:r w:rsidRPr="00BB6462">
        <w:rPr>
          <w:rFonts w:hint="eastAsia"/>
          <w:lang w:val="pt-BR"/>
        </w:rPr>
        <w:t>日</w:t>
      </w:r>
      <w:r>
        <w:rPr>
          <w:rFonts w:hint="eastAsia"/>
          <w:lang w:val="pt-BR"/>
        </w:rPr>
        <w:t>(</w:t>
      </w:r>
      <w:r w:rsidRPr="00BB6462">
        <w:rPr>
          <w:rFonts w:hint="eastAsia"/>
          <w:lang w:val="pt-BR"/>
        </w:rPr>
        <w:t>2011</w:t>
      </w:r>
      <w:r w:rsidRPr="00BB6462">
        <w:rPr>
          <w:rFonts w:hint="eastAsia"/>
          <w:lang w:val="pt-BR"/>
        </w:rPr>
        <w:t>年</w:t>
      </w:r>
      <w:r w:rsidRPr="00BB6462">
        <w:rPr>
          <w:rFonts w:hint="eastAsia"/>
          <w:lang w:val="pt-BR"/>
        </w:rPr>
        <w:t>9</w:t>
      </w:r>
      <w:r w:rsidRPr="00BB6462">
        <w:rPr>
          <w:rFonts w:hint="eastAsia"/>
          <w:lang w:val="pt-BR"/>
        </w:rPr>
        <w:t>月</w:t>
      </w:r>
      <w:r w:rsidRPr="00BB6462">
        <w:rPr>
          <w:rFonts w:hint="eastAsia"/>
          <w:lang w:val="pt-BR"/>
        </w:rPr>
        <w:t>15</w:t>
      </w:r>
      <w:r w:rsidRPr="00BB6462">
        <w:rPr>
          <w:rFonts w:hint="eastAsia"/>
          <w:lang w:val="pt-BR"/>
        </w:rPr>
        <w:t>日最后</w:t>
      </w:r>
      <w:r>
        <w:rPr>
          <w:rFonts w:hint="eastAsia"/>
          <w:lang w:val="pt-BR"/>
        </w:rPr>
        <w:t>)</w:t>
      </w:r>
      <w:r w:rsidRPr="00BB6462">
        <w:rPr>
          <w:rFonts w:hint="eastAsia"/>
          <w:lang w:val="pt-BR"/>
        </w:rPr>
        <w:t>，</w:t>
      </w:r>
      <w:r w:rsidRPr="00BB6462">
        <w:rPr>
          <w:lang w:val="pt-BR"/>
        </w:rPr>
        <w:t>第</w:t>
      </w:r>
      <w:r w:rsidRPr="00BB6462">
        <w:rPr>
          <w:lang w:val="pt-BR"/>
        </w:rPr>
        <w:t>246</w:t>
      </w:r>
      <w:r w:rsidRPr="00BB6462">
        <w:rPr>
          <w:lang w:val="pt-BR"/>
        </w:rPr>
        <w:t>段；</w:t>
      </w:r>
      <w:r w:rsidRPr="00BB6462">
        <w:rPr>
          <w:lang w:val="pt-BR"/>
        </w:rPr>
        <w:t>Osman</w:t>
      </w:r>
      <w:r w:rsidRPr="008940CB">
        <w:rPr>
          <w:rFonts w:ascii="楷体_GB2312" w:eastAsia="楷体_GB2312"/>
          <w:lang w:val="pt-BR"/>
        </w:rPr>
        <w:t>诉联合王国</w:t>
      </w:r>
      <w:r w:rsidRPr="00BB6462">
        <w:rPr>
          <w:lang w:val="pt-BR"/>
        </w:rPr>
        <w:t>，</w:t>
      </w:r>
      <w:r w:rsidRPr="00BB6462">
        <w:rPr>
          <w:rFonts w:hint="eastAsia"/>
          <w:lang w:val="pt-BR"/>
        </w:rPr>
        <w:t>判决</w:t>
      </w:r>
      <w:r>
        <w:rPr>
          <w:rFonts w:hint="eastAsia"/>
          <w:lang w:val="pt-BR"/>
        </w:rPr>
        <w:t>(</w:t>
      </w:r>
      <w:r w:rsidRPr="00BB6462">
        <w:rPr>
          <w:lang w:val="pt-BR"/>
        </w:rPr>
        <w:t>实质问题</w:t>
      </w:r>
      <w:r w:rsidRPr="00BB6462">
        <w:rPr>
          <w:rFonts w:hint="eastAsia"/>
          <w:lang w:val="pt-BR"/>
        </w:rPr>
        <w:t>和公正抵偿</w:t>
      </w:r>
      <w:r>
        <w:rPr>
          <w:rFonts w:hint="eastAsia"/>
          <w:lang w:val="pt-BR"/>
        </w:rPr>
        <w:t>)</w:t>
      </w:r>
      <w:r w:rsidRPr="00BB6462">
        <w:rPr>
          <w:rFonts w:hint="eastAsia"/>
          <w:lang w:val="pt-BR"/>
        </w:rPr>
        <w:t>，</w:t>
      </w:r>
      <w:r w:rsidRPr="00BB6462">
        <w:t>1998-VII</w:t>
      </w:r>
      <w:r>
        <w:t xml:space="preserve">I, </w:t>
      </w:r>
      <w:r w:rsidRPr="00BB6462">
        <w:t>ECH</w:t>
      </w:r>
      <w:r>
        <w:t xml:space="preserve">R, </w:t>
      </w:r>
      <w:r w:rsidRPr="00BB6462">
        <w:rPr>
          <w:rFonts w:hint="eastAsia"/>
        </w:rPr>
        <w:t>大</w:t>
      </w:r>
      <w:r w:rsidRPr="00BB6462">
        <w:rPr>
          <w:rFonts w:hint="eastAsia"/>
          <w:lang w:val="pt-BR"/>
        </w:rPr>
        <w:t>审判庭，</w:t>
      </w:r>
      <w:r w:rsidRPr="00BB6462">
        <w:rPr>
          <w:lang w:val="pt-BR"/>
        </w:rPr>
        <w:t>第</w:t>
      </w:r>
      <w:r w:rsidRPr="00BB6462">
        <w:rPr>
          <w:lang w:val="pt-BR"/>
        </w:rPr>
        <w:t>87/1997/871/1083</w:t>
      </w:r>
      <w:r w:rsidRPr="00BB6462">
        <w:rPr>
          <w:lang w:val="pt-BR"/>
        </w:rPr>
        <w:t>号申诉，</w:t>
      </w:r>
      <w:r w:rsidRPr="00BB6462">
        <w:rPr>
          <w:lang w:val="pt-BR"/>
        </w:rPr>
        <w:t>1998</w:t>
      </w:r>
      <w:r w:rsidRPr="00BB6462">
        <w:rPr>
          <w:rFonts w:hint="eastAsia"/>
          <w:lang w:val="pt-BR"/>
        </w:rPr>
        <w:t>年</w:t>
      </w:r>
      <w:r w:rsidRPr="00BB6462">
        <w:rPr>
          <w:rFonts w:hint="eastAsia"/>
          <w:lang w:val="pt-BR"/>
        </w:rPr>
        <w:t>10</w:t>
      </w:r>
      <w:r w:rsidRPr="00BB6462">
        <w:rPr>
          <w:rFonts w:hint="eastAsia"/>
          <w:lang w:val="pt-BR"/>
        </w:rPr>
        <w:t>月</w:t>
      </w:r>
      <w:r w:rsidRPr="00BB6462">
        <w:rPr>
          <w:rFonts w:hint="eastAsia"/>
          <w:lang w:val="pt-BR"/>
        </w:rPr>
        <w:t>28</w:t>
      </w:r>
      <w:r w:rsidRPr="00BB6462">
        <w:rPr>
          <w:rFonts w:hint="eastAsia"/>
          <w:lang w:val="pt-BR"/>
        </w:rPr>
        <w:t>日</w:t>
      </w:r>
      <w:r w:rsidRPr="00BB6462">
        <w:rPr>
          <w:lang w:val="pt-BR"/>
        </w:rPr>
        <w:t>，第</w:t>
      </w:r>
      <w:r w:rsidRPr="00BB6462">
        <w:rPr>
          <w:lang w:val="pt-BR"/>
        </w:rPr>
        <w:t>116</w:t>
      </w:r>
      <w:r w:rsidRPr="00BB6462">
        <w:rPr>
          <w:lang w:val="pt-BR"/>
        </w:rPr>
        <w:t>段。</w:t>
      </w:r>
    </w:p>
  </w:footnote>
  <w:footnote w:id="274">
    <w:p w:rsidR="00F60D83" w:rsidRPr="00BB6462" w:rsidRDefault="00F60D83" w:rsidP="007C3A88">
      <w:pPr>
        <w:pStyle w:val="a5"/>
        <w:tabs>
          <w:tab w:val="clear" w:pos="418"/>
          <w:tab w:val="right" w:pos="1195"/>
          <w:tab w:val="left" w:pos="1264"/>
          <w:tab w:val="left" w:pos="1695"/>
          <w:tab w:val="left" w:pos="2126"/>
          <w:tab w:val="left" w:pos="2557"/>
        </w:tabs>
        <w:spacing w:after="100"/>
        <w:ind w:left="1264" w:right="1264" w:hanging="431"/>
        <w:rPr>
          <w:lang w:val="pt-BR"/>
        </w:rPr>
      </w:pPr>
      <w:r w:rsidRPr="00BB6462">
        <w:tab/>
      </w:r>
      <w:r w:rsidRPr="00736AA5">
        <w:rPr>
          <w:rStyle w:val="a3"/>
          <w:szCs w:val="21"/>
        </w:rPr>
        <w:footnoteRef/>
      </w:r>
      <w:r w:rsidRPr="00BB6462">
        <w:tab/>
      </w:r>
      <w:r w:rsidRPr="00BB6462">
        <w:rPr>
          <w:lang w:val="pt-BR"/>
        </w:rPr>
        <w:t>《美洲人权公约》，</w:t>
      </w:r>
      <w:r w:rsidRPr="00BB6462">
        <w:rPr>
          <w:lang w:val="pt-BR"/>
        </w:rPr>
        <w:t>1969</w:t>
      </w:r>
      <w:r w:rsidRPr="00BB6462">
        <w:rPr>
          <w:lang w:val="pt-BR"/>
        </w:rPr>
        <w:t>年</w:t>
      </w:r>
      <w:r w:rsidRPr="00BB6462">
        <w:rPr>
          <w:lang w:val="pt-BR"/>
        </w:rPr>
        <w:t>11</w:t>
      </w:r>
      <w:r w:rsidRPr="00BB6462">
        <w:rPr>
          <w:lang w:val="pt-BR"/>
        </w:rPr>
        <w:t>月</w:t>
      </w:r>
      <w:r w:rsidRPr="00BB6462">
        <w:rPr>
          <w:lang w:val="pt-BR"/>
        </w:rPr>
        <w:t>22</w:t>
      </w:r>
      <w:r w:rsidRPr="00BB6462">
        <w:rPr>
          <w:lang w:val="pt-BR"/>
        </w:rPr>
        <w:t>日于圣何塞订立，美洲国家组织</w:t>
      </w:r>
      <w:r>
        <w:rPr>
          <w:rFonts w:hint="eastAsia"/>
          <w:lang w:val="pt-BR"/>
        </w:rPr>
        <w:t>，</w:t>
      </w:r>
      <w:r w:rsidRPr="00BB6462">
        <w:rPr>
          <w:lang w:val="pt-BR"/>
        </w:rPr>
        <w:t>《条约汇编》，第</w:t>
      </w:r>
      <w:r w:rsidRPr="00BB6462">
        <w:rPr>
          <w:lang w:val="pt-BR"/>
        </w:rPr>
        <w:t>36</w:t>
      </w:r>
      <w:r w:rsidRPr="00BB6462">
        <w:rPr>
          <w:lang w:val="pt-BR"/>
        </w:rPr>
        <w:t>号。</w:t>
      </w:r>
    </w:p>
  </w:footnote>
  <w:footnote w:id="275">
    <w:p w:rsidR="00F60D83" w:rsidRPr="00BB6462" w:rsidRDefault="00F60D83" w:rsidP="007C3A88">
      <w:pPr>
        <w:pStyle w:val="a5"/>
        <w:tabs>
          <w:tab w:val="clear" w:pos="418"/>
          <w:tab w:val="right" w:pos="1195"/>
          <w:tab w:val="left" w:pos="1264"/>
          <w:tab w:val="left" w:pos="1695"/>
          <w:tab w:val="left" w:pos="2126"/>
          <w:tab w:val="left" w:pos="2557"/>
        </w:tabs>
        <w:spacing w:after="100"/>
        <w:ind w:left="1264" w:right="1264" w:hanging="431"/>
        <w:rPr>
          <w:lang w:val="pt-BR"/>
        </w:rPr>
      </w:pPr>
      <w:r w:rsidRPr="00BB6462">
        <w:tab/>
      </w:r>
      <w:r w:rsidRPr="00736AA5">
        <w:rPr>
          <w:rStyle w:val="a3"/>
          <w:szCs w:val="21"/>
        </w:rPr>
        <w:footnoteRef/>
      </w:r>
      <w:r w:rsidRPr="00BB6462">
        <w:tab/>
      </w:r>
      <w:r w:rsidRPr="00BB6462">
        <w:rPr>
          <w:lang w:val="pt-BR"/>
        </w:rPr>
        <w:t>第</w:t>
      </w:r>
      <w:r w:rsidRPr="00BB6462">
        <w:rPr>
          <w:lang w:val="pt-BR"/>
        </w:rPr>
        <w:t>1</w:t>
      </w:r>
      <w:r w:rsidRPr="00BB6462">
        <w:rPr>
          <w:lang w:val="pt-BR"/>
        </w:rPr>
        <w:t>条第</w:t>
      </w:r>
      <w:r w:rsidRPr="00BB6462">
        <w:rPr>
          <w:lang w:val="pt-BR"/>
        </w:rPr>
        <w:t>(1)</w:t>
      </w:r>
      <w:r w:rsidRPr="00BB6462">
        <w:rPr>
          <w:lang w:val="pt-BR"/>
        </w:rPr>
        <w:t>款规定：</w:t>
      </w:r>
      <w:r w:rsidRPr="00BB6462">
        <w:rPr>
          <w:rFonts w:hint="eastAsia"/>
          <w:lang w:val="pt-BR"/>
        </w:rPr>
        <w:t>“</w:t>
      </w:r>
      <w:r w:rsidRPr="00BB6462">
        <w:rPr>
          <w:lang w:val="pt-BR"/>
        </w:rPr>
        <w:t>本公约的缔约国承诺尊重本公约认可的各项权利和自由，并确保受其管辖的所有人员得以不受歧视地自由、充分行使这些权利和</w:t>
      </w:r>
      <w:r w:rsidRPr="00BB6462">
        <w:rPr>
          <w:rFonts w:hint="eastAsia"/>
          <w:lang w:val="pt-BR"/>
        </w:rPr>
        <w:t>自由……”</w:t>
      </w:r>
      <w:r w:rsidRPr="00BB6462">
        <w:rPr>
          <w:lang w:val="pt-BR"/>
        </w:rPr>
        <w:t>。</w:t>
      </w:r>
      <w:r w:rsidRPr="00BB6462">
        <w:rPr>
          <w:rFonts w:hint="eastAsia"/>
          <w:lang w:val="pt-BR"/>
        </w:rPr>
        <w:t>人们注意到，《非洲人权和民族权利宪章》第</w:t>
      </w:r>
      <w:r w:rsidRPr="00BB6462">
        <w:rPr>
          <w:rFonts w:hint="eastAsia"/>
          <w:lang w:val="pt-BR"/>
        </w:rPr>
        <w:t>1</w:t>
      </w:r>
      <w:r w:rsidRPr="00BB6462">
        <w:rPr>
          <w:rFonts w:hint="eastAsia"/>
          <w:lang w:val="pt-BR"/>
        </w:rPr>
        <w:t>条规定，缔约国“应承认宪章所载的权利、义务和自由，应采取立法或其他措施予以落实。”</w:t>
      </w:r>
      <w:r w:rsidRPr="00BB6462">
        <w:rPr>
          <w:lang w:val="pt-BR"/>
        </w:rPr>
        <w:t>(</w:t>
      </w:r>
      <w:r w:rsidRPr="00BB6462">
        <w:rPr>
          <w:rFonts w:hint="eastAsia"/>
          <w:lang w:val="pt-BR"/>
        </w:rPr>
        <w:t>联合国，《条约汇编》，第</w:t>
      </w:r>
      <w:r w:rsidRPr="00BB6462">
        <w:rPr>
          <w:lang w:val="pt-BR"/>
        </w:rPr>
        <w:t>1520</w:t>
      </w:r>
      <w:r w:rsidRPr="00BB6462">
        <w:rPr>
          <w:rFonts w:hint="eastAsia"/>
          <w:lang w:val="pt-BR"/>
        </w:rPr>
        <w:t>卷，第</w:t>
      </w:r>
      <w:r w:rsidRPr="00BB6462">
        <w:rPr>
          <w:lang w:val="pt-BR"/>
        </w:rPr>
        <w:t>217</w:t>
      </w:r>
      <w:r w:rsidRPr="00BB6462">
        <w:rPr>
          <w:rFonts w:hint="eastAsia"/>
          <w:lang w:val="pt-BR"/>
        </w:rPr>
        <w:t>页</w:t>
      </w:r>
      <w:r w:rsidRPr="00BB6462">
        <w:rPr>
          <w:lang w:val="pt-BR"/>
        </w:rPr>
        <w:t>)</w:t>
      </w:r>
      <w:r w:rsidRPr="00BB6462">
        <w:rPr>
          <w:rFonts w:hint="eastAsia"/>
          <w:lang w:val="pt-BR"/>
        </w:rPr>
        <w:t>。</w:t>
      </w:r>
    </w:p>
  </w:footnote>
  <w:footnote w:id="276">
    <w:p w:rsidR="00F60D83" w:rsidRPr="00BB6462" w:rsidRDefault="00F60D83" w:rsidP="007C3A88">
      <w:pPr>
        <w:pStyle w:val="a5"/>
        <w:tabs>
          <w:tab w:val="clear" w:pos="418"/>
          <w:tab w:val="right" w:pos="1195"/>
          <w:tab w:val="left" w:pos="1264"/>
          <w:tab w:val="left" w:pos="1695"/>
          <w:tab w:val="left" w:pos="2126"/>
          <w:tab w:val="left" w:pos="2557"/>
        </w:tabs>
        <w:spacing w:after="100"/>
        <w:ind w:left="1264" w:right="1264" w:hanging="431"/>
        <w:rPr>
          <w:color w:val="0000FF"/>
          <w:lang w:val="pt-BR"/>
        </w:rPr>
      </w:pPr>
      <w:r w:rsidRPr="00BB6462">
        <w:tab/>
      </w:r>
      <w:r w:rsidRPr="00736AA5">
        <w:rPr>
          <w:rStyle w:val="a3"/>
          <w:szCs w:val="21"/>
        </w:rPr>
        <w:footnoteRef/>
      </w:r>
      <w:r w:rsidRPr="00BB6462">
        <w:tab/>
      </w:r>
      <w:r w:rsidRPr="00DA35B0">
        <w:rPr>
          <w:spacing w:val="-4"/>
          <w:lang w:val="pt-BR"/>
        </w:rPr>
        <w:t>Velasquez Rodríguez</w:t>
      </w:r>
      <w:r w:rsidRPr="008940CB">
        <w:rPr>
          <w:rFonts w:ascii="楷体_GB2312" w:eastAsia="楷体_GB2312"/>
          <w:spacing w:val="-4"/>
          <w:lang w:val="pt-BR"/>
        </w:rPr>
        <w:t>诉洪都拉斯</w:t>
      </w:r>
      <w:r w:rsidRPr="00DA35B0">
        <w:rPr>
          <w:spacing w:val="-4"/>
          <w:lang w:val="pt-BR"/>
        </w:rPr>
        <w:t>，判决</w:t>
      </w:r>
      <w:r w:rsidRPr="00DA35B0">
        <w:rPr>
          <w:spacing w:val="-4"/>
          <w:lang w:val="pt-BR"/>
        </w:rPr>
        <w:t>(</w:t>
      </w:r>
      <w:r w:rsidRPr="00DA35B0">
        <w:rPr>
          <w:rFonts w:hint="eastAsia"/>
          <w:spacing w:val="-4"/>
          <w:lang w:val="pt-BR"/>
        </w:rPr>
        <w:t>实质问题</w:t>
      </w:r>
      <w:r w:rsidRPr="00DA35B0">
        <w:rPr>
          <w:spacing w:val="-4"/>
          <w:lang w:val="pt-BR"/>
        </w:rPr>
        <w:t>)</w:t>
      </w:r>
      <w:r w:rsidRPr="00DA35B0">
        <w:rPr>
          <w:spacing w:val="-4"/>
          <w:lang w:val="pt-BR"/>
        </w:rPr>
        <w:t>，美洲人权法院</w:t>
      </w:r>
      <w:r w:rsidRPr="00DA35B0">
        <w:rPr>
          <w:rFonts w:hint="eastAsia"/>
          <w:spacing w:val="-4"/>
          <w:lang w:val="pt-BR"/>
        </w:rPr>
        <w:t>C</w:t>
      </w:r>
      <w:r w:rsidRPr="00DA35B0">
        <w:rPr>
          <w:rFonts w:hint="eastAsia"/>
          <w:spacing w:val="-4"/>
          <w:lang w:val="pt-BR"/>
        </w:rPr>
        <w:t>辑</w:t>
      </w:r>
      <w:r w:rsidRPr="00DA35B0">
        <w:rPr>
          <w:spacing w:val="-4"/>
          <w:lang w:val="pt-BR"/>
        </w:rPr>
        <w:t>第</w:t>
      </w:r>
      <w:r w:rsidRPr="00DA35B0">
        <w:rPr>
          <w:spacing w:val="-4"/>
          <w:lang w:val="pt-BR"/>
        </w:rPr>
        <w:t>4</w:t>
      </w:r>
      <w:r w:rsidRPr="00DA35B0">
        <w:rPr>
          <w:spacing w:val="-4"/>
          <w:lang w:val="pt-BR"/>
        </w:rPr>
        <w:t>号，</w:t>
      </w:r>
      <w:r w:rsidRPr="00DA35B0">
        <w:rPr>
          <w:spacing w:val="-4"/>
          <w:lang w:val="pt-BR"/>
        </w:rPr>
        <w:t>198</w:t>
      </w:r>
      <w:r>
        <w:rPr>
          <w:rFonts w:hint="eastAsia"/>
          <w:spacing w:val="-4"/>
          <w:lang w:val="pt-BR"/>
        </w:rPr>
        <w:t>8</w:t>
      </w:r>
      <w:r w:rsidRPr="00DA35B0">
        <w:rPr>
          <w:spacing w:val="-4"/>
          <w:lang w:val="pt-BR"/>
        </w:rPr>
        <w:t>年</w:t>
      </w:r>
      <w:r w:rsidRPr="00DA35B0">
        <w:rPr>
          <w:spacing w:val="-4"/>
          <w:lang w:val="pt-BR"/>
        </w:rPr>
        <w:t>7</w:t>
      </w:r>
      <w:r w:rsidRPr="00DA35B0">
        <w:rPr>
          <w:spacing w:val="-4"/>
          <w:lang w:val="pt-BR"/>
        </w:rPr>
        <w:t>月</w:t>
      </w:r>
      <w:r w:rsidRPr="00DA35B0">
        <w:rPr>
          <w:spacing w:val="-4"/>
          <w:lang w:val="pt-BR"/>
        </w:rPr>
        <w:t>2</w:t>
      </w:r>
      <w:r>
        <w:rPr>
          <w:rFonts w:hint="eastAsia"/>
          <w:spacing w:val="-4"/>
          <w:lang w:val="pt-BR"/>
        </w:rPr>
        <w:t>9</w:t>
      </w:r>
      <w:r w:rsidRPr="00DA35B0">
        <w:rPr>
          <w:spacing w:val="-4"/>
          <w:lang w:val="pt-BR"/>
        </w:rPr>
        <w:t>日，第</w:t>
      </w:r>
      <w:r w:rsidRPr="00DA35B0">
        <w:rPr>
          <w:spacing w:val="-4"/>
          <w:lang w:val="pt-BR"/>
        </w:rPr>
        <w:t>175</w:t>
      </w:r>
      <w:r w:rsidRPr="00DA35B0">
        <w:rPr>
          <w:spacing w:val="-4"/>
          <w:lang w:val="pt-BR"/>
        </w:rPr>
        <w:t>段；另见</w:t>
      </w:r>
      <w:r w:rsidRPr="00DA35B0">
        <w:rPr>
          <w:spacing w:val="-4"/>
          <w:lang w:val="pt-BR"/>
        </w:rPr>
        <w:t>Gómez-Paquiyauri Brothers</w:t>
      </w:r>
      <w:r w:rsidRPr="008940CB">
        <w:rPr>
          <w:rFonts w:ascii="楷体_GB2312" w:eastAsia="楷体_GB2312"/>
          <w:spacing w:val="-4"/>
          <w:lang w:val="pt-BR"/>
        </w:rPr>
        <w:t>诉秘鲁</w:t>
      </w:r>
      <w:r w:rsidRPr="00DA35B0">
        <w:rPr>
          <w:spacing w:val="-4"/>
          <w:lang w:val="pt-BR"/>
        </w:rPr>
        <w:t>，判决</w:t>
      </w:r>
      <w:r w:rsidRPr="00DA35B0">
        <w:rPr>
          <w:rFonts w:hint="eastAsia"/>
          <w:spacing w:val="-4"/>
          <w:lang w:val="pt-BR"/>
        </w:rPr>
        <w:t>(</w:t>
      </w:r>
      <w:r w:rsidRPr="00DA35B0">
        <w:rPr>
          <w:rFonts w:hint="eastAsia"/>
          <w:spacing w:val="-4"/>
          <w:lang w:val="pt-BR"/>
        </w:rPr>
        <w:t>实质问题、赔偿及费用</w:t>
      </w:r>
      <w:r w:rsidRPr="00DA35B0">
        <w:rPr>
          <w:rFonts w:hint="eastAsia"/>
          <w:spacing w:val="-4"/>
          <w:lang w:val="pt-BR"/>
        </w:rPr>
        <w:t>)</w:t>
      </w:r>
      <w:r w:rsidRPr="00DA35B0">
        <w:rPr>
          <w:spacing w:val="-4"/>
          <w:lang w:val="pt-BR"/>
        </w:rPr>
        <w:t>，美洲人权法院</w:t>
      </w:r>
      <w:r w:rsidRPr="00DA35B0">
        <w:rPr>
          <w:spacing w:val="-4"/>
          <w:lang w:val="pt-BR"/>
        </w:rPr>
        <w:t>C</w:t>
      </w:r>
      <w:r w:rsidRPr="00DA35B0">
        <w:rPr>
          <w:rFonts w:hint="eastAsia"/>
          <w:spacing w:val="-4"/>
          <w:lang w:val="pt-BR"/>
        </w:rPr>
        <w:t>辑</w:t>
      </w:r>
      <w:r w:rsidRPr="00DA35B0">
        <w:rPr>
          <w:spacing w:val="-4"/>
          <w:lang w:val="pt-BR"/>
        </w:rPr>
        <w:t>第</w:t>
      </w:r>
      <w:r w:rsidRPr="00DA35B0">
        <w:rPr>
          <w:spacing w:val="-4"/>
          <w:lang w:val="pt-BR"/>
        </w:rPr>
        <w:t>110</w:t>
      </w:r>
      <w:r w:rsidRPr="00DA35B0">
        <w:rPr>
          <w:spacing w:val="-4"/>
          <w:lang w:val="pt-BR"/>
        </w:rPr>
        <w:t>号，</w:t>
      </w:r>
      <w:r w:rsidRPr="00DA35B0">
        <w:rPr>
          <w:spacing w:val="-4"/>
          <w:lang w:val="pt-BR"/>
        </w:rPr>
        <w:t>2004</w:t>
      </w:r>
      <w:r w:rsidRPr="00DA35B0">
        <w:rPr>
          <w:spacing w:val="-4"/>
          <w:lang w:val="pt-BR"/>
        </w:rPr>
        <w:t>年</w:t>
      </w:r>
      <w:r w:rsidRPr="00DA35B0">
        <w:rPr>
          <w:spacing w:val="-4"/>
          <w:lang w:val="pt-BR"/>
        </w:rPr>
        <w:t>7</w:t>
      </w:r>
      <w:r w:rsidRPr="00DA35B0">
        <w:rPr>
          <w:spacing w:val="-4"/>
          <w:lang w:val="pt-BR"/>
        </w:rPr>
        <w:t>月</w:t>
      </w:r>
      <w:r w:rsidRPr="00DA35B0">
        <w:rPr>
          <w:spacing w:val="-4"/>
          <w:lang w:val="pt-BR"/>
        </w:rPr>
        <w:t>8</w:t>
      </w:r>
      <w:r w:rsidRPr="00DA35B0">
        <w:rPr>
          <w:spacing w:val="-4"/>
          <w:lang w:val="pt-BR"/>
        </w:rPr>
        <w:t>日，第</w:t>
      </w:r>
      <w:r w:rsidRPr="00DA35B0">
        <w:rPr>
          <w:spacing w:val="-4"/>
          <w:lang w:val="pt-BR"/>
        </w:rPr>
        <w:t>155</w:t>
      </w:r>
      <w:r w:rsidRPr="00DA35B0">
        <w:rPr>
          <w:spacing w:val="-4"/>
          <w:lang w:val="pt-BR"/>
        </w:rPr>
        <w:t>段；</w:t>
      </w:r>
      <w:r w:rsidRPr="00DA35B0">
        <w:rPr>
          <w:spacing w:val="-4"/>
          <w:lang w:val="pt-BR"/>
        </w:rPr>
        <w:t>Juan Humberto Sánchez</w:t>
      </w:r>
      <w:r w:rsidRPr="008940CB">
        <w:rPr>
          <w:rFonts w:ascii="楷体_GB2312" w:eastAsia="楷体_GB2312"/>
          <w:spacing w:val="-4"/>
          <w:lang w:val="pt-BR"/>
        </w:rPr>
        <w:t>诉洪都拉斯</w:t>
      </w:r>
      <w:r w:rsidRPr="00DA35B0">
        <w:rPr>
          <w:spacing w:val="-4"/>
          <w:lang w:val="pt-BR"/>
        </w:rPr>
        <w:t>，判决</w:t>
      </w:r>
      <w:r w:rsidRPr="00DA35B0">
        <w:rPr>
          <w:rFonts w:hint="eastAsia"/>
          <w:spacing w:val="-4"/>
          <w:lang w:val="pt-BR"/>
        </w:rPr>
        <w:t>(</w:t>
      </w:r>
      <w:r w:rsidRPr="00DA35B0">
        <w:rPr>
          <w:rFonts w:hint="eastAsia"/>
          <w:spacing w:val="-4"/>
          <w:lang w:val="pt-BR"/>
        </w:rPr>
        <w:t>初步反对意见、实质问题、赔偿及费用</w:t>
      </w:r>
      <w:r w:rsidRPr="00DA35B0">
        <w:rPr>
          <w:rFonts w:hint="eastAsia"/>
          <w:spacing w:val="-4"/>
          <w:lang w:val="pt-BR"/>
        </w:rPr>
        <w:t>)</w:t>
      </w:r>
      <w:r w:rsidRPr="00DA35B0">
        <w:rPr>
          <w:spacing w:val="-4"/>
          <w:lang w:val="pt-BR"/>
        </w:rPr>
        <w:t>，美洲人权法院</w:t>
      </w:r>
      <w:r w:rsidRPr="00DA35B0">
        <w:rPr>
          <w:spacing w:val="-4"/>
          <w:lang w:val="pt-BR"/>
        </w:rPr>
        <w:t>C</w:t>
      </w:r>
      <w:r w:rsidRPr="00DA35B0">
        <w:rPr>
          <w:rFonts w:hint="eastAsia"/>
          <w:spacing w:val="-4"/>
          <w:lang w:val="pt-BR"/>
        </w:rPr>
        <w:t>辑</w:t>
      </w:r>
      <w:r w:rsidRPr="00DA35B0">
        <w:rPr>
          <w:spacing w:val="-4"/>
          <w:lang w:val="pt-BR"/>
        </w:rPr>
        <w:t>第</w:t>
      </w:r>
      <w:r w:rsidRPr="00DA35B0">
        <w:rPr>
          <w:spacing w:val="-4"/>
          <w:lang w:val="pt-BR"/>
        </w:rPr>
        <w:t>99</w:t>
      </w:r>
      <w:r w:rsidRPr="00DA35B0">
        <w:rPr>
          <w:spacing w:val="-4"/>
          <w:lang w:val="pt-BR"/>
        </w:rPr>
        <w:t>号，</w:t>
      </w:r>
      <w:r w:rsidRPr="00DA35B0">
        <w:rPr>
          <w:spacing w:val="-4"/>
          <w:lang w:val="pt-BR"/>
        </w:rPr>
        <w:t>2003</w:t>
      </w:r>
      <w:r w:rsidRPr="00DA35B0">
        <w:rPr>
          <w:spacing w:val="-4"/>
          <w:lang w:val="pt-BR"/>
        </w:rPr>
        <w:t>年</w:t>
      </w:r>
      <w:r w:rsidRPr="00DA35B0">
        <w:rPr>
          <w:spacing w:val="-4"/>
          <w:lang w:val="pt-BR"/>
        </w:rPr>
        <w:t>6</w:t>
      </w:r>
      <w:r w:rsidRPr="00DA35B0">
        <w:rPr>
          <w:spacing w:val="-4"/>
          <w:lang w:val="pt-BR"/>
        </w:rPr>
        <w:t>月</w:t>
      </w:r>
      <w:r w:rsidRPr="00DA35B0">
        <w:rPr>
          <w:spacing w:val="-4"/>
          <w:lang w:val="pt-BR"/>
        </w:rPr>
        <w:t>7</w:t>
      </w:r>
      <w:r w:rsidRPr="00DA35B0">
        <w:rPr>
          <w:spacing w:val="-4"/>
          <w:lang w:val="pt-BR"/>
        </w:rPr>
        <w:t>日，第</w:t>
      </w:r>
      <w:r w:rsidRPr="00DA35B0">
        <w:rPr>
          <w:spacing w:val="-4"/>
          <w:lang w:val="pt-BR"/>
        </w:rPr>
        <w:t>137</w:t>
      </w:r>
      <w:r w:rsidRPr="00DA35B0">
        <w:rPr>
          <w:spacing w:val="-4"/>
          <w:lang w:val="pt-BR"/>
        </w:rPr>
        <w:t>和第</w:t>
      </w:r>
      <w:r w:rsidRPr="00DA35B0">
        <w:rPr>
          <w:spacing w:val="-4"/>
          <w:lang w:val="pt-BR"/>
        </w:rPr>
        <w:t>142</w:t>
      </w:r>
      <w:r w:rsidRPr="00DA35B0">
        <w:rPr>
          <w:spacing w:val="-4"/>
          <w:lang w:val="pt-BR"/>
        </w:rPr>
        <w:t>段。</w:t>
      </w:r>
    </w:p>
  </w:footnote>
  <w:footnote w:id="277">
    <w:p w:rsidR="00F60D83" w:rsidRPr="00BB6462" w:rsidRDefault="00F60D83" w:rsidP="007C3A88">
      <w:pPr>
        <w:pStyle w:val="a5"/>
        <w:tabs>
          <w:tab w:val="clear" w:pos="418"/>
          <w:tab w:val="right" w:pos="1195"/>
          <w:tab w:val="left" w:pos="1264"/>
          <w:tab w:val="left" w:pos="1695"/>
          <w:tab w:val="left" w:pos="2126"/>
          <w:tab w:val="left" w:pos="2557"/>
        </w:tabs>
        <w:spacing w:after="100"/>
        <w:ind w:left="1264" w:right="1264" w:hanging="431"/>
        <w:rPr>
          <w:lang w:val="pt-BR"/>
        </w:rPr>
      </w:pPr>
      <w:r w:rsidRPr="00BB6462">
        <w:tab/>
      </w:r>
      <w:r w:rsidRPr="00736AA5">
        <w:rPr>
          <w:rStyle w:val="a3"/>
          <w:szCs w:val="21"/>
        </w:rPr>
        <w:footnoteRef/>
      </w:r>
      <w:r w:rsidRPr="00BB6462">
        <w:tab/>
      </w:r>
      <w:r w:rsidRPr="00BB6462">
        <w:rPr>
          <w:lang w:val="pt-BR"/>
        </w:rPr>
        <w:t>Tibi</w:t>
      </w:r>
      <w:r w:rsidRPr="008940CB">
        <w:rPr>
          <w:rFonts w:ascii="楷体_GB2312" w:eastAsia="楷体_GB2312"/>
          <w:lang w:val="pt-BR"/>
        </w:rPr>
        <w:t>诉厄瓜多尔</w:t>
      </w:r>
      <w:r w:rsidRPr="00BB6462">
        <w:rPr>
          <w:lang w:val="pt-BR"/>
        </w:rPr>
        <w:t>，判决</w:t>
      </w:r>
      <w:r>
        <w:rPr>
          <w:rFonts w:hint="eastAsia"/>
          <w:lang w:val="pt-BR"/>
        </w:rPr>
        <w:t>(</w:t>
      </w:r>
      <w:r w:rsidRPr="00BB6462">
        <w:rPr>
          <w:rFonts w:hint="eastAsia"/>
          <w:lang w:val="pt-BR"/>
        </w:rPr>
        <w:t>初步反对意见、实质问题、赔偿及费用</w:t>
      </w:r>
      <w:r>
        <w:rPr>
          <w:rFonts w:hint="eastAsia"/>
          <w:lang w:val="pt-BR"/>
        </w:rPr>
        <w:t>)</w:t>
      </w:r>
      <w:r w:rsidRPr="00BB6462">
        <w:rPr>
          <w:lang w:val="pt-BR"/>
        </w:rPr>
        <w:t>，美洲人权法院</w:t>
      </w:r>
      <w:r w:rsidRPr="00BB6462">
        <w:rPr>
          <w:lang w:val="pt-BR"/>
        </w:rPr>
        <w:t>C</w:t>
      </w:r>
      <w:r w:rsidRPr="00BB6462">
        <w:rPr>
          <w:rFonts w:hint="eastAsia"/>
          <w:lang w:val="pt-BR"/>
        </w:rPr>
        <w:t>辑</w:t>
      </w:r>
      <w:r w:rsidRPr="00BB6462">
        <w:rPr>
          <w:lang w:val="pt-BR"/>
        </w:rPr>
        <w:t>，第</w:t>
      </w:r>
      <w:r w:rsidRPr="00BB6462">
        <w:rPr>
          <w:lang w:val="pt-BR"/>
        </w:rPr>
        <w:t>114</w:t>
      </w:r>
      <w:r w:rsidRPr="00BB6462">
        <w:rPr>
          <w:lang w:val="pt-BR"/>
        </w:rPr>
        <w:t>号，</w:t>
      </w:r>
      <w:r w:rsidRPr="00BB6462">
        <w:rPr>
          <w:lang w:val="pt-BR"/>
        </w:rPr>
        <w:t>2004</w:t>
      </w:r>
      <w:r w:rsidRPr="00BB6462">
        <w:rPr>
          <w:lang w:val="pt-BR"/>
        </w:rPr>
        <w:t>年</w:t>
      </w:r>
      <w:r w:rsidRPr="00BB6462">
        <w:rPr>
          <w:lang w:val="pt-BR"/>
        </w:rPr>
        <w:t>9</w:t>
      </w:r>
      <w:r w:rsidRPr="00BB6462">
        <w:rPr>
          <w:lang w:val="pt-BR"/>
        </w:rPr>
        <w:t>月</w:t>
      </w:r>
      <w:r w:rsidRPr="00BB6462">
        <w:rPr>
          <w:lang w:val="pt-BR"/>
        </w:rPr>
        <w:t>7</w:t>
      </w:r>
      <w:r w:rsidRPr="00BB6462">
        <w:rPr>
          <w:lang w:val="pt-BR"/>
        </w:rPr>
        <w:t>日，第</w:t>
      </w:r>
      <w:r w:rsidRPr="00BB6462">
        <w:rPr>
          <w:lang w:val="pt-BR"/>
        </w:rPr>
        <w:t>159</w:t>
      </w:r>
      <w:r w:rsidRPr="00BB6462">
        <w:rPr>
          <w:lang w:val="pt-BR"/>
        </w:rPr>
        <w:t>段；另见</w:t>
      </w:r>
      <w:r w:rsidRPr="00BB6462">
        <w:rPr>
          <w:lang w:val="pt-BR"/>
        </w:rPr>
        <w:t>Gómez-Paquiyauri Brothers</w:t>
      </w:r>
      <w:r w:rsidRPr="008940CB">
        <w:rPr>
          <w:rFonts w:ascii="楷体_GB2312" w:eastAsia="楷体_GB2312"/>
          <w:lang w:val="pt-BR"/>
        </w:rPr>
        <w:t>诉秘鲁</w:t>
      </w:r>
      <w:r w:rsidRPr="00BB6462">
        <w:rPr>
          <w:lang w:val="pt-BR"/>
        </w:rPr>
        <w:t>，前注</w:t>
      </w:r>
      <w:r w:rsidRPr="00BB6462">
        <w:rPr>
          <w:rFonts w:hint="eastAsia"/>
          <w:lang w:val="pt-BR"/>
        </w:rPr>
        <w:t>27</w:t>
      </w:r>
      <w:r>
        <w:rPr>
          <w:rFonts w:hint="eastAsia"/>
          <w:lang w:val="pt-BR"/>
        </w:rPr>
        <w:t xml:space="preserve">6, </w:t>
      </w:r>
      <w:r w:rsidRPr="00BB6462">
        <w:rPr>
          <w:lang w:val="pt-BR"/>
        </w:rPr>
        <w:t>第</w:t>
      </w:r>
      <w:r w:rsidRPr="00BB6462">
        <w:rPr>
          <w:lang w:val="pt-BR"/>
        </w:rPr>
        <w:t>155</w:t>
      </w:r>
      <w:r w:rsidRPr="00BB6462">
        <w:rPr>
          <w:lang w:val="pt-BR"/>
        </w:rPr>
        <w:t>段。</w:t>
      </w:r>
    </w:p>
  </w:footnote>
  <w:footnote w:id="278">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可与某些特定类别的侵犯人权行为的预防措施进行比较，见消除对妇女歧视委员会第</w:t>
      </w:r>
      <w:r w:rsidRPr="00BB6462">
        <w:rPr>
          <w:lang w:val="pt-BR"/>
        </w:rPr>
        <w:t>6</w:t>
      </w:r>
      <w:r w:rsidRPr="00BB6462">
        <w:rPr>
          <w:lang w:val="pt-BR"/>
        </w:rPr>
        <w:t>号一般性建议，第</w:t>
      </w:r>
      <w:r w:rsidRPr="00BB6462">
        <w:rPr>
          <w:lang w:val="pt-BR"/>
        </w:rPr>
        <w:t>1</w:t>
      </w:r>
      <w:r w:rsidRPr="00BB6462">
        <w:rPr>
          <w:lang w:val="pt-BR"/>
        </w:rPr>
        <w:t>至</w:t>
      </w:r>
      <w:r w:rsidRPr="00BB6462">
        <w:rPr>
          <w:lang w:val="pt-BR"/>
        </w:rPr>
        <w:t>2</w:t>
      </w:r>
      <w:r w:rsidRPr="00BB6462">
        <w:rPr>
          <w:lang w:val="pt-BR"/>
        </w:rPr>
        <w:t>段</w:t>
      </w:r>
      <w:r w:rsidRPr="00BB6462">
        <w:rPr>
          <w:lang w:val="pt-BR"/>
        </w:rPr>
        <w:t>(A/43/38)</w:t>
      </w:r>
      <w:r w:rsidRPr="00BB6462">
        <w:rPr>
          <w:rFonts w:hint="eastAsia"/>
          <w:lang w:val="pt-BR"/>
        </w:rPr>
        <w:t xml:space="preserve"> </w:t>
      </w:r>
      <w:r w:rsidRPr="00BB6462">
        <w:rPr>
          <w:lang w:val="pt-BR"/>
        </w:rPr>
        <w:t>(1988</w:t>
      </w:r>
      <w:r w:rsidRPr="00BB6462">
        <w:rPr>
          <w:lang w:val="pt-BR"/>
        </w:rPr>
        <w:t>年</w:t>
      </w:r>
      <w:r w:rsidRPr="00BB6462">
        <w:rPr>
          <w:lang w:val="pt-BR"/>
        </w:rPr>
        <w:t>)</w:t>
      </w:r>
      <w:r w:rsidRPr="00BB6462">
        <w:rPr>
          <w:lang w:val="pt-BR"/>
        </w:rPr>
        <w:t>；消除对妇女歧视委员会第</w:t>
      </w:r>
      <w:r w:rsidRPr="00BB6462">
        <w:rPr>
          <w:lang w:val="pt-BR"/>
        </w:rPr>
        <w:t>15</w:t>
      </w:r>
      <w:r w:rsidRPr="00BB6462">
        <w:rPr>
          <w:lang w:val="pt-BR"/>
        </w:rPr>
        <w:t>号一般性建议</w:t>
      </w:r>
      <w:r w:rsidRPr="00BB6462">
        <w:rPr>
          <w:lang w:val="pt-BR"/>
        </w:rPr>
        <w:t>(A/45/38)</w:t>
      </w:r>
      <w:r w:rsidRPr="00BB6462">
        <w:rPr>
          <w:rFonts w:hint="eastAsia"/>
          <w:lang w:val="pt-BR"/>
        </w:rPr>
        <w:t xml:space="preserve"> </w:t>
      </w:r>
      <w:r w:rsidRPr="00BB6462">
        <w:rPr>
          <w:lang w:val="pt-BR"/>
        </w:rPr>
        <w:t>(1990</w:t>
      </w:r>
      <w:r w:rsidRPr="00BB6462">
        <w:rPr>
          <w:lang w:val="pt-BR"/>
        </w:rPr>
        <w:t>年</w:t>
      </w:r>
      <w:r w:rsidRPr="00BB6462">
        <w:rPr>
          <w:lang w:val="pt-BR"/>
        </w:rPr>
        <w:t>)</w:t>
      </w:r>
      <w:r w:rsidRPr="00BB6462">
        <w:rPr>
          <w:lang w:val="pt-BR"/>
        </w:rPr>
        <w:t>；消除对妇女歧视委员会第</w:t>
      </w:r>
      <w:r w:rsidRPr="00BB6462">
        <w:rPr>
          <w:lang w:val="pt-BR"/>
        </w:rPr>
        <w:t>19</w:t>
      </w:r>
      <w:r w:rsidRPr="00BB6462">
        <w:rPr>
          <w:lang w:val="pt-BR"/>
        </w:rPr>
        <w:t>号一般性建议第</w:t>
      </w:r>
      <w:r w:rsidRPr="00BB6462">
        <w:rPr>
          <w:lang w:val="pt-BR"/>
        </w:rPr>
        <w:t>9</w:t>
      </w:r>
      <w:r w:rsidRPr="00BB6462">
        <w:rPr>
          <w:lang w:val="pt-BR"/>
        </w:rPr>
        <w:t>段</w:t>
      </w:r>
      <w:r w:rsidRPr="00BB6462">
        <w:rPr>
          <w:lang w:val="pt-BR"/>
        </w:rPr>
        <w:t>(A/47/38)</w:t>
      </w:r>
      <w:r w:rsidRPr="00BB6462">
        <w:rPr>
          <w:rFonts w:hint="eastAsia"/>
          <w:lang w:val="pt-BR"/>
        </w:rPr>
        <w:t xml:space="preserve"> </w:t>
      </w:r>
      <w:r w:rsidRPr="00BB6462">
        <w:rPr>
          <w:lang w:val="pt-BR"/>
        </w:rPr>
        <w:t>(1992</w:t>
      </w:r>
      <w:r w:rsidRPr="00BB6462">
        <w:rPr>
          <w:lang w:val="pt-BR"/>
        </w:rPr>
        <w:t>年</w:t>
      </w:r>
      <w:r w:rsidRPr="00BB6462">
        <w:rPr>
          <w:lang w:val="pt-BR"/>
        </w:rPr>
        <w:t>)</w:t>
      </w:r>
      <w:r w:rsidRPr="00BB6462">
        <w:rPr>
          <w:lang w:val="pt-BR"/>
        </w:rPr>
        <w:t>；儿童权利委员会第</w:t>
      </w:r>
      <w:r w:rsidRPr="00BB6462">
        <w:rPr>
          <w:lang w:val="pt-BR"/>
        </w:rPr>
        <w:t>5</w:t>
      </w:r>
      <w:r w:rsidRPr="00BB6462">
        <w:rPr>
          <w:lang w:val="pt-BR"/>
        </w:rPr>
        <w:t>号一般性建议第</w:t>
      </w:r>
      <w:r w:rsidRPr="00BB6462">
        <w:rPr>
          <w:lang w:val="pt-BR"/>
        </w:rPr>
        <w:t>9</w:t>
      </w:r>
      <w:r w:rsidRPr="00BB6462">
        <w:rPr>
          <w:lang w:val="pt-BR"/>
        </w:rPr>
        <w:t>段</w:t>
      </w:r>
      <w:r w:rsidRPr="00BB6462">
        <w:rPr>
          <w:lang w:val="pt-BR"/>
        </w:rPr>
        <w:t>(CRC/GC/2003/5)</w:t>
      </w:r>
      <w:r w:rsidRPr="00BB6462">
        <w:rPr>
          <w:rFonts w:hint="eastAsia"/>
          <w:lang w:val="pt-BR"/>
        </w:rPr>
        <w:t xml:space="preserve"> </w:t>
      </w:r>
      <w:r w:rsidRPr="00BB6462">
        <w:rPr>
          <w:lang w:val="pt-BR"/>
        </w:rPr>
        <w:t>(2003</w:t>
      </w:r>
      <w:r w:rsidRPr="00BB6462">
        <w:rPr>
          <w:lang w:val="pt-BR"/>
        </w:rPr>
        <w:t>年</w:t>
      </w:r>
      <w:r w:rsidRPr="00BB6462">
        <w:rPr>
          <w:lang w:val="pt-BR"/>
        </w:rPr>
        <w:t>)</w:t>
      </w:r>
      <w:r w:rsidRPr="00BB6462">
        <w:rPr>
          <w:lang w:val="pt-BR"/>
        </w:rPr>
        <w:t>；</w:t>
      </w:r>
      <w:r w:rsidRPr="00BB6462">
        <w:rPr>
          <w:rFonts w:hint="eastAsia"/>
          <w:lang w:val="pt-BR"/>
        </w:rPr>
        <w:t>人权事务委员会第</w:t>
      </w:r>
      <w:r w:rsidRPr="00BB6462">
        <w:rPr>
          <w:rFonts w:hint="eastAsia"/>
          <w:lang w:val="pt-BR"/>
        </w:rPr>
        <w:t>31</w:t>
      </w:r>
      <w:r w:rsidRPr="00BB6462">
        <w:rPr>
          <w:rFonts w:hint="eastAsia"/>
          <w:lang w:val="pt-BR"/>
        </w:rPr>
        <w:t>号一般性意见</w:t>
      </w:r>
      <w:r w:rsidRPr="00BB6462">
        <w:t>(CCPR/C/Rev.1/Add.13) (2004)</w:t>
      </w:r>
      <w:r w:rsidRPr="00BB6462">
        <w:rPr>
          <w:rFonts w:hint="eastAsia"/>
        </w:rPr>
        <w:t>；</w:t>
      </w:r>
      <w:r w:rsidRPr="00BB6462">
        <w:rPr>
          <w:lang w:val="pt-BR"/>
        </w:rPr>
        <w:t>儿童权利委员会第</w:t>
      </w:r>
      <w:r w:rsidRPr="00BB6462">
        <w:rPr>
          <w:lang w:val="pt-BR"/>
        </w:rPr>
        <w:t>6</w:t>
      </w:r>
      <w:r w:rsidRPr="00BB6462">
        <w:rPr>
          <w:lang w:val="pt-BR"/>
        </w:rPr>
        <w:t>号一般性建议第</w:t>
      </w:r>
      <w:r w:rsidRPr="00BB6462">
        <w:rPr>
          <w:lang w:val="pt-BR"/>
        </w:rPr>
        <w:t>50</w:t>
      </w:r>
      <w:r w:rsidRPr="00BB6462">
        <w:rPr>
          <w:lang w:val="pt-BR"/>
        </w:rPr>
        <w:t>至</w:t>
      </w:r>
      <w:r w:rsidRPr="00BB6462">
        <w:rPr>
          <w:lang w:val="pt-BR"/>
        </w:rPr>
        <w:t>63</w:t>
      </w:r>
      <w:r w:rsidRPr="00BB6462">
        <w:rPr>
          <w:lang w:val="pt-BR"/>
        </w:rPr>
        <w:t>段</w:t>
      </w:r>
      <w:r w:rsidRPr="00BB6462">
        <w:rPr>
          <w:lang w:val="pt-BR"/>
        </w:rPr>
        <w:t>(CRC/GC/2005/6)</w:t>
      </w:r>
      <w:r w:rsidRPr="00BB6462">
        <w:rPr>
          <w:rFonts w:hint="eastAsia"/>
          <w:lang w:val="pt-BR"/>
        </w:rPr>
        <w:t xml:space="preserve"> </w:t>
      </w:r>
      <w:r w:rsidRPr="00BB6462">
        <w:rPr>
          <w:lang w:val="pt-BR"/>
        </w:rPr>
        <w:t>(2005</w:t>
      </w:r>
      <w:r w:rsidRPr="00BB6462">
        <w:rPr>
          <w:lang w:val="pt-BR"/>
        </w:rPr>
        <w:t>年</w:t>
      </w:r>
      <w:r w:rsidRPr="00BB6462">
        <w:rPr>
          <w:lang w:val="pt-BR"/>
        </w:rPr>
        <w:t>)</w:t>
      </w:r>
      <w:r w:rsidRPr="00BB6462">
        <w:rPr>
          <w:lang w:val="pt-BR"/>
        </w:rPr>
        <w:t>；消除种族歧视委员会第</w:t>
      </w:r>
      <w:r w:rsidRPr="00BB6462">
        <w:rPr>
          <w:lang w:val="pt-BR"/>
        </w:rPr>
        <w:t>31</w:t>
      </w:r>
      <w:r w:rsidRPr="00BB6462">
        <w:rPr>
          <w:lang w:val="pt-BR"/>
        </w:rPr>
        <w:t>号一般性建议第</w:t>
      </w:r>
      <w:r w:rsidRPr="00BB6462">
        <w:rPr>
          <w:lang w:val="pt-BR"/>
        </w:rPr>
        <w:t>5</w:t>
      </w:r>
      <w:r w:rsidRPr="00BB6462">
        <w:rPr>
          <w:lang w:val="pt-BR"/>
        </w:rPr>
        <w:t>段</w:t>
      </w:r>
      <w:r w:rsidRPr="00BB6462">
        <w:rPr>
          <w:lang w:val="pt-BR"/>
        </w:rPr>
        <w:t>(CERD/C/GC/31/Rev.4)</w:t>
      </w:r>
      <w:r w:rsidRPr="00BB6462">
        <w:rPr>
          <w:rFonts w:hint="eastAsia"/>
          <w:lang w:val="pt-BR"/>
        </w:rPr>
        <w:t xml:space="preserve"> </w:t>
      </w:r>
      <w:r w:rsidRPr="00BB6462">
        <w:rPr>
          <w:lang w:val="pt-BR"/>
        </w:rPr>
        <w:t>(2005</w:t>
      </w:r>
      <w:r w:rsidRPr="00BB6462">
        <w:rPr>
          <w:lang w:val="pt-BR"/>
        </w:rPr>
        <w:t>年</w:t>
      </w:r>
      <w:r w:rsidRPr="00BB6462">
        <w:rPr>
          <w:lang w:val="pt-BR"/>
        </w:rPr>
        <w:t>)</w:t>
      </w:r>
      <w:r w:rsidRPr="00BB6462">
        <w:rPr>
          <w:lang w:val="pt-BR"/>
        </w:rPr>
        <w:t>；另见《严重违反国际人权法和严重违反国际人道主义法行为受害人获得补救和赔偿的权利基本原则和导则》，大会</w:t>
      </w:r>
      <w:r w:rsidRPr="00BB6462">
        <w:rPr>
          <w:lang w:val="pt-BR"/>
        </w:rPr>
        <w:t>2005</w:t>
      </w:r>
      <w:r w:rsidRPr="00BB6462">
        <w:rPr>
          <w:lang w:val="pt-BR"/>
        </w:rPr>
        <w:t>年</w:t>
      </w:r>
      <w:r w:rsidRPr="00BB6462">
        <w:rPr>
          <w:lang w:val="pt-BR"/>
        </w:rPr>
        <w:t>12</w:t>
      </w:r>
      <w:r w:rsidRPr="00BB6462">
        <w:rPr>
          <w:lang w:val="pt-BR"/>
        </w:rPr>
        <w:t>月</w:t>
      </w:r>
      <w:r w:rsidRPr="00BB6462">
        <w:rPr>
          <w:lang w:val="pt-BR"/>
        </w:rPr>
        <w:t>16</w:t>
      </w:r>
      <w:r w:rsidRPr="00BB6462">
        <w:rPr>
          <w:lang w:val="pt-BR"/>
        </w:rPr>
        <w:t>日第</w:t>
      </w:r>
      <w:r w:rsidRPr="00BB6462">
        <w:rPr>
          <w:lang w:val="pt-BR"/>
        </w:rPr>
        <w:t>60/147</w:t>
      </w:r>
      <w:r w:rsidRPr="00BB6462">
        <w:rPr>
          <w:lang w:val="pt-BR"/>
        </w:rPr>
        <w:t>号决议附件，</w:t>
      </w:r>
      <w:r w:rsidRPr="00BB6462">
        <w:t>A/RES/60/147</w:t>
      </w:r>
      <w:r w:rsidRPr="00BB6462">
        <w:rPr>
          <w:rFonts w:hint="eastAsia"/>
        </w:rPr>
        <w:t>号文件，</w:t>
      </w:r>
      <w:r w:rsidRPr="00BB6462">
        <w:rPr>
          <w:lang w:val="pt-BR"/>
        </w:rPr>
        <w:t>第</w:t>
      </w:r>
      <w:r w:rsidRPr="00BB6462">
        <w:rPr>
          <w:lang w:val="pt-BR"/>
        </w:rPr>
        <w:t>3(a)</w:t>
      </w:r>
      <w:r w:rsidRPr="00BB6462">
        <w:rPr>
          <w:lang w:val="pt-BR"/>
        </w:rPr>
        <w:t>段</w:t>
      </w:r>
      <w:r w:rsidRPr="00BB6462">
        <w:rPr>
          <w:lang w:val="pt-BR"/>
        </w:rPr>
        <w:t>(</w:t>
      </w:r>
      <w:r w:rsidRPr="00BB6462">
        <w:rPr>
          <w:rFonts w:hint="eastAsia"/>
          <w:lang w:val="pt-BR"/>
        </w:rPr>
        <w:t>“</w:t>
      </w:r>
      <w:r w:rsidRPr="00BB6462">
        <w:rPr>
          <w:lang w:val="pt-BR"/>
        </w:rPr>
        <w:t>按相应法律体系的规定尊重、确保尊重和实施国际人权法和国际人道主义法的义务，除其他外，包括下列义务：采取适当的立法和行政措施及其他适当措施，防止违法行为发生</w:t>
      </w:r>
      <w:r w:rsidRPr="00BB6462">
        <w:rPr>
          <w:rFonts w:hint="eastAsia"/>
          <w:lang w:val="pt-BR"/>
        </w:rPr>
        <w:t>”</w:t>
      </w:r>
      <w:r w:rsidRPr="00BB6462">
        <w:rPr>
          <w:lang w:val="pt-BR"/>
        </w:rPr>
        <w:t>。</w:t>
      </w:r>
      <w:r w:rsidRPr="00BB6462">
        <w:rPr>
          <w:lang w:val="pt-BR"/>
        </w:rPr>
        <w:t>)</w:t>
      </w:r>
    </w:p>
  </w:footnote>
  <w:footnote w:id="279">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w:t>
      </w:r>
      <w:r w:rsidRPr="00BB6462">
        <w:rPr>
          <w:lang w:val="pt-BR"/>
        </w:rPr>
        <w:t>2001</w:t>
      </w:r>
      <w:r w:rsidRPr="00BB6462">
        <w:rPr>
          <w:rFonts w:hint="eastAsia"/>
          <w:lang w:val="pt-BR"/>
        </w:rPr>
        <w:t>年……</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150</w:t>
      </w:r>
      <w:r w:rsidRPr="00BB6462">
        <w:rPr>
          <w:lang w:val="pt-BR"/>
        </w:rPr>
        <w:t>至</w:t>
      </w:r>
      <w:r w:rsidRPr="00BB6462">
        <w:rPr>
          <w:lang w:val="pt-BR"/>
        </w:rPr>
        <w:t>151</w:t>
      </w:r>
      <w:r w:rsidRPr="00BB6462">
        <w:rPr>
          <w:lang w:val="pt-BR"/>
        </w:rPr>
        <w:t>页第</w:t>
      </w:r>
      <w:r w:rsidRPr="00BB6462">
        <w:rPr>
          <w:lang w:val="pt-BR"/>
        </w:rPr>
        <w:t>(7)</w:t>
      </w:r>
      <w:r w:rsidRPr="00BB6462">
        <w:rPr>
          <w:lang w:val="pt-BR"/>
        </w:rPr>
        <w:t>至</w:t>
      </w:r>
      <w:r w:rsidRPr="00BB6462">
        <w:rPr>
          <w:lang w:val="pt-BR"/>
        </w:rPr>
        <w:t>(12)</w:t>
      </w:r>
      <w:r w:rsidRPr="00BB6462">
        <w:rPr>
          <w:lang w:val="pt-BR"/>
        </w:rPr>
        <w:t>段</w:t>
      </w:r>
      <w:r w:rsidRPr="00BB6462">
        <w:rPr>
          <w:lang w:val="pt-BR"/>
        </w:rPr>
        <w:t>(</w:t>
      </w:r>
      <w:r w:rsidRPr="00BB6462">
        <w:rPr>
          <w:lang w:val="pt-BR"/>
        </w:rPr>
        <w:t>对《关于预防危险活动引起跨界损害的条款草案》第</w:t>
      </w:r>
      <w:r w:rsidRPr="00BB6462">
        <w:rPr>
          <w:lang w:val="pt-BR"/>
        </w:rPr>
        <w:t>1</w:t>
      </w:r>
      <w:r w:rsidRPr="00BB6462">
        <w:rPr>
          <w:lang w:val="pt-BR"/>
        </w:rPr>
        <w:t>条草案的评注</w:t>
      </w:r>
      <w:r w:rsidRPr="00BB6462">
        <w:rPr>
          <w:lang w:val="pt-BR"/>
        </w:rPr>
        <w:t>)</w:t>
      </w:r>
      <w:r w:rsidRPr="00BB6462">
        <w:rPr>
          <w:lang w:val="pt-BR"/>
        </w:rPr>
        <w:t>。</w:t>
      </w:r>
    </w:p>
  </w:footnote>
  <w:footnote w:id="280">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pPr>
      <w:r w:rsidRPr="00BB6462">
        <w:tab/>
      </w:r>
      <w:r w:rsidRPr="00736AA5">
        <w:rPr>
          <w:rStyle w:val="a3"/>
          <w:szCs w:val="21"/>
        </w:rPr>
        <w:footnoteRef/>
      </w:r>
      <w:r w:rsidRPr="00BB6462">
        <w:tab/>
      </w:r>
      <w:r w:rsidRPr="00BB6462">
        <w:rPr>
          <w:lang w:val="pt-BR"/>
        </w:rPr>
        <w:t>同上，第</w:t>
      </w:r>
      <w:r w:rsidRPr="00BB6462">
        <w:rPr>
          <w:lang w:val="pt-BR"/>
        </w:rPr>
        <w:t>151</w:t>
      </w:r>
      <w:r w:rsidRPr="00BB6462">
        <w:rPr>
          <w:lang w:val="pt-BR"/>
        </w:rPr>
        <w:t>页第</w:t>
      </w:r>
      <w:r w:rsidRPr="00BB6462">
        <w:rPr>
          <w:lang w:val="pt-BR"/>
        </w:rPr>
        <w:t>(12)</w:t>
      </w:r>
      <w:r w:rsidRPr="00BB6462">
        <w:rPr>
          <w:lang w:val="pt-BR"/>
        </w:rPr>
        <w:t>段</w:t>
      </w:r>
      <w:r w:rsidRPr="00BB6462">
        <w:rPr>
          <w:lang w:val="pt-BR"/>
        </w:rPr>
        <w:t>(</w:t>
      </w:r>
      <w:r w:rsidRPr="00BB6462">
        <w:rPr>
          <w:lang w:val="pt-BR"/>
        </w:rPr>
        <w:t>引述《南非不顾安全理事会第</w:t>
      </w:r>
      <w:r w:rsidRPr="00BB6462">
        <w:rPr>
          <w:lang w:val="pt-BR"/>
        </w:rPr>
        <w:t>276(1970)</w:t>
      </w:r>
      <w:r w:rsidRPr="00BB6462">
        <w:rPr>
          <w:lang w:val="pt-BR"/>
        </w:rPr>
        <w:t>号决议继续留驻纳米比亚</w:t>
      </w:r>
      <w:r w:rsidRPr="00BB6462">
        <w:rPr>
          <w:lang w:val="pt-BR"/>
        </w:rPr>
        <w:t>(</w:t>
      </w:r>
      <w:r w:rsidRPr="00BB6462">
        <w:rPr>
          <w:lang w:val="pt-BR"/>
        </w:rPr>
        <w:t>西南非洲</w:t>
      </w:r>
      <w:r w:rsidRPr="00BB6462">
        <w:rPr>
          <w:lang w:val="pt-BR"/>
        </w:rPr>
        <w:t>)</w:t>
      </w:r>
      <w:r w:rsidRPr="00BB6462">
        <w:rPr>
          <w:lang w:val="pt-BR"/>
        </w:rPr>
        <w:t>对各国的法律后果》，《咨询意见》，《</w:t>
      </w:r>
      <w:r w:rsidRPr="00BB6462">
        <w:rPr>
          <w:lang w:val="pt-BR"/>
        </w:rPr>
        <w:t>1971</w:t>
      </w:r>
      <w:r w:rsidRPr="00BB6462">
        <w:rPr>
          <w:lang w:val="pt-BR"/>
        </w:rPr>
        <w:t>年国际法院判例汇编》，第</w:t>
      </w:r>
      <w:r w:rsidRPr="00BB6462">
        <w:rPr>
          <w:lang w:val="pt-BR"/>
        </w:rPr>
        <w:t>16</w:t>
      </w:r>
      <w:r w:rsidRPr="00BB6462">
        <w:rPr>
          <w:lang w:val="pt-BR"/>
        </w:rPr>
        <w:t>页，见第</w:t>
      </w:r>
      <w:r w:rsidRPr="00BB6462">
        <w:rPr>
          <w:lang w:val="pt-BR"/>
        </w:rPr>
        <w:t>54</w:t>
      </w:r>
      <w:r w:rsidRPr="00BB6462">
        <w:rPr>
          <w:lang w:val="pt-BR"/>
        </w:rPr>
        <w:t>页第</w:t>
      </w:r>
      <w:r w:rsidRPr="00BB6462">
        <w:rPr>
          <w:lang w:val="pt-BR"/>
        </w:rPr>
        <w:t>118</w:t>
      </w:r>
      <w:r w:rsidRPr="00BB6462">
        <w:rPr>
          <w:lang w:val="pt-BR"/>
        </w:rPr>
        <w:t>段</w:t>
      </w:r>
      <w:r w:rsidRPr="00BB6462">
        <w:rPr>
          <w:lang w:val="pt-BR"/>
        </w:rPr>
        <w:t>)</w:t>
      </w:r>
      <w:r w:rsidRPr="00BB6462">
        <w:rPr>
          <w:lang w:val="pt-BR"/>
        </w:rPr>
        <w:t>；另见《</w:t>
      </w:r>
      <w:r w:rsidRPr="00BB6462">
        <w:rPr>
          <w:lang w:val="pt-BR"/>
        </w:rPr>
        <w:t>2006</w:t>
      </w:r>
      <w:r w:rsidRPr="00BB6462">
        <w:rPr>
          <w:lang w:val="pt-BR"/>
        </w:rPr>
        <w:t>年</w:t>
      </w:r>
      <w:r w:rsidRPr="00BB6462">
        <w:rPr>
          <w:rFonts w:hint="eastAsia"/>
          <w:lang w:val="pt-BR"/>
        </w:rPr>
        <w:t>……</w:t>
      </w:r>
      <w:r w:rsidRPr="00BB6462">
        <w:rPr>
          <w:lang w:val="pt-BR"/>
        </w:rPr>
        <w:t>年鉴》，第二卷</w:t>
      </w:r>
      <w:r w:rsidRPr="00BB6462">
        <w:rPr>
          <w:lang w:val="pt-BR"/>
        </w:rPr>
        <w:t>(</w:t>
      </w:r>
      <w:r w:rsidRPr="00BB6462">
        <w:rPr>
          <w:lang w:val="pt-BR"/>
        </w:rPr>
        <w:t>第二部分</w:t>
      </w:r>
      <w:r w:rsidRPr="00BB6462">
        <w:rPr>
          <w:lang w:val="pt-BR"/>
        </w:rPr>
        <w:t>)</w:t>
      </w:r>
      <w:r w:rsidRPr="00BB6462">
        <w:rPr>
          <w:lang w:val="pt-BR"/>
        </w:rPr>
        <w:t>，第</w:t>
      </w:r>
      <w:r w:rsidRPr="00BB6462">
        <w:rPr>
          <w:lang w:val="pt-BR"/>
        </w:rPr>
        <w:t>70</w:t>
      </w:r>
      <w:r w:rsidRPr="00BB6462">
        <w:rPr>
          <w:lang w:val="pt-BR"/>
        </w:rPr>
        <w:t>页第</w:t>
      </w:r>
      <w:r w:rsidRPr="00BB6462">
        <w:rPr>
          <w:lang w:val="pt-BR"/>
        </w:rPr>
        <w:t>(25)</w:t>
      </w:r>
      <w:r w:rsidRPr="00BB6462">
        <w:rPr>
          <w:lang w:val="pt-BR"/>
        </w:rPr>
        <w:t>段</w:t>
      </w:r>
      <w:r w:rsidRPr="00BB6462">
        <w:rPr>
          <w:lang w:val="pt-BR"/>
        </w:rPr>
        <w:t>(</w:t>
      </w:r>
      <w:r w:rsidRPr="00BB6462">
        <w:rPr>
          <w:lang w:val="pt-BR"/>
        </w:rPr>
        <w:t>对《关于危险活动造成的跨界损害的损失分配的原则草案》第</w:t>
      </w:r>
      <w:r w:rsidRPr="00BB6462">
        <w:rPr>
          <w:lang w:val="pt-BR"/>
        </w:rPr>
        <w:t>2</w:t>
      </w:r>
      <w:r w:rsidRPr="00BB6462">
        <w:rPr>
          <w:lang w:val="pt-BR"/>
        </w:rPr>
        <w:t>条原则草案的评注</w:t>
      </w:r>
      <w:r w:rsidRPr="00BB6462">
        <w:rPr>
          <w:lang w:val="pt-BR"/>
        </w:rPr>
        <w:t>)</w:t>
      </w:r>
      <w:r w:rsidRPr="00BB6462">
        <w:rPr>
          <w:lang w:val="pt-BR"/>
        </w:rPr>
        <w:t>；《使用或威胁使用核武器的合法性》，《咨询意见》，《</w:t>
      </w:r>
      <w:r w:rsidRPr="00BB6462">
        <w:rPr>
          <w:lang w:val="pt-BR"/>
        </w:rPr>
        <w:t>1996</w:t>
      </w:r>
      <w:r w:rsidRPr="00BB6462">
        <w:rPr>
          <w:lang w:val="pt-BR"/>
        </w:rPr>
        <w:t>年国际法院判例汇编》，第</w:t>
      </w:r>
      <w:r w:rsidRPr="00BB6462">
        <w:rPr>
          <w:lang w:val="pt-BR"/>
        </w:rPr>
        <w:t>226</w:t>
      </w:r>
      <w:r w:rsidRPr="00BB6462">
        <w:rPr>
          <w:lang w:val="pt-BR"/>
        </w:rPr>
        <w:t>页，见第</w:t>
      </w:r>
      <w:r w:rsidRPr="00BB6462">
        <w:rPr>
          <w:lang w:val="pt-BR"/>
        </w:rPr>
        <w:t>242</w:t>
      </w:r>
      <w:r w:rsidRPr="00BB6462">
        <w:rPr>
          <w:lang w:val="pt-BR"/>
        </w:rPr>
        <w:t>页第</w:t>
      </w:r>
      <w:r w:rsidRPr="00BB6462">
        <w:rPr>
          <w:lang w:val="pt-BR"/>
        </w:rPr>
        <w:t>29</w:t>
      </w:r>
      <w:r w:rsidRPr="00BB6462">
        <w:rPr>
          <w:lang w:val="pt-BR"/>
        </w:rPr>
        <w:t>段</w:t>
      </w:r>
      <w:r w:rsidRPr="00BB6462">
        <w:rPr>
          <w:lang w:val="pt-BR"/>
        </w:rPr>
        <w:t>(</w:t>
      </w:r>
      <w:r w:rsidRPr="00BB6462">
        <w:rPr>
          <w:lang w:val="pt-BR"/>
        </w:rPr>
        <w:t>提到各国应履行一般义务以确保在</w:t>
      </w:r>
      <w:r w:rsidRPr="00BB6462">
        <w:rPr>
          <w:rFonts w:hint="eastAsia"/>
          <w:lang w:val="pt-BR"/>
        </w:rPr>
        <w:t>“</w:t>
      </w:r>
      <w:r w:rsidRPr="00BB6462">
        <w:rPr>
          <w:lang w:val="pt-BR"/>
        </w:rPr>
        <w:t>其管辖和控制范围内</w:t>
      </w:r>
      <w:r w:rsidRPr="00BB6462">
        <w:rPr>
          <w:rFonts w:hint="eastAsia"/>
          <w:lang w:val="pt-BR"/>
        </w:rPr>
        <w:t>”</w:t>
      </w:r>
      <w:r w:rsidRPr="00BB6462">
        <w:rPr>
          <w:lang w:val="pt-BR"/>
        </w:rPr>
        <w:t>的活动尊重其他国家或国家控制范围以外地区的环境</w:t>
      </w:r>
      <w:r w:rsidRPr="00BB6462">
        <w:rPr>
          <w:lang w:val="pt-BR"/>
        </w:rPr>
        <w:t>)</w:t>
      </w:r>
      <w:r w:rsidRPr="00BB6462">
        <w:rPr>
          <w:lang w:val="pt-BR"/>
        </w:rPr>
        <w:t>。</w:t>
      </w:r>
    </w:p>
  </w:footnote>
  <w:footnote w:id="281">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《联合国宪章》，</w:t>
      </w:r>
      <w:r w:rsidRPr="00BB6462">
        <w:rPr>
          <w:lang w:val="pt-BR"/>
        </w:rPr>
        <w:t>1945</w:t>
      </w:r>
      <w:r w:rsidRPr="00BB6462">
        <w:rPr>
          <w:lang w:val="pt-BR"/>
        </w:rPr>
        <w:t>年</w:t>
      </w:r>
      <w:r w:rsidRPr="00BB6462">
        <w:rPr>
          <w:lang w:val="pt-BR"/>
        </w:rPr>
        <w:t>6</w:t>
      </w:r>
      <w:r w:rsidRPr="00BB6462">
        <w:rPr>
          <w:lang w:val="pt-BR"/>
        </w:rPr>
        <w:t>月</w:t>
      </w:r>
      <w:r w:rsidRPr="00BB6462">
        <w:rPr>
          <w:lang w:val="pt-BR"/>
        </w:rPr>
        <w:t>26</w:t>
      </w:r>
      <w:r w:rsidRPr="00BB6462">
        <w:rPr>
          <w:lang w:val="pt-BR"/>
        </w:rPr>
        <w:t>日订于旧金山。</w:t>
      </w:r>
    </w:p>
  </w:footnote>
  <w:footnote w:id="282">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《关于侦察、逮捕、引渡和惩治战争罪犯和危害人类罪犯的国际合作原则》，大会</w:t>
      </w:r>
      <w:r w:rsidRPr="00BB6462">
        <w:rPr>
          <w:lang w:val="pt-BR"/>
        </w:rPr>
        <w:t>1973</w:t>
      </w:r>
      <w:r w:rsidRPr="00BB6462">
        <w:rPr>
          <w:lang w:val="pt-BR"/>
        </w:rPr>
        <w:t>年</w:t>
      </w:r>
      <w:r w:rsidRPr="00BB6462">
        <w:rPr>
          <w:lang w:val="pt-BR"/>
        </w:rPr>
        <w:t>12</w:t>
      </w:r>
      <w:r w:rsidRPr="00BB6462">
        <w:rPr>
          <w:lang w:val="pt-BR"/>
        </w:rPr>
        <w:t>月</w:t>
      </w:r>
      <w:r w:rsidRPr="00BB6462">
        <w:rPr>
          <w:lang w:val="pt-BR"/>
        </w:rPr>
        <w:t>3</w:t>
      </w:r>
      <w:r w:rsidRPr="00BB6462">
        <w:rPr>
          <w:lang w:val="pt-BR"/>
        </w:rPr>
        <w:t>日第</w:t>
      </w:r>
      <w:r w:rsidRPr="00BB6462">
        <w:rPr>
          <w:spacing w:val="-4"/>
          <w:lang w:val="pt-BR"/>
        </w:rPr>
        <w:t>3074(XXVIII)</w:t>
      </w:r>
      <w:r w:rsidRPr="00BB6462">
        <w:rPr>
          <w:lang w:val="pt-BR"/>
        </w:rPr>
        <w:t>号决议，第</w:t>
      </w:r>
      <w:r w:rsidRPr="00BB6462">
        <w:rPr>
          <w:lang w:val="pt-BR"/>
        </w:rPr>
        <w:t>3</w:t>
      </w:r>
      <w:r w:rsidRPr="00BB6462">
        <w:rPr>
          <w:lang w:val="pt-BR"/>
        </w:rPr>
        <w:t>段。</w:t>
      </w:r>
    </w:p>
  </w:footnote>
  <w:footnote w:id="283">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rFonts w:eastAsia="MS Mincho"/>
          <w:szCs w:val="21"/>
        </w:rPr>
        <w:footnoteRef/>
      </w:r>
      <w:r w:rsidRPr="00BB6462">
        <w:tab/>
      </w:r>
      <w:r w:rsidRPr="00BB6462">
        <w:rPr>
          <w:lang w:val="pt-BR"/>
        </w:rPr>
        <w:t>《禁止酷刑公约》，前注</w:t>
      </w:r>
      <w:r w:rsidRPr="00BB6462">
        <w:rPr>
          <w:rFonts w:hint="eastAsia"/>
          <w:lang w:val="pt-BR"/>
        </w:rPr>
        <w:t>226</w:t>
      </w:r>
      <w:r w:rsidRPr="00BB6462">
        <w:rPr>
          <w:lang w:val="pt-BR"/>
        </w:rPr>
        <w:t>。第</w:t>
      </w:r>
      <w:r w:rsidRPr="00BB6462">
        <w:rPr>
          <w:lang w:val="pt-BR"/>
        </w:rPr>
        <w:t>2</w:t>
      </w:r>
      <w:r w:rsidRPr="00BB6462">
        <w:rPr>
          <w:lang w:val="pt-BR"/>
        </w:rPr>
        <w:t>条第</w:t>
      </w:r>
      <w:r w:rsidRPr="00BB6462">
        <w:rPr>
          <w:lang w:val="pt-BR"/>
        </w:rPr>
        <w:t>2</w:t>
      </w:r>
      <w:r w:rsidRPr="00BB6462">
        <w:rPr>
          <w:lang w:val="pt-BR"/>
        </w:rPr>
        <w:t>款规定：</w:t>
      </w:r>
      <w:r w:rsidRPr="00BB6462">
        <w:rPr>
          <w:rFonts w:hint="eastAsia"/>
          <w:lang w:val="pt-BR"/>
        </w:rPr>
        <w:t>“</w:t>
      </w:r>
      <w:r w:rsidRPr="00BB6462">
        <w:rPr>
          <w:lang w:val="pt-BR"/>
        </w:rPr>
        <w:t>任何特殊情况，不论为战争状态、战争威胁、国内政局动荡或任何其他社会紧急状态，均不得援引为施行酷刑的理由。</w:t>
      </w:r>
      <w:r w:rsidRPr="00BB6462">
        <w:rPr>
          <w:rFonts w:hint="eastAsia"/>
          <w:lang w:val="pt-BR"/>
        </w:rPr>
        <w:t>”</w:t>
      </w:r>
    </w:p>
  </w:footnote>
  <w:footnote w:id="284">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《强迫失踪公约》，前注</w:t>
      </w:r>
      <w:r w:rsidRPr="00BB6462">
        <w:rPr>
          <w:rFonts w:hint="eastAsia"/>
          <w:lang w:val="pt-BR"/>
        </w:rPr>
        <w:t>229</w:t>
      </w:r>
      <w:r w:rsidRPr="00BB6462">
        <w:rPr>
          <w:lang w:val="pt-BR"/>
        </w:rPr>
        <w:t>。第一条第二款规定：</w:t>
      </w:r>
      <w:r w:rsidRPr="00BB6462">
        <w:rPr>
          <w:rFonts w:hint="eastAsia"/>
          <w:lang w:val="pt-BR"/>
        </w:rPr>
        <w:t>“</w:t>
      </w:r>
      <w:r w:rsidRPr="00BB6462">
        <w:rPr>
          <w:lang w:val="pt-BR"/>
        </w:rPr>
        <w:t>任何情况，不论是处于战争状态或受到战争威胁、国内政治动乱，还是任何其他公共紧急状态，均不得用来作为强迫失踪的辩护理由。</w:t>
      </w:r>
      <w:r w:rsidRPr="00BB6462">
        <w:rPr>
          <w:rFonts w:hint="eastAsia"/>
          <w:lang w:val="pt-BR"/>
        </w:rPr>
        <w:t>”</w:t>
      </w:r>
    </w:p>
  </w:footnote>
  <w:footnote w:id="285">
    <w:p w:rsidR="00F60D83" w:rsidRPr="00BB6462" w:rsidRDefault="00F60D83" w:rsidP="007C3A88">
      <w:pPr>
        <w:pStyle w:val="a5"/>
        <w:tabs>
          <w:tab w:val="clear" w:pos="418"/>
          <w:tab w:val="right" w:pos="1195"/>
          <w:tab w:val="left" w:pos="1264"/>
          <w:tab w:val="left" w:pos="1695"/>
          <w:tab w:val="left" w:pos="2126"/>
          <w:tab w:val="left" w:pos="2557"/>
        </w:tabs>
        <w:ind w:left="1264" w:right="1264" w:hanging="432"/>
        <w:rPr>
          <w:lang w:val="pt-BR"/>
        </w:rPr>
      </w:pPr>
      <w:r w:rsidRPr="00BB6462">
        <w:tab/>
      </w:r>
      <w:r w:rsidRPr="00736AA5">
        <w:rPr>
          <w:rStyle w:val="a3"/>
          <w:szCs w:val="21"/>
        </w:rPr>
        <w:footnoteRef/>
      </w:r>
      <w:r w:rsidRPr="00BB6462">
        <w:tab/>
      </w:r>
      <w:r w:rsidRPr="00BB6462">
        <w:rPr>
          <w:lang w:val="pt-BR"/>
        </w:rPr>
        <w:t>《美洲防止和惩处酷刑公约》，前注</w:t>
      </w:r>
      <w:r w:rsidRPr="00BB6462">
        <w:rPr>
          <w:rFonts w:hint="eastAsia"/>
          <w:lang w:val="pt-BR"/>
        </w:rPr>
        <w:t>23</w:t>
      </w:r>
      <w:r>
        <w:rPr>
          <w:rFonts w:hint="eastAsia"/>
          <w:lang w:val="pt-BR"/>
        </w:rPr>
        <w:t xml:space="preserve">6, </w:t>
      </w:r>
      <w:r w:rsidRPr="00BB6462">
        <w:rPr>
          <w:lang w:val="pt-BR"/>
        </w:rPr>
        <w:t>第</w:t>
      </w:r>
      <w:r w:rsidRPr="00BB6462">
        <w:rPr>
          <w:lang w:val="pt-BR"/>
        </w:rPr>
        <w:t>5</w:t>
      </w:r>
      <w:r w:rsidRPr="00BB6462">
        <w:rPr>
          <w:lang w:val="pt-BR"/>
        </w:rPr>
        <w:t>条规定：</w:t>
      </w:r>
      <w:r w:rsidRPr="00BB6462">
        <w:rPr>
          <w:rFonts w:hint="eastAsia"/>
          <w:lang w:val="pt-BR"/>
        </w:rPr>
        <w:t>“</w:t>
      </w:r>
      <w:r w:rsidRPr="00BB6462">
        <w:rPr>
          <w:lang w:val="pt-BR"/>
        </w:rPr>
        <w:t>存在诸如战争状态、战争威胁、戒严状态或紧急状态、国内骚乱或动乱、中止宪法保障、国内政局不稳等情况，或者其他公共紧急状态或灾难，均不得援引或容许为酷刑犯罪的理由。</w:t>
      </w:r>
      <w:r w:rsidRPr="00BB6462">
        <w:rPr>
          <w:rFonts w:hint="eastAsia"/>
          <w:lang w:val="pt-BR"/>
        </w:rPr>
        <w:t>”</w:t>
      </w:r>
    </w:p>
  </w:footnote>
  <w:footnote w:id="28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t>2008</w:t>
      </w:r>
      <w:r w:rsidRPr="00BB6462">
        <w:rPr>
          <w:rFonts w:hint="eastAsia"/>
        </w:rPr>
        <w:t>年</w:t>
      </w:r>
      <w:r w:rsidRPr="00BB6462">
        <w:rPr>
          <w:rFonts w:hint="eastAsia"/>
        </w:rPr>
        <w:t>8</w:t>
      </w:r>
      <w:r w:rsidRPr="00BB6462">
        <w:rPr>
          <w:rFonts w:hint="eastAsia"/>
        </w:rPr>
        <w:t>月</w:t>
      </w:r>
      <w:r w:rsidRPr="00BB6462">
        <w:rPr>
          <w:rFonts w:hint="eastAsia"/>
        </w:rPr>
        <w:t>8</w:t>
      </w:r>
      <w:r w:rsidRPr="00BB6462">
        <w:rPr>
          <w:rFonts w:hint="eastAsia"/>
        </w:rPr>
        <w:t>日第</w:t>
      </w:r>
      <w:r w:rsidRPr="00BB6462">
        <w:t>2997</w:t>
      </w:r>
      <w:r w:rsidRPr="00BB6462">
        <w:rPr>
          <w:rFonts w:hint="eastAsia"/>
        </w:rPr>
        <w:t>次会议。见《大会正式记录，第六十三届会议，补编第</w:t>
      </w:r>
      <w:r w:rsidRPr="00BB6462">
        <w:t>10</w:t>
      </w:r>
      <w:r w:rsidRPr="00BB6462">
        <w:rPr>
          <w:rFonts w:hint="eastAsia"/>
        </w:rPr>
        <w:t>号》</w:t>
      </w:r>
      <w:r w:rsidRPr="00BB6462">
        <w:t>(A/63/10)</w:t>
      </w:r>
      <w:r w:rsidRPr="00BB6462">
        <w:rPr>
          <w:rFonts w:hint="eastAsia"/>
        </w:rPr>
        <w:t>，第</w:t>
      </w:r>
      <w:r w:rsidRPr="00BB6462">
        <w:rPr>
          <w:rFonts w:hint="eastAsia"/>
        </w:rPr>
        <w:t>353</w:t>
      </w:r>
      <w:r w:rsidRPr="00BB6462">
        <w:rPr>
          <w:rFonts w:hint="eastAsia"/>
        </w:rPr>
        <w:t>段。专题提纲见同上，附件</w:t>
      </w:r>
      <w:r w:rsidRPr="00BB6462">
        <w:rPr>
          <w:rFonts w:hint="eastAsia"/>
        </w:rPr>
        <w:t>A</w:t>
      </w:r>
      <w:r w:rsidRPr="00BB6462">
        <w:rPr>
          <w:rFonts w:hint="eastAsia"/>
        </w:rPr>
        <w:t>。大会</w:t>
      </w:r>
      <w:r w:rsidRPr="00BB6462">
        <w:rPr>
          <w:rFonts w:hint="eastAsia"/>
        </w:rPr>
        <w:t>2008</w:t>
      </w:r>
      <w:r w:rsidRPr="00BB6462">
        <w:rPr>
          <w:rFonts w:hint="eastAsia"/>
        </w:rPr>
        <w:t>年</w:t>
      </w:r>
      <w:r w:rsidRPr="00BB6462">
        <w:rPr>
          <w:rFonts w:hint="eastAsia"/>
        </w:rPr>
        <w:t>12</w:t>
      </w:r>
      <w:r w:rsidRPr="00BB6462">
        <w:rPr>
          <w:rFonts w:hint="eastAsia"/>
        </w:rPr>
        <w:t>月</w:t>
      </w:r>
      <w:r w:rsidRPr="00BB6462">
        <w:rPr>
          <w:rFonts w:hint="eastAsia"/>
        </w:rPr>
        <w:t>11</w:t>
      </w:r>
      <w:r w:rsidRPr="00BB6462">
        <w:rPr>
          <w:rFonts w:hint="eastAsia"/>
        </w:rPr>
        <w:t>日第</w:t>
      </w:r>
      <w:r w:rsidRPr="00BB6462">
        <w:t>63/123</w:t>
      </w:r>
      <w:r w:rsidRPr="00BB6462">
        <w:rPr>
          <w:rFonts w:hint="eastAsia"/>
        </w:rPr>
        <w:t>号决议注意到该决定。</w:t>
      </w:r>
    </w:p>
  </w:footnote>
  <w:footnote w:id="28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见《大会正式记录，第六十四届会议，补编第</w:t>
      </w:r>
      <w:r w:rsidRPr="00BB6462">
        <w:t>10</w:t>
      </w:r>
      <w:r w:rsidRPr="00BB6462">
        <w:rPr>
          <w:rFonts w:hint="eastAsia"/>
        </w:rPr>
        <w:t>号》</w:t>
      </w:r>
      <w:r w:rsidRPr="00BB6462">
        <w:t>(A/6</w:t>
      </w:r>
      <w:r w:rsidRPr="00BB6462">
        <w:rPr>
          <w:rFonts w:hint="eastAsia"/>
        </w:rPr>
        <w:t>4</w:t>
      </w:r>
      <w:r w:rsidRPr="00BB6462">
        <w:t>/10)</w:t>
      </w:r>
      <w:r w:rsidRPr="00BB6462">
        <w:rPr>
          <w:rFonts w:hint="eastAsia"/>
        </w:rPr>
        <w:t>，第</w:t>
      </w:r>
      <w:r w:rsidRPr="00BB6462">
        <w:t>220</w:t>
      </w:r>
      <w:r>
        <w:rPr>
          <w:rFonts w:hint="eastAsia"/>
        </w:rPr>
        <w:t>-</w:t>
      </w:r>
      <w:r w:rsidRPr="00BB6462">
        <w:t>226</w:t>
      </w:r>
      <w:r w:rsidRPr="00BB6462">
        <w:rPr>
          <w:rFonts w:hint="eastAsia"/>
        </w:rPr>
        <w:t>段。</w:t>
      </w:r>
    </w:p>
  </w:footnote>
  <w:footnote w:id="28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i/>
        </w:rPr>
        <w:tab/>
      </w:r>
      <w:r w:rsidRPr="009B00C9">
        <w:rPr>
          <w:rStyle w:val="a3"/>
          <w:color w:val="000000" w:themeColor="text1"/>
          <w:sz w:val="21"/>
          <w:szCs w:val="21"/>
        </w:rPr>
        <w:footnoteRef/>
      </w:r>
      <w:r w:rsidRPr="00BB6462">
        <w:rPr>
          <w:rFonts w:hint="eastAsia"/>
          <w:i/>
        </w:rPr>
        <w:tab/>
      </w:r>
      <w:r w:rsidRPr="00BB6462">
        <w:rPr>
          <w:rFonts w:hint="eastAsia"/>
        </w:rPr>
        <w:t>同上，《第六十五届会议，补编第</w:t>
      </w:r>
      <w:r w:rsidRPr="00BB6462">
        <w:t>10</w:t>
      </w:r>
      <w:r w:rsidRPr="00BB6462">
        <w:rPr>
          <w:rFonts w:hint="eastAsia"/>
        </w:rPr>
        <w:t>号》</w:t>
      </w:r>
      <w:r w:rsidRPr="00BB6462">
        <w:t>(A/65/10)</w:t>
      </w:r>
      <w:r w:rsidRPr="00BB6462">
        <w:rPr>
          <w:rFonts w:hint="eastAsia"/>
        </w:rPr>
        <w:t>，第</w:t>
      </w:r>
      <w:r w:rsidRPr="00BB6462">
        <w:t>344</w:t>
      </w:r>
      <w:r>
        <w:rPr>
          <w:rFonts w:hint="eastAsia"/>
        </w:rPr>
        <w:t>-</w:t>
      </w:r>
      <w:r w:rsidRPr="00BB6462">
        <w:t>354</w:t>
      </w:r>
      <w:r w:rsidRPr="00BB6462">
        <w:rPr>
          <w:rFonts w:hint="eastAsia"/>
        </w:rPr>
        <w:t>段；以及同上，《第六十六届会议，补编第</w:t>
      </w:r>
      <w:r w:rsidRPr="00BB6462">
        <w:t>10</w:t>
      </w:r>
      <w:r w:rsidRPr="00BB6462">
        <w:rPr>
          <w:rFonts w:hint="eastAsia"/>
        </w:rPr>
        <w:t>号》</w:t>
      </w:r>
      <w:r w:rsidRPr="00BB6462">
        <w:t>(A/6</w:t>
      </w:r>
      <w:r w:rsidRPr="00BB6462">
        <w:rPr>
          <w:rFonts w:hint="eastAsia"/>
        </w:rPr>
        <w:t>6</w:t>
      </w:r>
      <w:r w:rsidRPr="00BB6462">
        <w:t>/10)</w:t>
      </w:r>
      <w:r w:rsidRPr="00BB6462">
        <w:rPr>
          <w:rFonts w:hint="eastAsia"/>
        </w:rPr>
        <w:t>，第</w:t>
      </w:r>
      <w:r w:rsidRPr="00BB6462">
        <w:t>3</w:t>
      </w:r>
      <w:r w:rsidRPr="00BB6462">
        <w:rPr>
          <w:rFonts w:hint="eastAsia"/>
        </w:rPr>
        <w:t>37</w:t>
      </w:r>
      <w:r w:rsidRPr="00BB6462">
        <w:rPr>
          <w:rFonts w:hint="eastAsia"/>
        </w:rPr>
        <w:t>段。</w:t>
      </w:r>
    </w:p>
  </w:footnote>
  <w:footnote w:id="28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同上，《第六十六届会议，补编第</w:t>
      </w:r>
      <w:r w:rsidRPr="00BB6462">
        <w:t>10</w:t>
      </w:r>
      <w:r w:rsidRPr="00BB6462">
        <w:rPr>
          <w:rFonts w:hint="eastAsia"/>
        </w:rPr>
        <w:t>号》</w:t>
      </w:r>
      <w:r w:rsidRPr="00BB6462">
        <w:t>(A/6</w:t>
      </w:r>
      <w:r w:rsidRPr="00BB6462">
        <w:rPr>
          <w:rFonts w:hint="eastAsia"/>
        </w:rPr>
        <w:t>6</w:t>
      </w:r>
      <w:r w:rsidRPr="00BB6462">
        <w:t>/10)</w:t>
      </w:r>
      <w:r w:rsidRPr="00BB6462">
        <w:rPr>
          <w:rFonts w:hint="eastAsia"/>
        </w:rPr>
        <w:t>，第</w:t>
      </w:r>
      <w:r w:rsidRPr="00BB6462">
        <w:t>3</w:t>
      </w:r>
      <w:r w:rsidRPr="00BB6462">
        <w:rPr>
          <w:rFonts w:hint="eastAsia"/>
        </w:rPr>
        <w:t>38</w:t>
      </w:r>
      <w:r>
        <w:rPr>
          <w:rFonts w:hint="eastAsia"/>
        </w:rPr>
        <w:t>-</w:t>
      </w:r>
      <w:r w:rsidRPr="00BB6462">
        <w:t>3</w:t>
      </w:r>
      <w:r w:rsidRPr="00BB6462">
        <w:rPr>
          <w:rFonts w:hint="eastAsia"/>
        </w:rPr>
        <w:t>41</w:t>
      </w:r>
      <w:r w:rsidRPr="00BB6462">
        <w:rPr>
          <w:rFonts w:hint="eastAsia"/>
        </w:rPr>
        <w:t>段；以及同上，《第六十七届会议，补编第</w:t>
      </w:r>
      <w:r w:rsidRPr="00BB6462">
        <w:t>10</w:t>
      </w:r>
      <w:r w:rsidRPr="00BB6462">
        <w:rPr>
          <w:rFonts w:hint="eastAsia"/>
        </w:rPr>
        <w:t>号》</w:t>
      </w:r>
      <w:r w:rsidRPr="00BB6462">
        <w:t>(A/6</w:t>
      </w:r>
      <w:r w:rsidRPr="00BB6462">
        <w:rPr>
          <w:rFonts w:hint="eastAsia"/>
        </w:rPr>
        <w:t>7</w:t>
      </w:r>
      <w:r w:rsidRPr="00BB6462">
        <w:t>/10)</w:t>
      </w:r>
      <w:r w:rsidRPr="00BB6462">
        <w:rPr>
          <w:rFonts w:hint="eastAsia"/>
        </w:rPr>
        <w:t>，第</w:t>
      </w:r>
      <w:r w:rsidRPr="00BB6462">
        <w:t>230</w:t>
      </w:r>
      <w:r>
        <w:rPr>
          <w:rFonts w:hint="eastAsia"/>
        </w:rPr>
        <w:t>-</w:t>
      </w:r>
      <w:r w:rsidRPr="00BB6462">
        <w:t>231</w:t>
      </w:r>
      <w:r w:rsidRPr="00BB6462">
        <w:rPr>
          <w:rFonts w:hint="eastAsia"/>
        </w:rPr>
        <w:t>段。</w:t>
      </w:r>
    </w:p>
  </w:footnote>
  <w:footnote w:id="29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同上，《第六十七届会议，补编第</w:t>
      </w:r>
      <w:r w:rsidRPr="00BB6462">
        <w:t>10</w:t>
      </w:r>
      <w:r w:rsidRPr="00BB6462">
        <w:rPr>
          <w:rFonts w:hint="eastAsia"/>
        </w:rPr>
        <w:t>号》</w:t>
      </w:r>
      <w:r w:rsidRPr="00BB6462">
        <w:t>(A/6</w:t>
      </w:r>
      <w:r w:rsidRPr="00BB6462">
        <w:rPr>
          <w:rFonts w:hint="eastAsia"/>
        </w:rPr>
        <w:t>7</w:t>
      </w:r>
      <w:r w:rsidRPr="00BB6462">
        <w:t>/10)</w:t>
      </w:r>
      <w:r w:rsidRPr="00BB6462">
        <w:rPr>
          <w:rFonts w:hint="eastAsia"/>
        </w:rPr>
        <w:t>，第</w:t>
      </w:r>
      <w:r w:rsidRPr="00BB6462">
        <w:t>23</w:t>
      </w:r>
      <w:r w:rsidRPr="00BB6462">
        <w:rPr>
          <w:rFonts w:hint="eastAsia"/>
        </w:rPr>
        <w:t>2</w:t>
      </w:r>
      <w:r>
        <w:rPr>
          <w:rFonts w:hint="eastAsia"/>
        </w:rPr>
        <w:t>-</w:t>
      </w:r>
      <w:r w:rsidRPr="00BB6462">
        <w:t>23</w:t>
      </w:r>
      <w:r w:rsidRPr="00BB6462">
        <w:rPr>
          <w:rFonts w:hint="eastAsia"/>
        </w:rPr>
        <w:t>4</w:t>
      </w:r>
      <w:r w:rsidRPr="00BB6462">
        <w:rPr>
          <w:rFonts w:hint="eastAsia"/>
        </w:rPr>
        <w:t>段。在第六十三届会议上</w:t>
      </w:r>
      <w:r w:rsidRPr="00BB6462">
        <w:rPr>
          <w:rFonts w:hint="eastAsia"/>
        </w:rPr>
        <w:t>(2011</w:t>
      </w:r>
      <w:r w:rsidRPr="00BB6462">
        <w:rPr>
          <w:rFonts w:hint="eastAsia"/>
        </w:rPr>
        <w:t>年</w:t>
      </w:r>
      <w:r w:rsidRPr="00BB6462">
        <w:rPr>
          <w:rFonts w:hint="eastAsia"/>
        </w:rPr>
        <w:t>)</w:t>
      </w:r>
      <w:r w:rsidRPr="00BB6462">
        <w:rPr>
          <w:rFonts w:hint="eastAsia"/>
        </w:rPr>
        <w:t>，研究组主席提交了参照研究组讨论情况重新拟订的九项初步结论</w:t>
      </w:r>
      <w:r w:rsidRPr="00BB6462">
        <w:rPr>
          <w:rFonts w:hint="eastAsia"/>
        </w:rPr>
        <w:t>(</w:t>
      </w:r>
      <w:r w:rsidRPr="00BB6462">
        <w:rPr>
          <w:rFonts w:hint="eastAsia"/>
        </w:rPr>
        <w:t>同上，《第六十六届会议，补编第</w:t>
      </w:r>
      <w:r w:rsidRPr="00BB6462">
        <w:t>10</w:t>
      </w:r>
      <w:r w:rsidRPr="00BB6462">
        <w:rPr>
          <w:rFonts w:hint="eastAsia"/>
        </w:rPr>
        <w:t>号》</w:t>
      </w:r>
      <w:r w:rsidRPr="00BB6462">
        <w:t>(A/6</w:t>
      </w:r>
      <w:r w:rsidRPr="00BB6462">
        <w:rPr>
          <w:rFonts w:hint="eastAsia"/>
        </w:rPr>
        <w:t>6</w:t>
      </w:r>
      <w:r w:rsidRPr="00BB6462">
        <w:t>/10)</w:t>
      </w:r>
      <w:r w:rsidRPr="00BB6462">
        <w:rPr>
          <w:rFonts w:hint="eastAsia"/>
        </w:rPr>
        <w:t>，第</w:t>
      </w:r>
      <w:r w:rsidRPr="00BB6462">
        <w:rPr>
          <w:rFonts w:hint="eastAsia"/>
        </w:rPr>
        <w:t>344</w:t>
      </w:r>
      <w:r w:rsidRPr="00BB6462">
        <w:rPr>
          <w:rFonts w:hint="eastAsia"/>
        </w:rPr>
        <w:t>段</w:t>
      </w:r>
      <w:r w:rsidRPr="00BB6462">
        <w:rPr>
          <w:rFonts w:hint="eastAsia"/>
        </w:rPr>
        <w:t>)</w:t>
      </w:r>
      <w:r w:rsidRPr="00BB6462">
        <w:rPr>
          <w:rFonts w:hint="eastAsia"/>
        </w:rPr>
        <w:t>。在第六十四届会议上</w:t>
      </w:r>
      <w:r w:rsidRPr="00BB6462">
        <w:t>(2012</w:t>
      </w:r>
      <w:r w:rsidRPr="00BB6462">
        <w:rPr>
          <w:rFonts w:hint="eastAsia"/>
        </w:rPr>
        <w:t>年</w:t>
      </w:r>
      <w:r w:rsidRPr="00BB6462">
        <w:t>)</w:t>
      </w:r>
      <w:r w:rsidRPr="00BB6462">
        <w:rPr>
          <w:rFonts w:hint="eastAsia"/>
        </w:rPr>
        <w:t>，研究组主席提交了也是参照研究组讨论情况重新拟订的另外六项初步结论</w:t>
      </w:r>
      <w:r w:rsidRPr="00BB6462">
        <w:rPr>
          <w:rFonts w:hint="eastAsia"/>
        </w:rPr>
        <w:t>(</w:t>
      </w:r>
      <w:r w:rsidRPr="00BB6462">
        <w:rPr>
          <w:rFonts w:hint="eastAsia"/>
        </w:rPr>
        <w:t>同上，《第六十七届会议，补编第</w:t>
      </w:r>
      <w:r w:rsidRPr="00BB6462">
        <w:t>10</w:t>
      </w:r>
      <w:r w:rsidRPr="00BB6462">
        <w:rPr>
          <w:rFonts w:hint="eastAsia"/>
        </w:rPr>
        <w:t>号》</w:t>
      </w:r>
      <w:r w:rsidRPr="00BB6462">
        <w:t>(A/6</w:t>
      </w:r>
      <w:r w:rsidRPr="00BB6462">
        <w:rPr>
          <w:rFonts w:hint="eastAsia"/>
        </w:rPr>
        <w:t>7</w:t>
      </w:r>
      <w:r w:rsidRPr="00BB6462">
        <w:t>/10)</w:t>
      </w:r>
      <w:r w:rsidRPr="00BB6462">
        <w:rPr>
          <w:rFonts w:hint="eastAsia"/>
        </w:rPr>
        <w:t>，第</w:t>
      </w:r>
      <w:r w:rsidRPr="00BB6462">
        <w:t>2</w:t>
      </w:r>
      <w:r w:rsidRPr="00BB6462">
        <w:rPr>
          <w:rFonts w:hint="eastAsia"/>
        </w:rPr>
        <w:t>40</w:t>
      </w:r>
      <w:r w:rsidRPr="00BB6462">
        <w:rPr>
          <w:rFonts w:hint="eastAsia"/>
        </w:rPr>
        <w:t>段</w:t>
      </w:r>
      <w:r w:rsidRPr="00BB6462">
        <w:rPr>
          <w:rFonts w:hint="eastAsia"/>
        </w:rPr>
        <w:t>)</w:t>
      </w:r>
      <w:r w:rsidRPr="00BB6462">
        <w:rPr>
          <w:rFonts w:hint="eastAsia"/>
        </w:rPr>
        <w:t>。研究组还讨论了此专题进一步工作应采取的形式以及工作的可能成果。</w:t>
      </w:r>
      <w:r w:rsidRPr="00BB6462">
        <w:rPr>
          <w:rFonts w:ascii="宋体" w:hAnsi="宋体" w:cs="宋体" w:hint="eastAsia"/>
        </w:rPr>
        <w:t>研究组主席提出了若干建议并得到研究组的赞同(同上，第</w:t>
      </w:r>
      <w:r w:rsidRPr="00BB6462">
        <w:t>235</w:t>
      </w:r>
      <w:r>
        <w:rPr>
          <w:rFonts w:hint="eastAsia"/>
        </w:rPr>
        <w:t>-</w:t>
      </w:r>
      <w:r w:rsidRPr="00BB6462">
        <w:t>239</w:t>
      </w:r>
      <w:r w:rsidRPr="00BB6462">
        <w:rPr>
          <w:rFonts w:hint="eastAsia"/>
        </w:rPr>
        <w:t>段</w:t>
      </w:r>
      <w:r w:rsidRPr="00BB6462">
        <w:rPr>
          <w:rFonts w:ascii="宋体" w:hAnsi="宋体" w:cs="宋体" w:hint="eastAsia"/>
        </w:rPr>
        <w:t>)。</w:t>
      </w:r>
    </w:p>
  </w:footnote>
  <w:footnote w:id="29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同上，《第六十七届会议，补编第</w:t>
      </w:r>
      <w:r w:rsidRPr="00BB6462">
        <w:t>10</w:t>
      </w:r>
      <w:r w:rsidRPr="00BB6462">
        <w:rPr>
          <w:rFonts w:hint="eastAsia"/>
        </w:rPr>
        <w:t>号》</w:t>
      </w:r>
      <w:r w:rsidRPr="00BB6462">
        <w:t>(A/6</w:t>
      </w:r>
      <w:r w:rsidRPr="00BB6462">
        <w:rPr>
          <w:rFonts w:hint="eastAsia"/>
        </w:rPr>
        <w:t>7</w:t>
      </w:r>
      <w:r w:rsidRPr="00BB6462">
        <w:t>/10)</w:t>
      </w:r>
      <w:r w:rsidRPr="00BB6462">
        <w:rPr>
          <w:rFonts w:hint="eastAsia"/>
        </w:rPr>
        <w:t>，第</w:t>
      </w:r>
      <w:r w:rsidRPr="00BB6462">
        <w:rPr>
          <w:rFonts w:hint="eastAsia"/>
        </w:rPr>
        <w:t>226</w:t>
      </w:r>
      <w:r w:rsidRPr="00BB6462">
        <w:rPr>
          <w:rFonts w:hint="eastAsia"/>
        </w:rPr>
        <w:t>和第</w:t>
      </w:r>
      <w:r w:rsidRPr="00BB6462">
        <w:rPr>
          <w:rFonts w:hint="eastAsia"/>
        </w:rPr>
        <w:t>239</w:t>
      </w:r>
      <w:r w:rsidRPr="00BB6462">
        <w:rPr>
          <w:rFonts w:hint="eastAsia"/>
        </w:rPr>
        <w:t>段。</w:t>
      </w:r>
    </w:p>
  </w:footnote>
  <w:footnote w:id="29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同上，第</w:t>
      </w:r>
      <w:r w:rsidRPr="00BB6462">
        <w:t>227</w:t>
      </w:r>
      <w:r w:rsidRPr="00BB6462">
        <w:rPr>
          <w:rFonts w:hint="eastAsia"/>
        </w:rPr>
        <w:t>段。</w:t>
      </w:r>
    </w:p>
  </w:footnote>
  <w:footnote w:id="29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同上，《第六十八届会议，补编第</w:t>
      </w:r>
      <w:r w:rsidRPr="00BB6462">
        <w:t>10</w:t>
      </w:r>
      <w:r w:rsidRPr="00BB6462">
        <w:rPr>
          <w:rFonts w:hint="eastAsia"/>
        </w:rPr>
        <w:t>号》</w:t>
      </w:r>
      <w:r w:rsidRPr="00BB6462">
        <w:t>(A/6</w:t>
      </w:r>
      <w:r w:rsidRPr="00BB6462">
        <w:rPr>
          <w:rFonts w:hint="eastAsia"/>
        </w:rPr>
        <w:t>8</w:t>
      </w:r>
      <w:r w:rsidRPr="00BB6462">
        <w:t>/10)</w:t>
      </w:r>
      <w:r w:rsidRPr="00BB6462">
        <w:rPr>
          <w:rFonts w:hint="eastAsia"/>
        </w:rPr>
        <w:t>，第</w:t>
      </w:r>
      <w:r w:rsidRPr="00BB6462">
        <w:rPr>
          <w:rFonts w:hint="eastAsia"/>
        </w:rPr>
        <w:t>33-39</w:t>
      </w:r>
      <w:r w:rsidRPr="00BB6462">
        <w:rPr>
          <w:rFonts w:hint="eastAsia"/>
        </w:rPr>
        <w:t>段。委员会暂时通过了结论草案</w:t>
      </w:r>
      <w:r w:rsidRPr="00BB6462">
        <w:rPr>
          <w:rFonts w:hint="eastAsia"/>
        </w:rPr>
        <w:t>1(</w:t>
      </w:r>
      <w:r w:rsidRPr="00BB6462">
        <w:rPr>
          <w:rFonts w:ascii="宋体" w:hAnsi="宋体" w:cs="宋体" w:hint="eastAsia"/>
        </w:rPr>
        <w:t>条约解释通则和资料</w:t>
      </w:r>
      <w:r w:rsidRPr="00BB6462">
        <w:rPr>
          <w:rFonts w:hint="eastAsia"/>
        </w:rPr>
        <w:t>)</w:t>
      </w:r>
      <w:r w:rsidRPr="00BB6462">
        <w:rPr>
          <w:rFonts w:hint="eastAsia"/>
        </w:rPr>
        <w:t>、结论草案</w:t>
      </w:r>
      <w:r w:rsidRPr="00BB6462">
        <w:rPr>
          <w:rFonts w:hint="eastAsia"/>
        </w:rPr>
        <w:t>2(</w:t>
      </w:r>
      <w:r w:rsidRPr="00BB6462">
        <w:rPr>
          <w:rFonts w:ascii="宋体" w:hAnsi="宋体" w:cs="宋体" w:hint="eastAsia"/>
        </w:rPr>
        <w:t>以嗣后协定和嗣后惯例作为作准的解释资料</w:t>
      </w:r>
      <w:r w:rsidRPr="00BB6462">
        <w:rPr>
          <w:rFonts w:hint="eastAsia"/>
        </w:rPr>
        <w:t>)</w:t>
      </w:r>
      <w:r w:rsidRPr="00BB6462">
        <w:rPr>
          <w:rFonts w:hint="eastAsia"/>
        </w:rPr>
        <w:t>、结论草案</w:t>
      </w:r>
      <w:r w:rsidRPr="00BB6462">
        <w:rPr>
          <w:rFonts w:hint="eastAsia"/>
        </w:rPr>
        <w:t>3(</w:t>
      </w:r>
      <w:r w:rsidRPr="00BB6462">
        <w:rPr>
          <w:rFonts w:ascii="宋体" w:hAnsi="宋体" w:cs="宋体" w:hint="eastAsia"/>
        </w:rPr>
        <w:t>能够随时间演变的条约用语的解释</w:t>
      </w:r>
      <w:r w:rsidRPr="00BB6462">
        <w:rPr>
          <w:rFonts w:hint="eastAsia"/>
        </w:rPr>
        <w:t>)</w:t>
      </w:r>
      <w:r w:rsidRPr="00BB6462">
        <w:rPr>
          <w:rFonts w:hint="eastAsia"/>
        </w:rPr>
        <w:t>、结论草案</w:t>
      </w:r>
      <w:r w:rsidRPr="00BB6462">
        <w:rPr>
          <w:rFonts w:hint="eastAsia"/>
        </w:rPr>
        <w:t>4(</w:t>
      </w:r>
      <w:r w:rsidRPr="00BB6462">
        <w:rPr>
          <w:rFonts w:ascii="宋体" w:hAnsi="宋体" w:cs="宋体" w:hint="eastAsia"/>
        </w:rPr>
        <w:t>嗣后协定和嗣后惯例的定义</w:t>
      </w:r>
      <w:r w:rsidRPr="00BB6462">
        <w:rPr>
          <w:rFonts w:hint="eastAsia"/>
        </w:rPr>
        <w:t>)</w:t>
      </w:r>
      <w:r w:rsidRPr="00BB6462">
        <w:rPr>
          <w:rFonts w:hint="eastAsia"/>
        </w:rPr>
        <w:t>和结论草案</w:t>
      </w:r>
      <w:r w:rsidRPr="00BB6462">
        <w:rPr>
          <w:rFonts w:hint="eastAsia"/>
        </w:rPr>
        <w:t>5(</w:t>
      </w:r>
      <w:r w:rsidRPr="00BB6462">
        <w:rPr>
          <w:rFonts w:ascii="宋体" w:hAnsi="宋体" w:cs="宋体" w:hint="eastAsia"/>
        </w:rPr>
        <w:t>嗣后惯例的归属</w:t>
      </w:r>
      <w:r w:rsidRPr="00BB6462">
        <w:rPr>
          <w:rFonts w:hint="eastAsia"/>
        </w:rPr>
        <w:t>)</w:t>
      </w:r>
      <w:r w:rsidRPr="00BB6462">
        <w:rPr>
          <w:rFonts w:hint="eastAsia"/>
        </w:rPr>
        <w:t>。</w:t>
      </w:r>
    </w:p>
  </w:footnote>
  <w:footnote w:id="29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iCs/>
        </w:rPr>
        <w:tab/>
      </w:r>
      <w:r w:rsidRPr="009B00C9">
        <w:rPr>
          <w:rStyle w:val="a3"/>
          <w:color w:val="000000" w:themeColor="text1"/>
          <w:sz w:val="21"/>
          <w:szCs w:val="21"/>
        </w:rPr>
        <w:footnoteRef/>
      </w:r>
      <w:r w:rsidRPr="00BB6462">
        <w:rPr>
          <w:rFonts w:hint="eastAsia"/>
          <w:iCs/>
        </w:rPr>
        <w:tab/>
      </w:r>
      <w:r w:rsidRPr="00BB6462">
        <w:rPr>
          <w:rFonts w:hint="eastAsia"/>
        </w:rPr>
        <w:t>同上，《第六十九届会议，补编第</w:t>
      </w:r>
      <w:r w:rsidRPr="00BB6462">
        <w:t>10</w:t>
      </w:r>
      <w:r w:rsidRPr="00BB6462">
        <w:rPr>
          <w:rFonts w:hint="eastAsia"/>
        </w:rPr>
        <w:t>号》</w:t>
      </w:r>
      <w:r w:rsidRPr="00BB6462">
        <w:t>(A/6</w:t>
      </w:r>
      <w:r w:rsidRPr="00BB6462">
        <w:rPr>
          <w:rFonts w:hint="eastAsia"/>
        </w:rPr>
        <w:t>9</w:t>
      </w:r>
      <w:r w:rsidRPr="00BB6462">
        <w:t>/10)</w:t>
      </w:r>
      <w:r w:rsidRPr="00BB6462">
        <w:rPr>
          <w:rFonts w:hint="eastAsia"/>
        </w:rPr>
        <w:t>，第</w:t>
      </w:r>
      <w:r w:rsidRPr="00BB6462">
        <w:rPr>
          <w:rFonts w:hint="eastAsia"/>
        </w:rPr>
        <w:t>70-76</w:t>
      </w:r>
      <w:r w:rsidRPr="00BB6462">
        <w:rPr>
          <w:rFonts w:hint="eastAsia"/>
        </w:rPr>
        <w:t>段。委员会暂时通过了结论草案</w:t>
      </w:r>
      <w:r w:rsidRPr="00BB6462">
        <w:rPr>
          <w:rFonts w:hint="eastAsia"/>
        </w:rPr>
        <w:t>6(</w:t>
      </w:r>
      <w:r w:rsidRPr="00BB6462">
        <w:rPr>
          <w:rFonts w:hint="eastAsia"/>
        </w:rPr>
        <w:t>嗣后协定和嗣后惯例的识别</w:t>
      </w:r>
      <w:r w:rsidRPr="00BB6462">
        <w:rPr>
          <w:rFonts w:hint="eastAsia"/>
        </w:rPr>
        <w:t>)</w:t>
      </w:r>
      <w:r w:rsidRPr="00BB6462">
        <w:rPr>
          <w:rFonts w:hint="eastAsia"/>
        </w:rPr>
        <w:t>、结论草案</w:t>
      </w:r>
      <w:r w:rsidRPr="00BB6462">
        <w:rPr>
          <w:rFonts w:hint="eastAsia"/>
        </w:rPr>
        <w:t>7(</w:t>
      </w:r>
      <w:r w:rsidRPr="00BB6462">
        <w:rPr>
          <w:rFonts w:hint="eastAsia"/>
        </w:rPr>
        <w:t>嗣后协定和嗣后惯例可能对解释产生的影响</w:t>
      </w:r>
      <w:r w:rsidRPr="00BB6462">
        <w:rPr>
          <w:rFonts w:hint="eastAsia"/>
        </w:rPr>
        <w:t>)</w:t>
      </w:r>
      <w:r w:rsidRPr="00BB6462">
        <w:rPr>
          <w:rFonts w:hint="eastAsia"/>
        </w:rPr>
        <w:t>、结论草案</w:t>
      </w:r>
      <w:r w:rsidRPr="00BB6462">
        <w:rPr>
          <w:rFonts w:hint="eastAsia"/>
        </w:rPr>
        <w:t>8(</w:t>
      </w:r>
      <w:r w:rsidRPr="00BB6462">
        <w:rPr>
          <w:rFonts w:ascii="宋体" w:hAnsi="宋体" w:cs="宋体" w:hint="eastAsia"/>
        </w:rPr>
        <w:t>嗣后协定和嗣后惯例作为解释资料的权重</w:t>
      </w:r>
      <w:r w:rsidRPr="00BB6462">
        <w:rPr>
          <w:rFonts w:hint="eastAsia"/>
        </w:rPr>
        <w:t>)</w:t>
      </w:r>
      <w:r w:rsidRPr="00BB6462">
        <w:rPr>
          <w:rFonts w:hint="eastAsia"/>
        </w:rPr>
        <w:t>、结论草案</w:t>
      </w:r>
      <w:r w:rsidRPr="00BB6462">
        <w:rPr>
          <w:rFonts w:hint="eastAsia"/>
        </w:rPr>
        <w:t>9(</w:t>
      </w:r>
      <w:r w:rsidRPr="00BB6462">
        <w:rPr>
          <w:rFonts w:ascii="宋体" w:hAnsi="宋体" w:cs="宋体" w:hint="eastAsia"/>
        </w:rPr>
        <w:t>与条约解释有关的缔约方协定</w:t>
      </w:r>
      <w:r w:rsidRPr="00BB6462">
        <w:rPr>
          <w:rFonts w:hint="eastAsia"/>
        </w:rPr>
        <w:t>)</w:t>
      </w:r>
      <w:r w:rsidRPr="00BB6462">
        <w:rPr>
          <w:rFonts w:hint="eastAsia"/>
        </w:rPr>
        <w:t>和结论草案</w:t>
      </w:r>
      <w:r w:rsidRPr="00BB6462">
        <w:rPr>
          <w:rFonts w:hint="eastAsia"/>
        </w:rPr>
        <w:t>10(</w:t>
      </w:r>
      <w:r w:rsidRPr="00BB6462">
        <w:rPr>
          <w:rFonts w:ascii="宋体" w:hAnsi="宋体" w:cs="宋体" w:hint="eastAsia"/>
        </w:rPr>
        <w:t>在缔约国大会框架内通过的决定</w:t>
      </w:r>
      <w:r w:rsidRPr="00BB6462">
        <w:rPr>
          <w:rFonts w:hint="eastAsia"/>
        </w:rPr>
        <w:t>)</w:t>
      </w:r>
      <w:r w:rsidRPr="00BB6462">
        <w:rPr>
          <w:rFonts w:hint="eastAsia"/>
        </w:rPr>
        <w:t>。</w:t>
      </w:r>
    </w:p>
  </w:footnote>
  <w:footnote w:id="29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color w:val="000000" w:themeColor="text1"/>
          <w:sz w:val="21"/>
          <w:szCs w:val="21"/>
        </w:rPr>
        <w:footnoteRef/>
      </w:r>
      <w:r w:rsidRPr="00BB6462">
        <w:rPr>
          <w:rFonts w:hint="eastAsia"/>
        </w:rPr>
        <w:tab/>
      </w:r>
      <w:r w:rsidRPr="00BB6462">
        <w:rPr>
          <w:rFonts w:hint="eastAsia"/>
        </w:rPr>
        <w:t>结论草案</w:t>
      </w:r>
      <w:r w:rsidRPr="00BB6462">
        <w:rPr>
          <w:rFonts w:hint="eastAsia"/>
        </w:rPr>
        <w:t>1</w:t>
      </w:r>
      <w:r w:rsidRPr="00BB6462">
        <w:rPr>
          <w:rFonts w:hint="eastAsia"/>
        </w:rPr>
        <w:t>至</w:t>
      </w:r>
      <w:r w:rsidRPr="00BB6462">
        <w:rPr>
          <w:rFonts w:hint="eastAsia"/>
        </w:rPr>
        <w:t>5</w:t>
      </w:r>
      <w:r w:rsidRPr="00BB6462">
        <w:rPr>
          <w:rFonts w:hint="eastAsia"/>
        </w:rPr>
        <w:t>的评注见《大会正式记录，第六十八届会议，补编第</w:t>
      </w:r>
      <w:r w:rsidRPr="00BB6462">
        <w:t>10</w:t>
      </w:r>
      <w:r w:rsidRPr="00BB6462">
        <w:rPr>
          <w:rFonts w:hint="eastAsia"/>
        </w:rPr>
        <w:t>号》</w:t>
      </w:r>
      <w:r w:rsidRPr="00BB6462">
        <w:t>(A/6</w:t>
      </w:r>
      <w:r w:rsidRPr="00BB6462">
        <w:rPr>
          <w:rFonts w:hint="eastAsia"/>
        </w:rPr>
        <w:t>8</w:t>
      </w:r>
      <w:r w:rsidRPr="00BB6462">
        <w:t>/10)</w:t>
      </w:r>
      <w:r w:rsidRPr="00BB6462">
        <w:rPr>
          <w:rFonts w:hint="eastAsia"/>
        </w:rPr>
        <w:t>，第</w:t>
      </w:r>
      <w:r w:rsidRPr="00BB6462">
        <w:rPr>
          <w:rFonts w:hint="eastAsia"/>
        </w:rPr>
        <w:t>39</w:t>
      </w:r>
      <w:r w:rsidRPr="00BB6462">
        <w:rPr>
          <w:rFonts w:hint="eastAsia"/>
        </w:rPr>
        <w:t>段。结论草案</w:t>
      </w:r>
      <w:r w:rsidRPr="00BB6462">
        <w:rPr>
          <w:rFonts w:hint="eastAsia"/>
        </w:rPr>
        <w:t>6</w:t>
      </w:r>
      <w:r w:rsidRPr="00BB6462">
        <w:rPr>
          <w:rFonts w:hint="eastAsia"/>
        </w:rPr>
        <w:t>至</w:t>
      </w:r>
      <w:r w:rsidRPr="00BB6462">
        <w:rPr>
          <w:rFonts w:hint="eastAsia"/>
        </w:rPr>
        <w:t>10</w:t>
      </w:r>
      <w:r w:rsidRPr="00BB6462">
        <w:rPr>
          <w:rFonts w:hint="eastAsia"/>
        </w:rPr>
        <w:t>的评注见《大会正式记录，第六十九届会议，补编第</w:t>
      </w:r>
      <w:r w:rsidRPr="00BB6462">
        <w:t>10</w:t>
      </w:r>
      <w:r w:rsidRPr="00BB6462">
        <w:rPr>
          <w:rFonts w:hint="eastAsia"/>
        </w:rPr>
        <w:t>号》</w:t>
      </w:r>
      <w:r w:rsidRPr="00BB6462">
        <w:t>(A/6</w:t>
      </w:r>
      <w:r w:rsidRPr="00BB6462">
        <w:rPr>
          <w:rFonts w:hint="eastAsia"/>
        </w:rPr>
        <w:t>9</w:t>
      </w:r>
      <w:r w:rsidRPr="00BB6462">
        <w:t>/10)</w:t>
      </w:r>
      <w:r w:rsidRPr="00BB6462">
        <w:rPr>
          <w:rFonts w:hint="eastAsia"/>
        </w:rPr>
        <w:t>，第</w:t>
      </w:r>
      <w:r w:rsidRPr="00BB6462">
        <w:rPr>
          <w:rFonts w:hint="eastAsia"/>
        </w:rPr>
        <w:t>76</w:t>
      </w:r>
      <w:r w:rsidRPr="00BB6462">
        <w:rPr>
          <w:rFonts w:hint="eastAsia"/>
        </w:rPr>
        <w:t>段。</w:t>
      </w:r>
    </w:p>
  </w:footnote>
  <w:footnote w:id="29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Pr>
          <w:rFonts w:hint="eastAsia"/>
        </w:rPr>
        <w:tab/>
      </w:r>
      <w:r w:rsidRPr="00BB6462">
        <w:t>另见</w:t>
      </w:r>
      <w:r w:rsidRPr="00BB6462">
        <w:t>1986</w:t>
      </w:r>
      <w:r w:rsidRPr="00BB6462">
        <w:t>年</w:t>
      </w:r>
      <w:r w:rsidRPr="00BB6462">
        <w:t>3</w:t>
      </w:r>
      <w:r w:rsidRPr="00BB6462">
        <w:t>月</w:t>
      </w:r>
      <w:r w:rsidRPr="00BB6462">
        <w:t>21</w:t>
      </w:r>
      <w:r w:rsidRPr="00BB6462">
        <w:t>日《关于国家和国际组织间或国际组织相互间条约法的维也纳公约》</w:t>
      </w:r>
      <w:r w:rsidRPr="00BB6462">
        <w:t>(</w:t>
      </w:r>
      <w:r w:rsidRPr="00BB6462">
        <w:rPr>
          <w:lang w:val="en-GB"/>
        </w:rPr>
        <w:t>A/CONF.129/15)</w:t>
      </w:r>
      <w:r w:rsidRPr="00BB6462">
        <w:rPr>
          <w:rFonts w:hAnsi="宋体"/>
          <w:lang w:val="en-GB"/>
        </w:rPr>
        <w:t>第</w:t>
      </w:r>
      <w:r w:rsidRPr="00BB6462">
        <w:rPr>
          <w:lang w:val="en-GB"/>
        </w:rPr>
        <w:t>5</w:t>
      </w:r>
      <w:r w:rsidRPr="00BB6462">
        <w:rPr>
          <w:rFonts w:hAnsi="宋体"/>
          <w:lang w:val="en-GB"/>
        </w:rPr>
        <w:t>条的</w:t>
      </w:r>
      <w:r w:rsidRPr="00BB6462">
        <w:t>平行条款。</w:t>
      </w:r>
    </w:p>
  </w:footnote>
  <w:footnote w:id="29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Pr>
          <w:rFonts w:hint="eastAsia"/>
        </w:rPr>
        <w:tab/>
      </w:r>
      <w:r w:rsidRPr="00BB6462">
        <w:rPr>
          <w:rFonts w:hint="eastAsia"/>
        </w:rPr>
        <w:t>《维也纳公约》第二十条第三款规定，条约是一国际组织的组成文书时，保留须经该组织主管机关接受。</w:t>
      </w:r>
      <w:r w:rsidRPr="00BB6462">
        <w:t>2007</w:t>
      </w:r>
      <w:r w:rsidRPr="00BB6462">
        <w:rPr>
          <w:rFonts w:hAnsi="宋体"/>
        </w:rPr>
        <w:t>年</w:t>
      </w:r>
      <w:r w:rsidRPr="00BB6462">
        <w:t>5</w:t>
      </w:r>
      <w:r w:rsidRPr="00BB6462">
        <w:rPr>
          <w:rFonts w:hAnsi="宋体"/>
        </w:rPr>
        <w:t>月</w:t>
      </w:r>
      <w:r w:rsidRPr="00BB6462">
        <w:t>15</w:t>
      </w:r>
      <w:r w:rsidRPr="00BB6462">
        <w:rPr>
          <w:rFonts w:hAnsi="宋体"/>
        </w:rPr>
        <w:t>日</w:t>
      </w:r>
      <w:r w:rsidRPr="00BB6462">
        <w:t>《关于对条约的保留的第十二次报告》</w:t>
      </w:r>
      <w:r w:rsidRPr="00BB6462">
        <w:rPr>
          <w:rFonts w:hint="eastAsia"/>
        </w:rPr>
        <w:t>，《</w:t>
      </w:r>
      <w:r w:rsidRPr="00BB6462">
        <w:rPr>
          <w:rFonts w:hint="eastAsia"/>
        </w:rPr>
        <w:t>2007</w:t>
      </w:r>
      <w:r w:rsidRPr="00BB6462">
        <w:rPr>
          <w:rFonts w:hint="eastAsia"/>
        </w:rPr>
        <w:t>年……年鉴》，第二卷</w:t>
      </w:r>
      <w:r>
        <w:rPr>
          <w:rFonts w:asciiTheme="majorBidi" w:hAnsiTheme="majorBidi" w:cstheme="majorBidi" w:hint="eastAsia"/>
        </w:rPr>
        <w:t>(</w:t>
      </w:r>
      <w:r w:rsidRPr="00EC18A6">
        <w:rPr>
          <w:rFonts w:asciiTheme="majorBidi" w:hAnsiTheme="majorBidi" w:cstheme="majorBidi"/>
        </w:rPr>
        <w:t>第二部分</w:t>
      </w:r>
      <w:r>
        <w:rPr>
          <w:rFonts w:asciiTheme="majorBidi" w:hAnsiTheme="majorBidi" w:cstheme="majorBidi" w:hint="eastAsia"/>
        </w:rPr>
        <w:t>)</w:t>
      </w:r>
      <w:r w:rsidRPr="00BB6462">
        <w:rPr>
          <w:rFonts w:hint="eastAsia"/>
        </w:rPr>
        <w:t>，第</w:t>
      </w:r>
      <w:r w:rsidRPr="00BB6462">
        <w:rPr>
          <w:rFonts w:hint="eastAsia"/>
        </w:rPr>
        <w:t>47</w:t>
      </w:r>
      <w:r w:rsidRPr="00BB6462">
        <w:rPr>
          <w:rFonts w:hint="eastAsia"/>
        </w:rPr>
        <w:t>页，第</w:t>
      </w:r>
      <w:r w:rsidRPr="00BB6462">
        <w:rPr>
          <w:rFonts w:hint="eastAsia"/>
        </w:rPr>
        <w:t>75-77</w:t>
      </w:r>
      <w:r w:rsidRPr="00BB6462">
        <w:rPr>
          <w:rFonts w:hint="eastAsia"/>
        </w:rPr>
        <w:t>段，</w:t>
      </w:r>
      <w:r w:rsidRPr="00BB6462">
        <w:t>A/CN.4/584</w:t>
      </w:r>
      <w:r w:rsidRPr="00BB6462">
        <w:rPr>
          <w:rFonts w:hint="eastAsia"/>
        </w:rPr>
        <w:t>号文件</w:t>
      </w:r>
      <w:r w:rsidRPr="00BB6462">
        <w:rPr>
          <w:rFonts w:hAnsi="宋体"/>
        </w:rPr>
        <w:t>；</w:t>
      </w:r>
      <w:r w:rsidRPr="00BB6462">
        <w:rPr>
          <w:bCs/>
        </w:rPr>
        <w:t xml:space="preserve">S. </w:t>
      </w:r>
      <w:r w:rsidRPr="00BB6462">
        <w:t xml:space="preserve">Rosenne, </w:t>
      </w:r>
      <w:r w:rsidRPr="00BB6462">
        <w:rPr>
          <w:i/>
          <w:lang w:val="en-GB"/>
        </w:rPr>
        <w:t>Developments in the Law of Treaties 1945-1986</w:t>
      </w:r>
      <w:r w:rsidRPr="00BB6462">
        <w:rPr>
          <w:lang w:val="en-GB"/>
        </w:rPr>
        <w:t xml:space="preserve"> (Cambridge, Cambridge University Press, 1989), </w:t>
      </w:r>
      <w:r w:rsidRPr="00BB6462">
        <w:t>p. 204</w:t>
      </w:r>
      <w:r w:rsidRPr="00BB6462">
        <w:rPr>
          <w:rFonts w:hAnsi="宋体"/>
        </w:rPr>
        <w:t>。</w:t>
      </w:r>
    </w:p>
  </w:footnote>
  <w:footnote w:id="29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EC18A6">
        <w:rPr>
          <w:spacing w:val="2"/>
        </w:rPr>
        <w:t>《</w:t>
      </w:r>
      <w:r w:rsidRPr="00EC18A6">
        <w:rPr>
          <w:spacing w:val="2"/>
        </w:rPr>
        <w:t>1966</w:t>
      </w:r>
      <w:r w:rsidRPr="00EC18A6">
        <w:rPr>
          <w:spacing w:val="2"/>
        </w:rPr>
        <w:t>年</w:t>
      </w:r>
      <w:r w:rsidRPr="00EC18A6">
        <w:rPr>
          <w:rFonts w:hint="eastAsia"/>
          <w:spacing w:val="2"/>
        </w:rPr>
        <w:t>……</w:t>
      </w:r>
      <w:r w:rsidRPr="00EC18A6">
        <w:rPr>
          <w:spacing w:val="2"/>
        </w:rPr>
        <w:t>年鉴》，第二卷，第</w:t>
      </w:r>
      <w:r w:rsidRPr="00EC18A6">
        <w:rPr>
          <w:spacing w:val="2"/>
        </w:rPr>
        <w:t>191</w:t>
      </w:r>
      <w:r w:rsidRPr="00EC18A6">
        <w:rPr>
          <w:spacing w:val="2"/>
        </w:rPr>
        <w:t>页；</w:t>
      </w:r>
      <w:r w:rsidRPr="00EC18A6">
        <w:rPr>
          <w:spacing w:val="2"/>
        </w:rPr>
        <w:t xml:space="preserve">K. Schmalenbach, “Art. 5”, in </w:t>
      </w:r>
      <w:r w:rsidRPr="00EC18A6">
        <w:rPr>
          <w:i/>
          <w:iCs/>
          <w:spacing w:val="2"/>
        </w:rPr>
        <w:t xml:space="preserve">Vienna </w:t>
      </w:r>
      <w:r w:rsidRPr="00BB6462">
        <w:rPr>
          <w:i/>
          <w:iCs/>
        </w:rPr>
        <w:t>Convention on the Law of Treaties – A Commentary</w:t>
      </w:r>
      <w:r w:rsidRPr="00BB6462">
        <w:t>, O. Dörr and K. Schmalenbach, eds., Heidelberg, Springer, 2012, p. 89, para. 1.</w:t>
      </w:r>
    </w:p>
  </w:footnote>
  <w:footnote w:id="29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9B00C9">
        <w:rPr>
          <w:rStyle w:val="a3"/>
          <w:rFonts w:hint="eastAsia"/>
          <w:noProof w:val="0"/>
          <w:sz w:val="21"/>
          <w:szCs w:val="21"/>
        </w:rPr>
        <w:tab/>
      </w:r>
      <w:r w:rsidRPr="00BB6462">
        <w:t>见</w:t>
      </w:r>
      <w:r w:rsidRPr="00BB6462">
        <w:t>1969</w:t>
      </w:r>
      <w:r w:rsidRPr="00BB6462">
        <w:t>年《</w:t>
      </w:r>
      <w:bookmarkStart w:id="54" w:name="OLE_LINK1"/>
      <w:bookmarkStart w:id="55" w:name="OLE_LINK2"/>
      <w:r w:rsidRPr="00BB6462">
        <w:t>维也纳条约法公约</w:t>
      </w:r>
      <w:bookmarkEnd w:id="54"/>
      <w:bookmarkEnd w:id="55"/>
      <w:r w:rsidRPr="00BB6462">
        <w:t>》第</w:t>
      </w:r>
      <w:r w:rsidRPr="00BB6462">
        <w:t>16</w:t>
      </w:r>
      <w:r w:rsidRPr="00BB6462">
        <w:t>条，第</w:t>
      </w:r>
      <w:r w:rsidRPr="00BB6462">
        <w:t>19</w:t>
      </w:r>
      <w:r w:rsidRPr="00BB6462">
        <w:t>条</w:t>
      </w:r>
      <w:r w:rsidRPr="00BB6462">
        <w:t>(a)</w:t>
      </w:r>
      <w:r w:rsidRPr="00BB6462">
        <w:rPr>
          <w:rFonts w:hAnsi="宋体"/>
        </w:rPr>
        <w:t>项和</w:t>
      </w:r>
      <w:r w:rsidRPr="00BB6462">
        <w:t>(b)</w:t>
      </w:r>
      <w:r w:rsidRPr="00BB6462">
        <w:rPr>
          <w:rFonts w:hAnsi="宋体"/>
        </w:rPr>
        <w:t>项，第</w:t>
      </w:r>
      <w:r w:rsidRPr="00BB6462">
        <w:t>20</w:t>
      </w:r>
      <w:r w:rsidRPr="00BB6462">
        <w:rPr>
          <w:rFonts w:hAnsi="宋体"/>
        </w:rPr>
        <w:t>条第</w:t>
      </w:r>
      <w:r w:rsidRPr="00BB6462">
        <w:t>1</w:t>
      </w:r>
      <w:r w:rsidRPr="00BB6462">
        <w:rPr>
          <w:rFonts w:hAnsi="宋体"/>
        </w:rPr>
        <w:t>、</w:t>
      </w:r>
      <w:r w:rsidRPr="00BB6462">
        <w:t>3</w:t>
      </w:r>
      <w:r w:rsidRPr="00BB6462">
        <w:rPr>
          <w:rFonts w:hAnsi="宋体"/>
        </w:rPr>
        <w:t>、</w:t>
      </w:r>
      <w:r w:rsidRPr="00BB6462">
        <w:t>4</w:t>
      </w:r>
      <w:r w:rsidRPr="00BB6462">
        <w:rPr>
          <w:rFonts w:hAnsi="宋体"/>
        </w:rPr>
        <w:t>和</w:t>
      </w:r>
      <w:r w:rsidRPr="00BB6462">
        <w:t>5</w:t>
      </w:r>
      <w:r w:rsidRPr="00BB6462">
        <w:rPr>
          <w:rFonts w:hAnsi="宋体"/>
        </w:rPr>
        <w:t>款，第</w:t>
      </w:r>
      <w:r w:rsidRPr="00BB6462">
        <w:t>22</w:t>
      </w:r>
      <w:r w:rsidRPr="00BB6462">
        <w:rPr>
          <w:rFonts w:hAnsi="宋体"/>
        </w:rPr>
        <w:t>条，第</w:t>
      </w:r>
      <w:r w:rsidRPr="00BB6462">
        <w:t>24</w:t>
      </w:r>
      <w:r w:rsidRPr="00BB6462">
        <w:rPr>
          <w:rFonts w:hAnsi="宋体"/>
        </w:rPr>
        <w:t>条第</w:t>
      </w:r>
      <w:r w:rsidRPr="00BB6462">
        <w:t>3</w:t>
      </w:r>
      <w:r w:rsidRPr="00BB6462">
        <w:rPr>
          <w:rFonts w:hAnsi="宋体"/>
        </w:rPr>
        <w:t>款，第</w:t>
      </w:r>
      <w:r w:rsidRPr="00BB6462">
        <w:t>25</w:t>
      </w:r>
      <w:r w:rsidRPr="00BB6462">
        <w:rPr>
          <w:rFonts w:hAnsi="宋体"/>
        </w:rPr>
        <w:t>条第</w:t>
      </w:r>
      <w:r w:rsidRPr="00BB6462">
        <w:t>2</w:t>
      </w:r>
      <w:r w:rsidRPr="00BB6462">
        <w:rPr>
          <w:rFonts w:hAnsi="宋体"/>
        </w:rPr>
        <w:t>款，第</w:t>
      </w:r>
      <w:r w:rsidRPr="00BB6462">
        <w:t>44</w:t>
      </w:r>
      <w:r w:rsidRPr="00BB6462">
        <w:rPr>
          <w:rFonts w:hAnsi="宋体"/>
        </w:rPr>
        <w:t>条第</w:t>
      </w:r>
      <w:r w:rsidRPr="00BB6462">
        <w:t>1</w:t>
      </w:r>
      <w:r w:rsidRPr="00BB6462">
        <w:rPr>
          <w:rFonts w:hAnsi="宋体"/>
        </w:rPr>
        <w:t>款，第</w:t>
      </w:r>
      <w:r w:rsidRPr="00BB6462">
        <w:t>55</w:t>
      </w:r>
      <w:r w:rsidRPr="00BB6462">
        <w:rPr>
          <w:rFonts w:hAnsi="宋体"/>
        </w:rPr>
        <w:t>条，第</w:t>
      </w:r>
      <w:r w:rsidRPr="00BB6462">
        <w:t>58</w:t>
      </w:r>
      <w:r w:rsidRPr="00BB6462">
        <w:rPr>
          <w:rFonts w:hAnsi="宋体"/>
        </w:rPr>
        <w:t>条第</w:t>
      </w:r>
      <w:r w:rsidRPr="00BB6462">
        <w:t>2</w:t>
      </w:r>
      <w:r w:rsidRPr="00BB6462">
        <w:rPr>
          <w:rFonts w:hAnsi="宋体"/>
        </w:rPr>
        <w:t>款，第</w:t>
      </w:r>
      <w:r w:rsidRPr="00BB6462">
        <w:t>70</w:t>
      </w:r>
      <w:r w:rsidRPr="00BB6462">
        <w:rPr>
          <w:rFonts w:hAnsi="宋体"/>
        </w:rPr>
        <w:t>条第</w:t>
      </w:r>
      <w:r w:rsidRPr="00BB6462">
        <w:t>1</w:t>
      </w:r>
      <w:r w:rsidRPr="00BB6462">
        <w:rPr>
          <w:rFonts w:hAnsi="宋体"/>
        </w:rPr>
        <w:t>款，第</w:t>
      </w:r>
      <w:r w:rsidRPr="00BB6462">
        <w:t>72</w:t>
      </w:r>
      <w:r w:rsidRPr="00BB6462">
        <w:rPr>
          <w:rFonts w:hAnsi="宋体"/>
        </w:rPr>
        <w:t>条第</w:t>
      </w:r>
      <w:r w:rsidRPr="00BB6462">
        <w:t>1</w:t>
      </w:r>
      <w:r w:rsidRPr="00BB6462">
        <w:rPr>
          <w:rFonts w:hAnsi="宋体"/>
        </w:rPr>
        <w:t>款，第</w:t>
      </w:r>
      <w:r w:rsidRPr="00BB6462">
        <w:t>77</w:t>
      </w:r>
      <w:r w:rsidRPr="00BB6462">
        <w:rPr>
          <w:rFonts w:hAnsi="宋体"/>
        </w:rPr>
        <w:t>条第</w:t>
      </w:r>
      <w:r w:rsidRPr="00BB6462">
        <w:t>1</w:t>
      </w:r>
      <w:r w:rsidRPr="00BB6462">
        <w:rPr>
          <w:rFonts w:hAnsi="宋体"/>
        </w:rPr>
        <w:t>款，</w:t>
      </w:r>
      <w:r w:rsidRPr="00BB6462">
        <w:t>(</w:t>
      </w:r>
      <w:r w:rsidRPr="00BB6462">
        <w:rPr>
          <w:rFonts w:hAnsi="宋体"/>
        </w:rPr>
        <w:t>联合国，《条约汇编》，第</w:t>
      </w:r>
      <w:r w:rsidRPr="00BB6462">
        <w:t>1155</w:t>
      </w:r>
      <w:r w:rsidRPr="00BB6462">
        <w:rPr>
          <w:rFonts w:hAnsi="宋体"/>
        </w:rPr>
        <w:t>卷，第</w:t>
      </w:r>
      <w:r w:rsidRPr="00BB6462">
        <w:rPr>
          <w:rFonts w:hint="eastAsia"/>
        </w:rPr>
        <w:t>331</w:t>
      </w:r>
      <w:r w:rsidRPr="00BB6462">
        <w:rPr>
          <w:rFonts w:hint="eastAsia"/>
        </w:rPr>
        <w:t>页</w:t>
      </w:r>
      <w:r w:rsidRPr="00BB6462">
        <w:t>)</w:t>
      </w:r>
      <w:r w:rsidRPr="00BB6462">
        <w:rPr>
          <w:rFonts w:hAnsi="宋体"/>
        </w:rPr>
        <w:t>。</w:t>
      </w:r>
    </w:p>
  </w:footnote>
  <w:footnote w:id="30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后一类由《关于国家和国际组织间或国际组织相互间条约法的维也纳公约》规定</w:t>
      </w:r>
      <w:r w:rsidRPr="00BB6462">
        <w:t xml:space="preserve"> (A/CONF.129/15)</w:t>
      </w:r>
      <w:r w:rsidRPr="00BB6462">
        <w:t>。</w:t>
      </w:r>
    </w:p>
  </w:footnote>
  <w:footnote w:id="30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rPr>
          <w:rFonts w:ascii="宋体" w:hAnsi="宋体"/>
        </w:rPr>
        <w:t>“</w:t>
      </w:r>
      <w:r w:rsidRPr="00BB6462">
        <w:t>科索沃单方面宣布独立是否符合国际法</w:t>
      </w:r>
      <w:r w:rsidRPr="00BB6462">
        <w:rPr>
          <w:rFonts w:ascii="宋体" w:hAnsi="宋体"/>
        </w:rPr>
        <w:t>”</w:t>
      </w:r>
      <w:r w:rsidRPr="00BB6462">
        <w:t>，咨询意见，《</w:t>
      </w:r>
      <w:r w:rsidRPr="00BB6462">
        <w:t>2010</w:t>
      </w:r>
      <w:r w:rsidRPr="00BB6462">
        <w:t>年国际法院案例汇编》，第</w:t>
      </w:r>
      <w:r w:rsidRPr="00BB6462">
        <w:t>403</w:t>
      </w:r>
      <w:r w:rsidRPr="00BB6462">
        <w:t>页起，引文见第</w:t>
      </w:r>
      <w:r w:rsidRPr="00BB6462">
        <w:t>442</w:t>
      </w:r>
      <w:r w:rsidRPr="00BB6462">
        <w:t>页，第</w:t>
      </w:r>
      <w:r w:rsidRPr="00BB6462">
        <w:t>94</w:t>
      </w:r>
      <w:r w:rsidRPr="00BB6462">
        <w:t>段</w:t>
      </w:r>
      <w:r w:rsidRPr="00BB6462">
        <w:t>(</w:t>
      </w:r>
      <w:r w:rsidRPr="00BB6462">
        <w:rPr>
          <w:rFonts w:ascii="宋体" w:hAnsi="宋体"/>
        </w:rPr>
        <w:t>“</w:t>
      </w:r>
      <w:r w:rsidRPr="00BB6462">
        <w:t>尽管《维也纳条约法公约》第</w:t>
      </w:r>
      <w:r w:rsidRPr="00BB6462">
        <w:t>31</w:t>
      </w:r>
      <w:r w:rsidRPr="00BB6462">
        <w:t>条和第</w:t>
      </w:r>
      <w:r w:rsidRPr="00BB6462">
        <w:t>32</w:t>
      </w:r>
      <w:r w:rsidRPr="00BB6462">
        <w:t>条所载的关于条约解释的规则可作为指引，但安全理事会决议同条约有所区别，因此在解释安全理事会决议时还需考虑其他因素。</w:t>
      </w:r>
      <w:r w:rsidRPr="00BB6462">
        <w:rPr>
          <w:rFonts w:ascii="宋体" w:hAnsi="宋体"/>
        </w:rPr>
        <w:t>”)</w:t>
      </w:r>
      <w:r w:rsidRPr="00BB6462">
        <w:t>；另见</w:t>
      </w:r>
      <w:r w:rsidRPr="00BB6462">
        <w:t xml:space="preserve">H. Thirlway, “The Law and Procedure of the International Court of Justice 1960-1989, Part Eight”, </w:t>
      </w:r>
      <w:r w:rsidRPr="00BB6462">
        <w:rPr>
          <w:i/>
        </w:rPr>
        <w:t>British Yearbook of International Law</w:t>
      </w:r>
      <w:r w:rsidRPr="00BB6462">
        <w:t xml:space="preserve">, vol. 67 (1996), p. 1, at p. 29; M.C. Wood, “The Interpretation of Security Council Resolutions”, </w:t>
      </w:r>
      <w:r w:rsidRPr="00BB6462">
        <w:rPr>
          <w:i/>
        </w:rPr>
        <w:t>Max Planck Yearbook of United Nations Law</w:t>
      </w:r>
      <w:r w:rsidRPr="00BB6462">
        <w:t xml:space="preserve">, vol. 2 (1998), p. 73, at p. 85; R. Gardiner, </w:t>
      </w:r>
      <w:r w:rsidRPr="00BB6462">
        <w:rPr>
          <w:i/>
        </w:rPr>
        <w:t>Treaty Interpretation</w:t>
      </w:r>
      <w:r w:rsidRPr="00BB6462">
        <w:t xml:space="preserve"> (Oxford, Oxford University Press, 2</w:t>
      </w:r>
      <w:r w:rsidRPr="009B00C9">
        <w:rPr>
          <w:color w:val="000000" w:themeColor="text1"/>
          <w:w w:val="150"/>
          <w:sz w:val="21"/>
          <w:vertAlign w:val="superscript"/>
        </w:rPr>
        <w:t>nd</w:t>
      </w:r>
      <w:r w:rsidRPr="00BB6462">
        <w:t xml:space="preserve"> ed. 2015), p. 127</w:t>
      </w:r>
      <w:r w:rsidRPr="00BB6462">
        <w:t>。</w:t>
      </w:r>
    </w:p>
  </w:footnote>
  <w:footnote w:id="30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rPr>
          <w:rFonts w:ascii="宋体" w:hAnsi="宋体"/>
        </w:rPr>
        <w:t>“请</w:t>
      </w:r>
      <w:r w:rsidRPr="00BB6462">
        <w:t>求解释</w:t>
      </w:r>
      <w:r w:rsidRPr="00BB6462">
        <w:t>1962</w:t>
      </w:r>
      <w:r w:rsidRPr="00BB6462">
        <w:t>年</w:t>
      </w:r>
      <w:r w:rsidRPr="00BB6462">
        <w:t>6</w:t>
      </w:r>
      <w:r w:rsidRPr="00BB6462">
        <w:t>月</w:t>
      </w:r>
      <w:r w:rsidRPr="00BB6462">
        <w:t>15</w:t>
      </w:r>
      <w:r w:rsidRPr="00BB6462">
        <w:t>日对柏威夏寺</w:t>
      </w:r>
      <w:r w:rsidRPr="00BB6462">
        <w:t>(</w:t>
      </w:r>
      <w:r w:rsidRPr="00EC18A6">
        <w:rPr>
          <w:rFonts w:ascii="楷体_GB2312" w:eastAsia="楷体_GB2312"/>
        </w:rPr>
        <w:t>柬埔寨诉泰国</w:t>
      </w:r>
      <w:r w:rsidRPr="00BB6462">
        <w:t>)</w:t>
      </w:r>
      <w:r w:rsidRPr="00BB6462">
        <w:t>案所作</w:t>
      </w:r>
      <w:r w:rsidRPr="00BB6462">
        <w:rPr>
          <w:rFonts w:ascii="宋体" w:hAnsi="宋体"/>
        </w:rPr>
        <w:t>判决”，</w:t>
      </w:r>
      <w:r w:rsidRPr="00BB6462">
        <w:t>判决书，《</w:t>
      </w:r>
      <w:r w:rsidRPr="00BB6462">
        <w:t>2013</w:t>
      </w:r>
      <w:r w:rsidRPr="00BB6462">
        <w:t>年国际法院案例汇编》第</w:t>
      </w:r>
      <w:r w:rsidRPr="00BB6462">
        <w:t>281</w:t>
      </w:r>
      <w:r w:rsidRPr="00BB6462">
        <w:t>页，引文见第</w:t>
      </w:r>
      <w:r w:rsidRPr="00BB6462">
        <w:t>307</w:t>
      </w:r>
      <w:r w:rsidRPr="00BB6462">
        <w:t>页，第</w:t>
      </w:r>
      <w:r w:rsidRPr="00BB6462">
        <w:t>75</w:t>
      </w:r>
      <w:r w:rsidRPr="00BB6462">
        <w:rPr>
          <w:rFonts w:ascii="宋体" w:hAnsi="宋体"/>
        </w:rPr>
        <w:t>段(“法院的判决不</w:t>
      </w:r>
      <w:r w:rsidRPr="00BB6462">
        <w:t>能等同于一项条约。按</w:t>
      </w:r>
      <w:r w:rsidRPr="00BB6462">
        <w:t>1969</w:t>
      </w:r>
      <w:r w:rsidRPr="00BB6462">
        <w:t>年《维也纳条约法公约》第</w:t>
      </w:r>
      <w:r w:rsidRPr="00BB6462">
        <w:t>31</w:t>
      </w:r>
      <w:r w:rsidRPr="00BB6462">
        <w:t>条第</w:t>
      </w:r>
      <w:r w:rsidRPr="00BB6462">
        <w:t>3</w:t>
      </w:r>
      <w:r w:rsidRPr="00BB6462">
        <w:t>款</w:t>
      </w:r>
      <w:r w:rsidRPr="00BB6462">
        <w:t>(b)</w:t>
      </w:r>
      <w:r w:rsidRPr="00BB6462">
        <w:t>项所述的原则，条约这种文书的约束力和内容源自缔约国的同意，其解释可能受到缔约国嗣后行为的影响。</w:t>
      </w:r>
      <w:r w:rsidRPr="00BB6462">
        <w:rPr>
          <w:rFonts w:ascii="宋体" w:hAnsi="宋体"/>
        </w:rPr>
        <w:t>”)。</w:t>
      </w:r>
    </w:p>
  </w:footnote>
  <w:footnote w:id="30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见</w:t>
      </w:r>
      <w:r w:rsidRPr="00BB6462">
        <w:t>Regina v. Secretary of State for the Environment, Transports and the Regions ex parte Alconbury (Developments Limited and others) [2001] UKHL 231</w:t>
      </w:r>
      <w:r w:rsidRPr="00BB6462">
        <w:t>；</w:t>
      </w:r>
      <w:r w:rsidRPr="00BB6462">
        <w:t>Regina v. Special Adjudicator ex parte Ullah; Do (FC) v. Immigration Appeal Tribunal [2004] UKHL 26 [20] (Lord Bingham)</w:t>
      </w:r>
      <w:r w:rsidRPr="00BB6462">
        <w:rPr>
          <w:rFonts w:hAnsi="宋体"/>
        </w:rPr>
        <w:t>；</w:t>
      </w:r>
      <w:r w:rsidRPr="00BB6462">
        <w:t>Regina (On The Application of Animal Defenders International) v. Secretary of State For Culture, Media and Sport [2008] UKHL 15</w:t>
      </w:r>
      <w:r w:rsidRPr="00BB6462">
        <w:t>。</w:t>
      </w:r>
    </w:p>
  </w:footnote>
  <w:footnote w:id="30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9B00C9">
        <w:rPr>
          <w:rStyle w:val="a3"/>
          <w:rFonts w:hint="eastAsia"/>
          <w:noProof w:val="0"/>
          <w:sz w:val="21"/>
          <w:szCs w:val="21"/>
        </w:rPr>
        <w:tab/>
      </w:r>
      <w:r w:rsidRPr="00BB6462">
        <w:t>特别是如</w:t>
      </w:r>
      <w:r w:rsidRPr="00BB6462">
        <w:t>1945</w:t>
      </w:r>
      <w:r w:rsidRPr="00BB6462">
        <w:t>年</w:t>
      </w:r>
      <w:r w:rsidRPr="00BB6462">
        <w:t>6</w:t>
      </w:r>
      <w:r w:rsidRPr="00BB6462">
        <w:t>月</w:t>
      </w:r>
      <w:r w:rsidRPr="00BB6462">
        <w:t>26</w:t>
      </w:r>
      <w:r w:rsidRPr="00BB6462">
        <w:t>日《国际法院规约》第</w:t>
      </w:r>
      <w:r w:rsidRPr="00BB6462">
        <w:t>38</w:t>
      </w:r>
      <w:r w:rsidRPr="00BB6462">
        <w:t>条第</w:t>
      </w:r>
      <w:r w:rsidRPr="00BB6462">
        <w:t>1</w:t>
      </w:r>
      <w:r w:rsidRPr="00BB6462">
        <w:t>款</w:t>
      </w:r>
      <w:r w:rsidRPr="00BB6462">
        <w:t>(d)</w:t>
      </w:r>
      <w:r w:rsidRPr="00BB6462">
        <w:rPr>
          <w:rFonts w:hAnsi="宋体"/>
        </w:rPr>
        <w:t>项所述，</w:t>
      </w:r>
      <w:r w:rsidRPr="00BB6462">
        <w:t>此类判例可用</w:t>
      </w:r>
      <w:r w:rsidRPr="00BB6462">
        <w:rPr>
          <w:rFonts w:hint="eastAsia"/>
        </w:rPr>
        <w:t>作确定法律原则的资料。</w:t>
      </w:r>
    </w:p>
  </w:footnote>
  <w:footnote w:id="30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Gardiner</w:t>
      </w:r>
      <w:r w:rsidRPr="00BB6462">
        <w:t>，前注</w:t>
      </w:r>
      <w:r w:rsidRPr="00BB6462">
        <w:rPr>
          <w:rFonts w:hint="eastAsia"/>
        </w:rPr>
        <w:t>301</w:t>
      </w:r>
      <w:r w:rsidRPr="00BB6462">
        <w:t>，第</w:t>
      </w:r>
      <w:r w:rsidRPr="00BB6462">
        <w:rPr>
          <w:rFonts w:hint="eastAsia"/>
        </w:rPr>
        <w:t>281-82</w:t>
      </w:r>
      <w:r w:rsidRPr="00BB6462">
        <w:t>页。</w:t>
      </w:r>
    </w:p>
  </w:footnote>
  <w:footnote w:id="30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rPr>
          <w:rFonts w:ascii="宋体" w:hAnsi="宋体"/>
        </w:rPr>
        <w:t>“国</w:t>
      </w:r>
      <w:r w:rsidRPr="00BB6462">
        <w:t>家在武装冲突中使用核武器的合法</w:t>
      </w:r>
      <w:r w:rsidRPr="00BB6462">
        <w:rPr>
          <w:rFonts w:ascii="宋体" w:hAnsi="宋体"/>
        </w:rPr>
        <w:t>性”，</w:t>
      </w:r>
      <w:r w:rsidRPr="00BB6462">
        <w:t>咨询意见，《</w:t>
      </w:r>
      <w:r w:rsidRPr="00BB6462">
        <w:t>1996</w:t>
      </w:r>
      <w:r w:rsidRPr="00BB6462">
        <w:t>年国际法院案例汇编》，第</w:t>
      </w:r>
      <w:r w:rsidRPr="00BB6462">
        <w:t>66</w:t>
      </w:r>
      <w:r w:rsidRPr="00BB6462">
        <w:t>页，引文见第</w:t>
      </w:r>
      <w:r w:rsidRPr="00BB6462">
        <w:t>74</w:t>
      </w:r>
      <w:r w:rsidRPr="00BB6462">
        <w:t>页，第</w:t>
      </w:r>
      <w:r w:rsidRPr="00BB6462">
        <w:t>19</w:t>
      </w:r>
      <w:r w:rsidRPr="00BB6462">
        <w:t>段。</w:t>
      </w:r>
    </w:p>
  </w:footnote>
  <w:footnote w:id="30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9B00C9">
        <w:rPr>
          <w:rStyle w:val="a3"/>
          <w:rFonts w:hint="eastAsia"/>
          <w:noProof w:val="0"/>
          <w:sz w:val="21"/>
          <w:szCs w:val="21"/>
        </w:rPr>
        <w:tab/>
      </w:r>
      <w:r w:rsidRPr="00BB6462">
        <w:rPr>
          <w:rFonts w:ascii="宋体" w:hAnsi="宋体"/>
        </w:rPr>
        <w:t>“联</w:t>
      </w:r>
      <w:r w:rsidRPr="00BB6462">
        <w:t>合国的某些经</w:t>
      </w:r>
      <w:r w:rsidRPr="00BB6462">
        <w:rPr>
          <w:rFonts w:ascii="宋体" w:hAnsi="宋体"/>
        </w:rPr>
        <w:t>费”(</w:t>
      </w:r>
      <w:r w:rsidRPr="00BB6462">
        <w:t>《宪章》第十七条第二款</w:t>
      </w:r>
      <w:r w:rsidRPr="00BB6462">
        <w:t>)</w:t>
      </w:r>
      <w:r w:rsidRPr="00BB6462">
        <w:t>，咨询意见，《</w:t>
      </w:r>
      <w:r w:rsidRPr="00BB6462">
        <w:t>1962</w:t>
      </w:r>
      <w:r w:rsidRPr="00BB6462">
        <w:t>年国际法院案例汇编》，第</w:t>
      </w:r>
      <w:r w:rsidRPr="00BB6462">
        <w:t>151</w:t>
      </w:r>
      <w:r w:rsidRPr="00BB6462">
        <w:t>页，引文见</w:t>
      </w:r>
      <w:r w:rsidRPr="00BB6462">
        <w:t>157</w:t>
      </w:r>
      <w:r w:rsidRPr="00BB6462">
        <w:t>页。</w:t>
      </w:r>
    </w:p>
  </w:footnote>
  <w:footnote w:id="30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rPr>
          <w:rFonts w:ascii="宋体" w:hAnsi="宋体"/>
        </w:rPr>
        <w:t>“国</w:t>
      </w:r>
      <w:r w:rsidRPr="00BB6462">
        <w:t>家在武装冲突中使用核武器的合法</w:t>
      </w:r>
      <w:r w:rsidRPr="00BB6462">
        <w:rPr>
          <w:rFonts w:ascii="宋体" w:hAnsi="宋体"/>
        </w:rPr>
        <w:t>性”，</w:t>
      </w:r>
      <w:r w:rsidRPr="00BB6462">
        <w:t>咨询意见，《</w:t>
      </w:r>
      <w:r w:rsidRPr="00BB6462">
        <w:t>1996</w:t>
      </w:r>
      <w:r w:rsidRPr="00BB6462">
        <w:t>年国际法院案例汇编》，第</w:t>
      </w:r>
      <w:r w:rsidRPr="00BB6462">
        <w:t>66</w:t>
      </w:r>
      <w:r w:rsidRPr="00BB6462">
        <w:t>页，引文见第</w:t>
      </w:r>
      <w:r w:rsidRPr="00BB6462">
        <w:t>75</w:t>
      </w:r>
      <w:r w:rsidRPr="00BB6462">
        <w:t>页，第</w:t>
      </w:r>
      <w:r w:rsidRPr="00BB6462">
        <w:t>19</w:t>
      </w:r>
      <w:r w:rsidRPr="00BB6462">
        <w:t>段。</w:t>
      </w:r>
    </w:p>
  </w:footnote>
  <w:footnote w:id="30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同上。</w:t>
      </w:r>
    </w:p>
  </w:footnote>
  <w:footnote w:id="31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同上。</w:t>
      </w:r>
    </w:p>
  </w:footnote>
  <w:footnote w:id="31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见</w:t>
      </w:r>
      <w:r w:rsidRPr="00BB6462">
        <w:t xml:space="preserve">Art. 17 Convention and Statute relating to the Development of the Chad Basin (Treaty of Fort-Lamy von 1964), </w:t>
      </w:r>
      <w:r w:rsidRPr="00BB6462">
        <w:rPr>
          <w:i/>
        </w:rPr>
        <w:t>Heidelberg Journal of International Law</w:t>
      </w:r>
      <w:r w:rsidRPr="00BB6462">
        <w:t>, vol. 34 (1974), at p. 80</w:t>
      </w:r>
      <w:r w:rsidRPr="00BB6462">
        <w:t>；一般参考：</w:t>
      </w:r>
      <w:r w:rsidRPr="00BB6462">
        <w:t xml:space="preserve">P. H. Sand, </w:t>
      </w:r>
      <w:r w:rsidRPr="00BB6462">
        <w:rPr>
          <w:rFonts w:eastAsia="仿宋_GB2312"/>
        </w:rPr>
        <w:t>“</w:t>
      </w:r>
      <w:r w:rsidRPr="00BB6462">
        <w:t xml:space="preserve">Development of International Water Law in the Lake Chad Basin”, </w:t>
      </w:r>
      <w:r w:rsidRPr="00BB6462">
        <w:rPr>
          <w:iCs/>
        </w:rPr>
        <w:t>同上</w:t>
      </w:r>
      <w:r w:rsidRPr="00BB6462">
        <w:t>，第</w:t>
      </w:r>
      <w:r w:rsidRPr="00BB6462">
        <w:t>52-76</w:t>
      </w:r>
      <w:r w:rsidRPr="00BB6462">
        <w:t>页。</w:t>
      </w:r>
    </w:p>
  </w:footnote>
  <w:footnote w:id="31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rPr>
          <w:rFonts w:ascii="宋体" w:hAnsi="宋体"/>
        </w:rPr>
        <w:t>“</w:t>
      </w:r>
      <w:r w:rsidRPr="00BB6462">
        <w:t>喀麦隆和尼日利亚间陆地和海洋疆界</w:t>
      </w:r>
      <w:r w:rsidRPr="00BB6462">
        <w:rPr>
          <w:rFonts w:ascii="宋体" w:hAnsi="宋体"/>
        </w:rPr>
        <w:t>”，</w:t>
      </w:r>
      <w:r w:rsidRPr="00BB6462">
        <w:t>初步反对意见，判决书，《</w:t>
      </w:r>
      <w:r w:rsidRPr="00BB6462">
        <w:t>1998</w:t>
      </w:r>
      <w:r w:rsidRPr="00BB6462">
        <w:t>年国际法院案例汇编》，第</w:t>
      </w:r>
      <w:r w:rsidRPr="00BB6462">
        <w:t>275</w:t>
      </w:r>
      <w:r w:rsidRPr="00BB6462">
        <w:t>页，引文见第</w:t>
      </w:r>
      <w:r w:rsidRPr="00BB6462">
        <w:t>305</w:t>
      </w:r>
      <w:r w:rsidRPr="00BB6462">
        <w:t>页，第</w:t>
      </w:r>
      <w:r w:rsidRPr="00BB6462">
        <w:t>65</w:t>
      </w:r>
      <w:r w:rsidRPr="00BB6462">
        <w:t>段。</w:t>
      </w:r>
    </w:p>
  </w:footnote>
  <w:footnote w:id="31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同上，引文见第</w:t>
      </w:r>
      <w:r w:rsidRPr="00BB6462">
        <w:t>306-307</w:t>
      </w:r>
      <w:r w:rsidRPr="00BB6462">
        <w:t>页，第</w:t>
      </w:r>
      <w:r w:rsidRPr="00BB6462">
        <w:t>67</w:t>
      </w:r>
      <w:r w:rsidRPr="00BB6462">
        <w:t>段。</w:t>
      </w:r>
    </w:p>
  </w:footnote>
  <w:footnote w:id="31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南极捕鲸</w:t>
      </w:r>
      <w:r w:rsidRPr="00BB6462">
        <w:t>(</w:t>
      </w:r>
      <w:r w:rsidRPr="00BB6462">
        <w:t>澳大利亚诉日本：新西兰参与</w:t>
      </w:r>
      <w:r w:rsidRPr="00BB6462">
        <w:t>)</w:t>
      </w:r>
      <w:r w:rsidRPr="00BB6462">
        <w:t>案，国际法院</w:t>
      </w:r>
      <w:r w:rsidRPr="00BB6462">
        <w:t>2014</w:t>
      </w:r>
      <w:r w:rsidRPr="00BB6462">
        <w:t>年</w:t>
      </w:r>
      <w:r w:rsidRPr="00BB6462">
        <w:t>3</w:t>
      </w:r>
      <w:r w:rsidRPr="00BB6462">
        <w:t>月</w:t>
      </w:r>
      <w:r w:rsidRPr="00BB6462">
        <w:t>31</w:t>
      </w:r>
      <w:r w:rsidRPr="00BB6462">
        <w:t>日判决书，第</w:t>
      </w:r>
      <w:r w:rsidRPr="00BB6462">
        <w:t>46</w:t>
      </w:r>
      <w:r w:rsidRPr="00BB6462">
        <w:t>段，</w:t>
      </w:r>
      <w:r w:rsidRPr="00BB6462">
        <w:t>http://www.icj-cij.org/docket/files/148/18136.pdf</w:t>
      </w:r>
      <w:r w:rsidRPr="00BB6462">
        <w:t>；另见后注</w:t>
      </w:r>
      <w:r w:rsidRPr="00BB6462">
        <w:t>49</w:t>
      </w:r>
      <w:r w:rsidRPr="00BB6462">
        <w:t>和随附文本。</w:t>
      </w:r>
    </w:p>
  </w:footnote>
  <w:footnote w:id="31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见《维也纳公约》第</w:t>
      </w:r>
      <w:r>
        <w:rPr>
          <w:rFonts w:hint="eastAsia"/>
        </w:rPr>
        <w:t>三十九至第四十一</w:t>
      </w:r>
      <w:r w:rsidRPr="00BB6462">
        <w:t>条。</w:t>
      </w:r>
    </w:p>
  </w:footnote>
  <w:footnote w:id="31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见</w:t>
      </w:r>
      <w:r w:rsidRPr="00BB6462">
        <w:t>Madrid European Council, Conclusions of the Presidency, European Union Bulletin, no. 12 (1995), p. 10 at I. A. I.</w:t>
      </w:r>
      <w:r w:rsidRPr="00BB6462">
        <w:t>。</w:t>
      </w:r>
    </w:p>
  </w:footnote>
  <w:footnote w:id="31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i/>
        </w:rPr>
      </w:pPr>
      <w:r>
        <w:rPr>
          <w:rFonts w:hint="eastAsia"/>
        </w:rPr>
        <w:tab/>
      </w:r>
      <w:r w:rsidRPr="009B00C9">
        <w:rPr>
          <w:rStyle w:val="a3"/>
          <w:noProof w:val="0"/>
          <w:sz w:val="21"/>
          <w:szCs w:val="21"/>
        </w:rPr>
        <w:footnoteRef/>
      </w:r>
      <w:r>
        <w:rPr>
          <w:rFonts w:hint="eastAsia"/>
        </w:rPr>
        <w:tab/>
      </w:r>
      <w:r w:rsidRPr="00BB6462">
        <w:rPr>
          <w:rFonts w:hint="eastAsia"/>
        </w:rPr>
        <w:t>同上。</w:t>
      </w:r>
    </w:p>
  </w:footnote>
  <w:footnote w:id="31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见</w:t>
      </w:r>
      <w:r w:rsidRPr="00BB6462">
        <w:t>A. Aust</w:t>
      </w:r>
      <w:r w:rsidRPr="00BB6462">
        <w:rPr>
          <w:i/>
        </w:rPr>
        <w:t>, Modern Treaty Law and Practice</w:t>
      </w:r>
      <w:r w:rsidRPr="00BB6462">
        <w:t>, 3rd ed. (Cambridge, Cambridge University Press, 2013), p. 215</w:t>
      </w:r>
      <w:r w:rsidRPr="00BB6462">
        <w:t>；</w:t>
      </w:r>
      <w:r w:rsidRPr="00BB6462">
        <w:t xml:space="preserve">G. Hafner, </w:t>
      </w:r>
      <w:r w:rsidRPr="00BB6462">
        <w:rPr>
          <w:rFonts w:eastAsia="仿宋_GB2312"/>
        </w:rPr>
        <w:t>“</w:t>
      </w:r>
      <w:r w:rsidRPr="00BB6462">
        <w:t xml:space="preserve">Subsequent Agreements and Practice: Between Interpretation, Informal Modification and Formal Amendment”, in </w:t>
      </w:r>
      <w:r w:rsidRPr="00BB6462">
        <w:rPr>
          <w:i/>
        </w:rPr>
        <w:t>Treaties and Subsequent Practice</w:t>
      </w:r>
      <w:r w:rsidRPr="00BB6462">
        <w:t>, G.</w:t>
      </w:r>
      <w:r w:rsidRPr="00BB6462">
        <w:rPr>
          <w:i/>
        </w:rPr>
        <w:t xml:space="preserve"> </w:t>
      </w:r>
      <w:r w:rsidRPr="00BB6462">
        <w:t>Nolte, ed. (Oxford, Oxford University Press, 2013), p. 105, at pp. 109-110</w:t>
      </w:r>
      <w:r w:rsidRPr="00BB6462">
        <w:t>。</w:t>
      </w:r>
    </w:p>
  </w:footnote>
  <w:footnote w:id="31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 xml:space="preserve">P.C.G. Kapteyn and P. VerLoren van Themaat, </w:t>
      </w:r>
      <w:r w:rsidRPr="00BB6462">
        <w:rPr>
          <w:i/>
        </w:rPr>
        <w:t xml:space="preserve">Introduction to the Law of the European </w:t>
      </w:r>
      <w:r w:rsidRPr="00BB6462">
        <w:t>Communities, 3rd ed. (London, Kluwer Law International, 1998), pp. 340-343</w:t>
      </w:r>
      <w:r w:rsidRPr="00BB6462">
        <w:t>。</w:t>
      </w:r>
    </w:p>
  </w:footnote>
  <w:footnote w:id="32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9B00C9">
        <w:rPr>
          <w:rStyle w:val="a3"/>
          <w:noProof w:val="0"/>
          <w:sz w:val="21"/>
          <w:szCs w:val="21"/>
        </w:rPr>
        <w:footnoteRef/>
      </w:r>
      <w:r w:rsidRPr="00BB6462">
        <w:rPr>
          <w:rFonts w:hint="eastAsia"/>
        </w:rPr>
        <w:tab/>
      </w:r>
      <w:r w:rsidRPr="00BB6462">
        <w:t xml:space="preserve">Case C-181/91 and C-248/91, </w:t>
      </w:r>
      <w:r w:rsidRPr="00BB6462">
        <w:rPr>
          <w:i/>
        </w:rPr>
        <w:t xml:space="preserve">Parliament v. Council and Commission </w:t>
      </w:r>
      <w:r w:rsidRPr="00BB6462">
        <w:t>[1993], ECR I-3713, para 12</w:t>
      </w:r>
      <w:r w:rsidRPr="00BB6462">
        <w:t>。</w:t>
      </w:r>
    </w:p>
  </w:footnote>
  <w:footnote w:id="32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同上，第</w:t>
      </w:r>
      <w:r w:rsidRPr="00BB6462">
        <w:t>14</w:t>
      </w:r>
      <w:r w:rsidRPr="00BB6462">
        <w:t>段。</w:t>
      </w:r>
    </w:p>
  </w:footnote>
  <w:footnote w:id="32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见结论草案</w:t>
      </w:r>
      <w:r w:rsidRPr="00BB6462">
        <w:t>1(4)</w:t>
      </w:r>
      <w:r w:rsidRPr="00BB6462">
        <w:t>和</w:t>
      </w:r>
      <w:r w:rsidRPr="00BB6462">
        <w:t>4(3)</w:t>
      </w:r>
      <w:r w:rsidRPr="00BB6462">
        <w:t>，国际法委员会第六十五届会议报告，</w:t>
      </w:r>
      <w:r w:rsidRPr="00BB6462">
        <w:rPr>
          <w:rFonts w:hint="eastAsia"/>
        </w:rPr>
        <w:t>《</w:t>
      </w:r>
      <w:r w:rsidRPr="00BB6462">
        <w:t>大会正式记录，第六十八届会议，补编第</w:t>
      </w:r>
      <w:r w:rsidRPr="00BB6462">
        <w:t>10</w:t>
      </w:r>
      <w:r w:rsidRPr="00BB6462">
        <w:t>号</w:t>
      </w:r>
      <w:r w:rsidRPr="00BB6462">
        <w:rPr>
          <w:rFonts w:hint="eastAsia"/>
        </w:rPr>
        <w:t>》</w:t>
      </w:r>
      <w:r w:rsidRPr="00BB6462">
        <w:t>(A/68/10)</w:t>
      </w:r>
      <w:r w:rsidRPr="00BB6462">
        <w:t>，第四章，第</w:t>
      </w:r>
      <w:r w:rsidRPr="00BB6462">
        <w:t>11-12</w:t>
      </w:r>
      <w:r w:rsidRPr="00BB6462">
        <w:t>页；第</w:t>
      </w:r>
      <w:r w:rsidRPr="00BB6462">
        <w:t>16-17</w:t>
      </w:r>
      <w:r w:rsidRPr="00BB6462">
        <w:t>页，第</w:t>
      </w:r>
      <w:r w:rsidRPr="00BB6462">
        <w:t>10</w:t>
      </w:r>
      <w:r w:rsidRPr="00BB6462">
        <w:t>段；第</w:t>
      </w:r>
      <w:r w:rsidRPr="00BB6462">
        <w:t>37-41</w:t>
      </w:r>
      <w:r w:rsidRPr="00BB6462">
        <w:t>页，第</w:t>
      </w:r>
      <w:r w:rsidRPr="00BB6462">
        <w:t>22-36</w:t>
      </w:r>
      <w:r w:rsidRPr="00BB6462">
        <w:t>段。</w:t>
      </w:r>
    </w:p>
  </w:footnote>
  <w:footnote w:id="32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hAnsi="宋体"/>
        </w:rPr>
        <w:t>又如</w:t>
      </w:r>
      <w:r w:rsidRPr="00BB6462">
        <w:t>1944</w:t>
      </w:r>
      <w:r w:rsidRPr="00BB6462">
        <w:rPr>
          <w:rFonts w:hAnsi="宋体"/>
        </w:rPr>
        <w:t>年</w:t>
      </w:r>
      <w:r w:rsidRPr="00BB6462">
        <w:rPr>
          <w:rFonts w:hAnsi="宋体" w:hint="eastAsia"/>
        </w:rPr>
        <w:t>12</w:t>
      </w:r>
      <w:r w:rsidRPr="00BB6462">
        <w:rPr>
          <w:rFonts w:hAnsi="宋体" w:hint="eastAsia"/>
        </w:rPr>
        <w:t>月</w:t>
      </w:r>
      <w:r w:rsidRPr="00BB6462">
        <w:rPr>
          <w:rFonts w:hAnsi="宋体" w:hint="eastAsia"/>
        </w:rPr>
        <w:t>7</w:t>
      </w:r>
      <w:r w:rsidRPr="00BB6462">
        <w:rPr>
          <w:rFonts w:hAnsi="宋体" w:hint="eastAsia"/>
        </w:rPr>
        <w:t>日</w:t>
      </w:r>
      <w:r w:rsidRPr="00BB6462">
        <w:rPr>
          <w:rFonts w:hAnsi="宋体"/>
        </w:rPr>
        <w:t>于芝加哥签订的《国际民用航空公约》</w:t>
      </w:r>
      <w:r w:rsidRPr="00BB6462">
        <w:t>(</w:t>
      </w:r>
      <w:r w:rsidRPr="00BB6462">
        <w:rPr>
          <w:rFonts w:hAnsi="宋体"/>
        </w:rPr>
        <w:t>《芝加哥公约》</w:t>
      </w:r>
      <w:r w:rsidRPr="00BB6462">
        <w:t>)(</w:t>
      </w:r>
      <w:r w:rsidRPr="00BB6462">
        <w:rPr>
          <w:rFonts w:hAnsi="宋体"/>
        </w:rPr>
        <w:t>联合国</w:t>
      </w:r>
      <w:r w:rsidRPr="00BB6462">
        <w:rPr>
          <w:rFonts w:hAnsi="宋体" w:hint="eastAsia"/>
        </w:rPr>
        <w:t>，《</w:t>
      </w:r>
      <w:r w:rsidRPr="00BB6462">
        <w:rPr>
          <w:rFonts w:hAnsi="宋体"/>
        </w:rPr>
        <w:t>条约汇编》，第</w:t>
      </w:r>
      <w:r w:rsidRPr="00BB6462">
        <w:t>15</w:t>
      </w:r>
      <w:r w:rsidRPr="00BB6462">
        <w:rPr>
          <w:rFonts w:hAnsi="宋体"/>
        </w:rPr>
        <w:t>卷，</w:t>
      </w:r>
      <w:r>
        <w:rPr>
          <w:rFonts w:hAnsi="宋体" w:hint="eastAsia"/>
        </w:rPr>
        <w:t>第</w:t>
      </w:r>
      <w:r>
        <w:rPr>
          <w:rFonts w:hAnsi="宋体" w:hint="eastAsia"/>
        </w:rPr>
        <w:t>295</w:t>
      </w:r>
      <w:r>
        <w:rPr>
          <w:rFonts w:hAnsi="宋体" w:hint="eastAsia"/>
        </w:rPr>
        <w:t>页</w:t>
      </w:r>
      <w:r w:rsidRPr="00BB6462">
        <w:t>)</w:t>
      </w:r>
      <w:r w:rsidRPr="00BB6462">
        <w:rPr>
          <w:rFonts w:hAnsi="宋体"/>
        </w:rPr>
        <w:t>；</w:t>
      </w:r>
      <w:r w:rsidRPr="00BB6462">
        <w:rPr>
          <w:lang w:val="en-GB"/>
        </w:rPr>
        <w:t xml:space="preserve">P.P.C. Haanappel, </w:t>
      </w:r>
      <w:r w:rsidRPr="00BB6462">
        <w:rPr>
          <w:rFonts w:eastAsia="仿宋_GB2312"/>
          <w:lang w:val="en-GB"/>
        </w:rPr>
        <w:t>“</w:t>
      </w:r>
      <w:r w:rsidRPr="00BB6462">
        <w:rPr>
          <w:lang w:val="en-GB"/>
        </w:rPr>
        <w:t xml:space="preserve">Bilateral Air Transport Agreements – 1913-1980”, </w:t>
      </w:r>
      <w:r w:rsidRPr="00BB6462">
        <w:rPr>
          <w:i/>
          <w:lang w:val="en-GB"/>
        </w:rPr>
        <w:t>The International Trade Law Journal</w:t>
      </w:r>
      <w:r w:rsidRPr="00BB6462">
        <w:rPr>
          <w:lang w:val="en-GB"/>
        </w:rPr>
        <w:t>, vol. 5 (1980), p. 241, at pp. 241-267</w:t>
      </w:r>
      <w:r w:rsidRPr="00BB6462">
        <w:rPr>
          <w:lang w:val="en-GB"/>
        </w:rPr>
        <w:t>；</w:t>
      </w:r>
      <w:r w:rsidRPr="00BB6462">
        <w:rPr>
          <w:lang w:val="en-GB"/>
        </w:rPr>
        <w:t xml:space="preserve">L. Tomas, </w:t>
      </w:r>
      <w:r w:rsidRPr="00BB6462">
        <w:rPr>
          <w:rFonts w:eastAsia="仿宋_GB2312"/>
          <w:lang w:val="en-GB"/>
        </w:rPr>
        <w:t>“</w:t>
      </w:r>
      <w:r w:rsidRPr="00BB6462">
        <w:rPr>
          <w:lang w:val="en-GB"/>
        </w:rPr>
        <w:t xml:space="preserve">Air Transport Agreements, Regulation of Liability”, in </w:t>
      </w:r>
      <w:r w:rsidRPr="00BB6462">
        <w:rPr>
          <w:i/>
          <w:iCs/>
          <w:lang w:val="en-GB"/>
        </w:rPr>
        <w:t>Max Planck Encyclopedia of Public International Law</w:t>
      </w:r>
      <w:r w:rsidRPr="00BB6462">
        <w:rPr>
          <w:lang w:val="en-GB"/>
        </w:rPr>
        <w:t xml:space="preserve"> (http://www.mpepil.com)</w:t>
      </w:r>
      <w:r w:rsidRPr="00BB6462">
        <w:rPr>
          <w:lang w:val="en-GB"/>
        </w:rPr>
        <w:t>；</w:t>
      </w:r>
      <w:r w:rsidRPr="00BB6462">
        <w:t xml:space="preserve">B. F. Havel, </w:t>
      </w:r>
      <w:r w:rsidRPr="00BB6462">
        <w:rPr>
          <w:i/>
        </w:rPr>
        <w:t>Beyond Open Skies, A New Regime for International Aviation</w:t>
      </w:r>
      <w:r w:rsidRPr="00BB6462">
        <w:t xml:space="preserve"> (Alphen aan den Rijn, Kluwer Law International, 2009), p. 10</w:t>
      </w:r>
      <w:r w:rsidRPr="00BB6462">
        <w:t>。</w:t>
      </w:r>
    </w:p>
  </w:footnote>
  <w:footnote w:id="32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 xml:space="preserve">R. Higgins, </w:t>
      </w:r>
      <w:r w:rsidRPr="00BB6462">
        <w:rPr>
          <w:rFonts w:eastAsia="仿宋_GB2312"/>
        </w:rPr>
        <w:t>“</w:t>
      </w:r>
      <w:r w:rsidRPr="00BB6462">
        <w:t xml:space="preserve">The Development of International Law by the Political Organs of the United Nations”, </w:t>
      </w:r>
      <w:r w:rsidRPr="00BB6462">
        <w:rPr>
          <w:i/>
        </w:rPr>
        <w:t>ASIL Proceedings 59th Annual Meeting</w:t>
      </w:r>
      <w:r w:rsidRPr="00BB6462">
        <w:t xml:space="preserve"> (1965), p. 116, at p. 119</w:t>
      </w:r>
      <w:r w:rsidRPr="00BB6462">
        <w:t>；国际组织的惯例，除出自或体现在第</w:t>
      </w:r>
      <w:r w:rsidRPr="00BB6462">
        <w:t>2</w:t>
      </w:r>
      <w:r w:rsidRPr="00BB6462">
        <w:t>段所述缔约方本身的共识或惯例中外，还可能其本身就是第</w:t>
      </w:r>
      <w:r w:rsidRPr="00BB6462">
        <w:t>3</w:t>
      </w:r>
      <w:r w:rsidRPr="00BB6462">
        <w:t>段所述的一种解释手段</w:t>
      </w:r>
      <w:r w:rsidRPr="00BB6462">
        <w:t>(</w:t>
      </w:r>
      <w:r w:rsidRPr="00BB6462">
        <w:rPr>
          <w:rFonts w:hAnsi="宋体"/>
        </w:rPr>
        <w:t>见下文第</w:t>
      </w:r>
      <w:r w:rsidRPr="00BB6462">
        <w:t>25-35</w:t>
      </w:r>
      <w:r w:rsidRPr="00BB6462">
        <w:t>段</w:t>
      </w:r>
      <w:r w:rsidRPr="00BB6462">
        <w:t>)</w:t>
      </w:r>
      <w:r w:rsidRPr="00BB6462">
        <w:t>。</w:t>
      </w:r>
    </w:p>
  </w:footnote>
  <w:footnote w:id="32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933E56">
        <w:rPr>
          <w:rFonts w:asciiTheme="minorEastAsia" w:eastAsiaTheme="minorEastAsia" w:hAnsiTheme="minorEastAsia"/>
        </w:rPr>
        <w:t>“国家在武装冲突中使用核武器的合法性”</w:t>
      </w:r>
      <w:r w:rsidRPr="00BB6462">
        <w:t>，咨询意见，《</w:t>
      </w:r>
      <w:r w:rsidRPr="00BB6462">
        <w:t>1996</w:t>
      </w:r>
      <w:r w:rsidRPr="00BB6462">
        <w:t>年国际法院案例汇编》，第</w:t>
      </w:r>
      <w:r w:rsidRPr="00BB6462">
        <w:t>66</w:t>
      </w:r>
      <w:r w:rsidRPr="00BB6462">
        <w:t>页，引文见第</w:t>
      </w:r>
      <w:r w:rsidRPr="00BB6462">
        <w:t>81</w:t>
      </w:r>
      <w:r w:rsidRPr="00BB6462">
        <w:t>页，第</w:t>
      </w:r>
      <w:r w:rsidRPr="00BB6462">
        <w:t>27</w:t>
      </w:r>
      <w:r w:rsidRPr="00BB6462">
        <w:t>段。</w:t>
      </w:r>
    </w:p>
  </w:footnote>
  <w:footnote w:id="32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7170E8">
        <w:rPr>
          <w:rStyle w:val="a3"/>
          <w:rFonts w:hint="eastAsia"/>
          <w:noProof w:val="0"/>
          <w:sz w:val="21"/>
          <w:szCs w:val="21"/>
        </w:rPr>
        <w:tab/>
      </w:r>
      <w:r w:rsidRPr="00BB6462">
        <w:t>常设国际法院在以下案件中便采用了这种办法：</w:t>
      </w:r>
      <w:r w:rsidRPr="00BB6462">
        <w:rPr>
          <w:rFonts w:hint="eastAsia"/>
        </w:rPr>
        <w:t>“</w:t>
      </w:r>
      <w:r w:rsidRPr="00BB6462">
        <w:rPr>
          <w:rFonts w:ascii="宋体" w:hAnsi="宋体"/>
        </w:rPr>
        <w:t>关</w:t>
      </w:r>
      <w:r w:rsidRPr="00BB6462">
        <w:t>于国际劳工组织附带规范雇主个人工作的权限</w:t>
      </w:r>
      <w:r w:rsidRPr="00BB6462">
        <w:rPr>
          <w:rFonts w:ascii="宋体" w:hAnsi="宋体"/>
        </w:rPr>
        <w:t>”</w:t>
      </w:r>
      <w:r w:rsidRPr="00BB6462">
        <w:t>，咨询意见，</w:t>
      </w:r>
      <w:r w:rsidRPr="00BB6462">
        <w:t>1926</w:t>
      </w:r>
      <w:r w:rsidRPr="00BB6462">
        <w:t>年，《</w:t>
      </w:r>
      <w:bookmarkStart w:id="58" w:name="OLE_LINK3"/>
      <w:bookmarkStart w:id="59" w:name="OLE_LINK4"/>
      <w:r w:rsidRPr="00BB6462">
        <w:t>常设国际法院案例汇编</w:t>
      </w:r>
      <w:bookmarkEnd w:id="58"/>
      <w:bookmarkEnd w:id="59"/>
      <w:r w:rsidRPr="00BB6462">
        <w:t>》，</w:t>
      </w:r>
      <w:r w:rsidRPr="00BB6462">
        <w:t>B</w:t>
      </w:r>
      <w:r w:rsidRPr="00BB6462">
        <w:t>辑第</w:t>
      </w:r>
      <w:r w:rsidRPr="00BB6462">
        <w:t>13</w:t>
      </w:r>
      <w:r w:rsidRPr="00BB6462">
        <w:t>号，引文见第</w:t>
      </w:r>
      <w:r w:rsidRPr="00BB6462">
        <w:t>19-20</w:t>
      </w:r>
      <w:r w:rsidRPr="00BB6462">
        <w:t>页；见</w:t>
      </w:r>
      <w:r w:rsidRPr="00BB6462">
        <w:t xml:space="preserve">S. Engel, </w:t>
      </w:r>
      <w:r w:rsidRPr="00BB6462">
        <w:rPr>
          <w:rFonts w:eastAsia="仿宋_GB2312"/>
        </w:rPr>
        <w:t>“</w:t>
      </w:r>
      <w:r w:rsidRPr="00BB6462">
        <w:t xml:space="preserve">‘Living’ International Constitutions and the World Court (the Subsequent Practice of International Organs under their Constituent Instruments)”, </w:t>
      </w:r>
      <w:r w:rsidRPr="00BB6462">
        <w:rPr>
          <w:i/>
        </w:rPr>
        <w:t>International and Comparative Law Quarterly</w:t>
      </w:r>
      <w:r w:rsidRPr="00BB6462">
        <w:t>, vol. 16 (1967), p. 865, at p. 871</w:t>
      </w:r>
      <w:r w:rsidRPr="00BB6462">
        <w:t>。</w:t>
      </w:r>
    </w:p>
  </w:footnote>
  <w:footnote w:id="32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hint="eastAsia"/>
        </w:rPr>
        <w:t>世贸组织，美国</w:t>
      </w:r>
      <w:r w:rsidRPr="00BB6462">
        <w:t>影响丁香烟生产和销售措施</w:t>
      </w:r>
      <w:r w:rsidRPr="00BB6462">
        <w:rPr>
          <w:rFonts w:hint="eastAsia"/>
        </w:rPr>
        <w:t>案</w:t>
      </w:r>
      <w:r w:rsidRPr="00BB6462">
        <w:t>, WT/DS406/AB/R,  2012</w:t>
      </w:r>
      <w:r w:rsidRPr="00BB6462">
        <w:rPr>
          <w:rFonts w:hint="eastAsia"/>
        </w:rPr>
        <w:t>年</w:t>
      </w:r>
      <w:r w:rsidRPr="00BB6462">
        <w:rPr>
          <w:rFonts w:hint="eastAsia"/>
        </w:rPr>
        <w:t>4</w:t>
      </w:r>
      <w:r w:rsidRPr="00BB6462">
        <w:rPr>
          <w:rFonts w:hint="eastAsia"/>
        </w:rPr>
        <w:t>月</w:t>
      </w:r>
      <w:r w:rsidRPr="00BB6462">
        <w:rPr>
          <w:rFonts w:hint="eastAsia"/>
        </w:rPr>
        <w:t>4</w:t>
      </w:r>
      <w:r w:rsidRPr="00BB6462">
        <w:rPr>
          <w:rFonts w:hint="eastAsia"/>
        </w:rPr>
        <w:t>日，第</w:t>
      </w:r>
      <w:r w:rsidRPr="00BB6462">
        <w:t>262</w:t>
      </w:r>
      <w:r w:rsidRPr="00BB6462">
        <w:rPr>
          <w:rFonts w:hint="eastAsia"/>
        </w:rPr>
        <w:t>段</w:t>
      </w:r>
      <w:r w:rsidRPr="00BB6462">
        <w:t>。</w:t>
      </w:r>
    </w:p>
  </w:footnote>
  <w:footnote w:id="32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同上</w:t>
      </w:r>
      <w:r w:rsidRPr="00BB6462">
        <w:t>(</w:t>
      </w:r>
      <w:r w:rsidRPr="00BB6462">
        <w:t>脚注略</w:t>
      </w:r>
      <w:r w:rsidRPr="00BB6462">
        <w:t>)</w:t>
      </w:r>
      <w:r w:rsidRPr="00BB6462">
        <w:t>；《多哈部长级会议决定》尽管不涉及《世贸组织协定》本身的条款，但涉及其中一个附件</w:t>
      </w:r>
      <w:r w:rsidRPr="00BB6462">
        <w:t>(</w:t>
      </w:r>
      <w:r w:rsidRPr="00BB6462">
        <w:t>《技术性贸易壁垒协议》</w:t>
      </w:r>
      <w:r w:rsidRPr="00BB6462">
        <w:t>)</w:t>
      </w:r>
      <w:r w:rsidRPr="00BB6462">
        <w:t>，该附件是《建立世贸组织的协定》的</w:t>
      </w:r>
      <w:r w:rsidRPr="00EC18A6">
        <w:rPr>
          <w:rFonts w:asciiTheme="minorEastAsia" w:eastAsiaTheme="minorEastAsia" w:hAnsiTheme="minorEastAsia" w:hint="eastAsia"/>
        </w:rPr>
        <w:t>“</w:t>
      </w:r>
      <w:r w:rsidRPr="00EC18A6">
        <w:rPr>
          <w:rFonts w:asciiTheme="minorEastAsia" w:eastAsiaTheme="minorEastAsia" w:hAnsiTheme="minorEastAsia"/>
        </w:rPr>
        <w:t>完整组成部分”</w:t>
      </w:r>
      <w:r w:rsidRPr="00BB6462">
        <w:t>(</w:t>
      </w:r>
      <w:r w:rsidRPr="00BB6462">
        <w:t>《世贸组织协定》第</w:t>
      </w:r>
      <w:r w:rsidRPr="00BB6462">
        <w:t>2</w:t>
      </w:r>
      <w:r w:rsidRPr="00BB6462">
        <w:t>条第</w:t>
      </w:r>
      <w:r w:rsidRPr="00BB6462">
        <w:t>2</w:t>
      </w:r>
      <w:r w:rsidRPr="00BB6462">
        <w:t>款</w:t>
      </w:r>
      <w:r w:rsidRPr="00BB6462">
        <w:t>)</w:t>
      </w:r>
      <w:r w:rsidRPr="00BB6462">
        <w:t>。</w:t>
      </w:r>
    </w:p>
  </w:footnote>
  <w:footnote w:id="32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rFonts w:eastAsia="Songti SC Regular"/>
          <w:color w:val="0000FF"/>
          <w:spacing w:val="5"/>
          <w:w w:val="103"/>
        </w:rPr>
      </w:pPr>
      <w:r w:rsidRPr="00BB6462">
        <w:rPr>
          <w:spacing w:val="5"/>
          <w:w w:val="103"/>
        </w:rPr>
        <w:tab/>
      </w:r>
      <w:r w:rsidRPr="009B00C9">
        <w:rPr>
          <w:rStyle w:val="a3"/>
          <w:rFonts w:eastAsia="黑体"/>
          <w:color w:val="000000" w:themeColor="text1"/>
          <w:sz w:val="21"/>
          <w:szCs w:val="21"/>
        </w:rPr>
        <w:footnoteRef/>
      </w:r>
      <w:r w:rsidRPr="00BB6462">
        <w:rPr>
          <w:spacing w:val="5"/>
          <w:w w:val="103"/>
        </w:rPr>
        <w:tab/>
      </w:r>
      <w:r w:rsidRPr="00BB6462">
        <w:rPr>
          <w:rFonts w:ascii="Kaiti SC Black" w:hAnsi="Kaiti SC Black" w:cs="Kaiti SC Black"/>
          <w:spacing w:val="5"/>
          <w:w w:val="103"/>
        </w:rPr>
        <w:t>尼加拉瓜境内</w:t>
      </w:r>
      <w:r w:rsidRPr="00BB6462">
        <w:rPr>
          <w:rFonts w:ascii="Kaiti SC Black" w:hAnsi="Kaiti SC Black" w:cs="Kaiti SC Black" w:hint="eastAsia"/>
          <w:spacing w:val="5"/>
          <w:w w:val="103"/>
        </w:rPr>
        <w:t>针对尼加拉瓜采取的军事和准军事活动</w:t>
      </w:r>
      <w:r w:rsidRPr="00EC18A6">
        <w:rPr>
          <w:rFonts w:asciiTheme="majorBidi" w:hAnsiTheme="majorBidi" w:cstheme="majorBidi"/>
          <w:iCs/>
          <w:spacing w:val="5"/>
          <w:w w:val="103"/>
        </w:rPr>
        <w:t>(</w:t>
      </w:r>
      <w:r w:rsidRPr="00EC18A6">
        <w:rPr>
          <w:rFonts w:ascii="楷体_GB2312" w:eastAsia="楷体_GB2312" w:hAnsiTheme="majorBidi" w:cstheme="majorBidi"/>
          <w:iCs/>
          <w:spacing w:val="5"/>
          <w:w w:val="103"/>
        </w:rPr>
        <w:t>尼加拉瓜诉美利坚合众国</w:t>
      </w:r>
      <w:r>
        <w:rPr>
          <w:rFonts w:asciiTheme="majorBidi" w:hAnsiTheme="majorBidi" w:cstheme="majorBidi"/>
          <w:iCs/>
          <w:spacing w:val="5"/>
          <w:w w:val="103"/>
        </w:rPr>
        <w:t>)</w:t>
      </w:r>
      <w:r>
        <w:rPr>
          <w:rFonts w:asciiTheme="majorBidi" w:hAnsiTheme="majorBidi" w:cstheme="majorBidi" w:hint="eastAsia"/>
          <w:iCs/>
          <w:spacing w:val="5"/>
          <w:w w:val="103"/>
        </w:rPr>
        <w:t>，</w:t>
      </w:r>
      <w:r w:rsidRPr="00BB6462">
        <w:rPr>
          <w:rFonts w:ascii="Songti SC Regular" w:hAnsi="Songti SC Regular" w:cs="Kaiti SC Black"/>
          <w:spacing w:val="5"/>
          <w:w w:val="103"/>
        </w:rPr>
        <w:t>实质问题，</w:t>
      </w:r>
      <w:r w:rsidRPr="00BB6462">
        <w:rPr>
          <w:rFonts w:ascii="Songti SC Regular" w:hAnsi="Songti SC Regular" w:cs="Kaiti SC Black" w:hint="eastAsia"/>
          <w:spacing w:val="5"/>
          <w:w w:val="103"/>
        </w:rPr>
        <w:t>判</w:t>
      </w:r>
      <w:r w:rsidRPr="00EC18A6">
        <w:rPr>
          <w:rFonts w:asciiTheme="majorBidi" w:hAnsiTheme="majorBidi" w:cstheme="majorBidi"/>
          <w:spacing w:val="5"/>
          <w:w w:val="103"/>
        </w:rPr>
        <w:t>决，《</w:t>
      </w:r>
      <w:r w:rsidRPr="00EC18A6">
        <w:rPr>
          <w:rFonts w:asciiTheme="majorBidi" w:hAnsiTheme="majorBidi" w:cstheme="majorBidi"/>
          <w:spacing w:val="5"/>
          <w:w w:val="103"/>
        </w:rPr>
        <w:t>1986</w:t>
      </w:r>
      <w:r w:rsidRPr="00EC18A6">
        <w:rPr>
          <w:rFonts w:asciiTheme="majorBidi" w:hAnsiTheme="majorBidi" w:cstheme="majorBidi"/>
          <w:spacing w:val="5"/>
          <w:w w:val="103"/>
        </w:rPr>
        <w:t>年</w:t>
      </w:r>
      <w:r w:rsidRPr="00A724F7">
        <w:rPr>
          <w:rFonts w:hint="eastAsia"/>
          <w:szCs w:val="21"/>
        </w:rPr>
        <w:t>……</w:t>
      </w:r>
      <w:r w:rsidRPr="00EC18A6">
        <w:rPr>
          <w:rFonts w:asciiTheme="majorBidi" w:hAnsiTheme="majorBidi" w:cstheme="majorBidi"/>
          <w:spacing w:val="5"/>
          <w:w w:val="103"/>
        </w:rPr>
        <w:t>年鉴》，</w:t>
      </w:r>
      <w:r w:rsidRPr="00BB6462">
        <w:rPr>
          <w:spacing w:val="5"/>
          <w:w w:val="103"/>
        </w:rPr>
        <w:t>第</w:t>
      </w:r>
      <w:r w:rsidRPr="00BB6462">
        <w:rPr>
          <w:spacing w:val="5"/>
          <w:w w:val="103"/>
        </w:rPr>
        <w:t>14</w:t>
      </w:r>
      <w:r w:rsidRPr="00BB6462">
        <w:rPr>
          <w:spacing w:val="5"/>
          <w:w w:val="103"/>
        </w:rPr>
        <w:t>页起，见第</w:t>
      </w:r>
      <w:r w:rsidRPr="00BB6462">
        <w:rPr>
          <w:spacing w:val="5"/>
          <w:w w:val="103"/>
        </w:rPr>
        <w:t>100</w:t>
      </w:r>
      <w:r w:rsidRPr="00BB6462">
        <w:rPr>
          <w:spacing w:val="5"/>
          <w:w w:val="103"/>
        </w:rPr>
        <w:t>页，第</w:t>
      </w:r>
      <w:r w:rsidRPr="00BB6462">
        <w:rPr>
          <w:spacing w:val="5"/>
          <w:w w:val="103"/>
        </w:rPr>
        <w:t>188</w:t>
      </w:r>
      <w:r w:rsidRPr="00BB6462">
        <w:rPr>
          <w:spacing w:val="5"/>
          <w:w w:val="103"/>
        </w:rPr>
        <w:t>段：</w:t>
      </w:r>
      <w:r>
        <w:rPr>
          <w:rFonts w:hint="eastAsia"/>
          <w:spacing w:val="5"/>
          <w:w w:val="103"/>
        </w:rPr>
        <w:t>“</w:t>
      </w:r>
      <w:r w:rsidRPr="00BB6462">
        <w:t>对此类决议文本的同意所具效力不能被理解为仅是</w:t>
      </w:r>
      <w:r w:rsidRPr="00EC18A6">
        <w:rPr>
          <w:rFonts w:asciiTheme="minorEastAsia" w:eastAsiaTheme="minorEastAsia" w:hAnsiTheme="minorEastAsia"/>
        </w:rPr>
        <w:t>‘重申和阐明’</w:t>
      </w:r>
      <w:r w:rsidRPr="00BB6462">
        <w:t>《宪章》中的条约义务。相反，同意的效力可被理解为自身接受决议宣示的一项规则或一套规则</w:t>
      </w:r>
      <w:r w:rsidRPr="00EC18A6">
        <w:rPr>
          <w:rFonts w:asciiTheme="minorEastAsia" w:eastAsiaTheme="minorEastAsia" w:hAnsiTheme="minorEastAsia"/>
        </w:rPr>
        <w:t>的有效性”。</w:t>
      </w:r>
      <w:r w:rsidRPr="00BB6462">
        <w:t>这段话的主要目的在于解释大会决议在形成习惯法方面可能起到的作用，但同时也确认了与条约有关的论点，即：此类决议可能有助于表达缔约方对于把《联合国宪章》解释为条约的共识或立场</w:t>
      </w:r>
      <w:r w:rsidRPr="00EC18A6">
        <w:rPr>
          <w:rFonts w:asciiTheme="minorEastAsia" w:eastAsiaTheme="minorEastAsia" w:hAnsiTheme="minorEastAsia"/>
        </w:rPr>
        <w:t>(“阐明”)</w:t>
      </w:r>
      <w:r w:rsidRPr="00BB6462">
        <w:t>；与此类似：</w:t>
      </w:r>
      <w:r w:rsidRPr="00EC18A6">
        <w:rPr>
          <w:rFonts w:asciiTheme="minorEastAsia" w:eastAsiaTheme="minorEastAsia" w:hAnsiTheme="minorEastAsia"/>
        </w:rPr>
        <w:t>“科索沃单方面宣布独立是否符合国际法”，</w:t>
      </w:r>
      <w:r w:rsidRPr="00BB6462">
        <w:t>咨询意见，《</w:t>
      </w:r>
      <w:r w:rsidRPr="00BB6462">
        <w:t>2010</w:t>
      </w:r>
      <w:r w:rsidRPr="00BB6462">
        <w:t>年国际法院案例汇编》，第</w:t>
      </w:r>
      <w:r w:rsidRPr="00BB6462">
        <w:t>403</w:t>
      </w:r>
      <w:r w:rsidRPr="00BB6462">
        <w:t>页，引文见第</w:t>
      </w:r>
      <w:r w:rsidRPr="00BB6462">
        <w:t>437</w:t>
      </w:r>
      <w:r w:rsidRPr="00BB6462">
        <w:t>页，第</w:t>
      </w:r>
      <w:r w:rsidRPr="00BB6462">
        <w:t>80</w:t>
      </w:r>
      <w:r w:rsidRPr="00BB6462">
        <w:t>段；在此意义上，例如</w:t>
      </w:r>
      <w:r w:rsidRPr="00BB6462">
        <w:t xml:space="preserve">L. B. Sohn, “The UN System as Authoritative Interpreter of its Law”, in </w:t>
      </w:r>
      <w:r w:rsidRPr="00BB6462">
        <w:rPr>
          <w:i/>
        </w:rPr>
        <w:t>United Nations Legal Order</w:t>
      </w:r>
      <w:r w:rsidRPr="00BB6462">
        <w:t>, vol. 1, O. Schachter and C. C. Joyner, eds. (Cambridge, American Society of International Law/Cambridge University Press, 1995), p. 169, at pp. 176-177(</w:t>
      </w:r>
      <w:r w:rsidRPr="00BB6462">
        <w:t>针对</w:t>
      </w:r>
      <w:r>
        <w:rPr>
          <w:rFonts w:hint="eastAsia"/>
        </w:rPr>
        <w:t>“</w:t>
      </w:r>
      <w:r w:rsidRPr="00BB6462">
        <w:t>尼加拉</w:t>
      </w:r>
      <w:r w:rsidRPr="00EC18A6">
        <w:rPr>
          <w:rFonts w:asciiTheme="minorEastAsia" w:eastAsiaTheme="minorEastAsia" w:hAnsiTheme="minorEastAsia"/>
        </w:rPr>
        <w:t>瓜”案指出，</w:t>
      </w:r>
      <w:r>
        <w:rPr>
          <w:rFonts w:asciiTheme="minorEastAsia" w:eastAsiaTheme="minorEastAsia" w:hAnsiTheme="minorEastAsia" w:hint="eastAsia"/>
        </w:rPr>
        <w:t>“</w:t>
      </w:r>
      <w:r w:rsidRPr="00EC18A6">
        <w:rPr>
          <w:rFonts w:asciiTheme="minorEastAsia" w:eastAsiaTheme="minorEastAsia" w:hAnsiTheme="minorEastAsia"/>
        </w:rPr>
        <w:t>法院</w:t>
      </w:r>
      <w:r w:rsidRPr="00BB6462">
        <w:t>同意《友好关系宣言》是对《宪</w:t>
      </w:r>
      <w:r w:rsidRPr="00EC18A6">
        <w:rPr>
          <w:rFonts w:asciiTheme="minorEastAsia" w:eastAsiaTheme="minorEastAsia" w:hAnsiTheme="minorEastAsia"/>
        </w:rPr>
        <w:t>章》的权威解释”</w:t>
      </w:r>
      <w:r w:rsidRPr="00EC18A6">
        <w:rPr>
          <w:rFonts w:asciiTheme="majorBidi" w:eastAsiaTheme="minorEastAsia" w:hAnsiTheme="majorBidi" w:cstheme="majorBidi"/>
        </w:rPr>
        <w:t>)</w:t>
      </w:r>
      <w:r w:rsidRPr="00EC18A6">
        <w:rPr>
          <w:rFonts w:asciiTheme="minorEastAsia" w:eastAsiaTheme="minorEastAsia" w:hAnsiTheme="minorEastAsia"/>
        </w:rPr>
        <w:t>。</w:t>
      </w:r>
    </w:p>
  </w:footnote>
  <w:footnote w:id="33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 xml:space="preserve">H. G. Schermers and N. M. Blokker, </w:t>
      </w:r>
      <w:r w:rsidRPr="00BB6462">
        <w:rPr>
          <w:i/>
        </w:rPr>
        <w:t>International Institutional Law</w:t>
      </w:r>
      <w:r w:rsidRPr="00BB6462">
        <w:t>, 5th ed. (Leiden/Boston, Martinus Nijhoff, 2011), p. 854 (</w:t>
      </w:r>
      <w:r w:rsidRPr="00BB6462">
        <w:t>提到油污赔偿基金大会就基金组成文书所作的解释</w:t>
      </w:r>
      <w:r w:rsidRPr="00BB6462">
        <w:t>)</w:t>
      </w:r>
      <w:r w:rsidRPr="00BB6462">
        <w:t>；</w:t>
      </w:r>
      <w:r w:rsidRPr="00BB6462">
        <w:t xml:space="preserve">M. Cogen, </w:t>
      </w:r>
      <w:r w:rsidRPr="00BB6462">
        <w:rPr>
          <w:rFonts w:eastAsia="仿宋_GB2312"/>
        </w:rPr>
        <w:t>“</w:t>
      </w:r>
      <w:r w:rsidRPr="00BB6462">
        <w:t xml:space="preserve">Membership, Associate Membership and Pre-Accession Arrangements of CERN, ESO, ESA, and EUMETSAT”, </w:t>
      </w:r>
      <w:r w:rsidRPr="00BB6462">
        <w:rPr>
          <w:i/>
        </w:rPr>
        <w:t>International Organizations Law Review</w:t>
      </w:r>
      <w:r w:rsidRPr="00BB6462">
        <w:t>, vol. 9 (2012), p. 145, at 157-158 (</w:t>
      </w:r>
      <w:r w:rsidRPr="00BB6462">
        <w:t>提到</w:t>
      </w:r>
      <w:r w:rsidRPr="00BB6462">
        <w:t>2010</w:t>
      </w:r>
      <w:r w:rsidRPr="00BB6462">
        <w:t>年</w:t>
      </w:r>
      <w:r w:rsidRPr="00BB6462">
        <w:t>6</w:t>
      </w:r>
      <w:r w:rsidRPr="00BB6462">
        <w:t>月</w:t>
      </w:r>
      <w:r w:rsidRPr="00BB6462">
        <w:t>17</w:t>
      </w:r>
      <w:r w:rsidRPr="00BB6462">
        <w:t>日欧洲核研究组织一致通过决定，该决定将《欧洲核研究组织公约》的接纳标准解释为属于第</w:t>
      </w:r>
      <w:r w:rsidRPr="00BB6462">
        <w:t>31</w:t>
      </w:r>
      <w:r w:rsidRPr="00BB6462">
        <w:t>条第</w:t>
      </w:r>
      <w:r w:rsidRPr="00BB6462">
        <w:t>3</w:t>
      </w:r>
      <w:r w:rsidRPr="00BB6462">
        <w:t>款</w:t>
      </w:r>
      <w:r w:rsidRPr="00BB6462">
        <w:t>(a)</w:t>
      </w:r>
      <w:r w:rsidRPr="00BB6462">
        <w:t>项所述的嗣后协定</w:t>
      </w:r>
      <w:r w:rsidRPr="00BB6462">
        <w:t>)</w:t>
      </w:r>
      <w:r w:rsidRPr="00BB6462">
        <w:t>。</w:t>
      </w:r>
    </w:p>
  </w:footnote>
  <w:footnote w:id="33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7170E8">
        <w:rPr>
          <w:rStyle w:val="a3"/>
          <w:rFonts w:hint="eastAsia"/>
          <w:noProof w:val="0"/>
          <w:sz w:val="21"/>
          <w:szCs w:val="21"/>
        </w:rPr>
        <w:tab/>
      </w:r>
      <w:r w:rsidRPr="00BB6462">
        <w:t>见</w:t>
      </w:r>
      <w:r w:rsidRPr="00BB6462">
        <w:t xml:space="preserve">E. Jimémez de Aréchega, </w:t>
      </w:r>
      <w:r w:rsidRPr="00BB6462">
        <w:rPr>
          <w:rFonts w:eastAsia="仿宋_GB2312"/>
        </w:rPr>
        <w:t>“</w:t>
      </w:r>
      <w:r w:rsidRPr="00BB6462">
        <w:t xml:space="preserve">International Law in the Past Third of a Century”, </w:t>
      </w:r>
      <w:r w:rsidRPr="00BB6462">
        <w:rPr>
          <w:i/>
        </w:rPr>
        <w:t>Recueil des Cours,</w:t>
      </w:r>
      <w:r w:rsidRPr="00BB6462">
        <w:t xml:space="preserve"> vol. 159(1978), p.</w:t>
      </w:r>
      <w:r w:rsidRPr="00BB6462">
        <w:rPr>
          <w:i/>
        </w:rPr>
        <w:t xml:space="preserve"> </w:t>
      </w:r>
      <w:r w:rsidRPr="00BB6462">
        <w:t>32 (</w:t>
      </w:r>
      <w:r w:rsidRPr="00BB6462">
        <w:t>谈到《友好关系宣言》时指出，</w:t>
      </w:r>
      <w:r w:rsidRPr="00BB6462">
        <w:rPr>
          <w:rFonts w:eastAsia="仿宋_GB2312"/>
        </w:rPr>
        <w:t>”</w:t>
      </w:r>
      <w:r w:rsidRPr="00BB6462">
        <w:t>该决议</w:t>
      </w:r>
      <w:r w:rsidRPr="00BB6462">
        <w:rPr>
          <w:rFonts w:ascii="宋体"/>
        </w:rPr>
        <w:t>[</w:t>
      </w:r>
      <w:r w:rsidRPr="00A724F7">
        <w:rPr>
          <w:rFonts w:hint="eastAsia"/>
          <w:szCs w:val="21"/>
        </w:rPr>
        <w:t>……</w:t>
      </w:r>
      <w:r w:rsidRPr="00BB6462">
        <w:t>]</w:t>
      </w:r>
      <w:r w:rsidRPr="00BB6462">
        <w:t>构成了《宪章》全体缔约方对这些基本原则所持观点和由此产生的某些推论的权威表述。鉴于这种情形，《宣言》的法律份量和权威似乎难以否认：它既是确认会员国</w:t>
      </w:r>
      <w:r w:rsidRPr="00BB6462">
        <w:rPr>
          <w:rFonts w:hint="eastAsia"/>
        </w:rPr>
        <w:t>自己</w:t>
      </w:r>
      <w:r w:rsidRPr="00BB6462">
        <w:t>认为习惯法现有准则</w:t>
      </w:r>
      <w:r w:rsidRPr="00BB6462">
        <w:rPr>
          <w:rFonts w:hint="eastAsia"/>
        </w:rPr>
        <w:t>之</w:t>
      </w:r>
      <w:r w:rsidRPr="00BB6462">
        <w:t>构成的决议，又是其所有成员通过嗣后协定和嗣后惯例对《宪章》的解释</w:t>
      </w:r>
      <w:r w:rsidRPr="00BB6462">
        <w:t>”)</w:t>
      </w:r>
      <w:r w:rsidRPr="00BB6462">
        <w:t>；</w:t>
      </w:r>
      <w:r w:rsidRPr="00BB6462">
        <w:t xml:space="preserve">O. Schachter, </w:t>
      </w:r>
      <w:r w:rsidRPr="00BB6462">
        <w:rPr>
          <w:rFonts w:eastAsia="仿宋_GB2312"/>
        </w:rPr>
        <w:t>“</w:t>
      </w:r>
      <w:r w:rsidRPr="00BB6462">
        <w:t xml:space="preserve">General Course in Public International Law” </w:t>
      </w:r>
      <w:r w:rsidRPr="00BB6462">
        <w:rPr>
          <w:i/>
        </w:rPr>
        <w:t xml:space="preserve">Recueil des Cours, </w:t>
      </w:r>
      <w:r w:rsidRPr="00BB6462">
        <w:t>vol. 178 (1982), p. 113(</w:t>
      </w:r>
      <w:r w:rsidRPr="00EC18A6">
        <w:rPr>
          <w:rFonts w:asciiTheme="minorEastAsia" w:eastAsiaTheme="minorEastAsia" w:hAnsiTheme="minorEastAsia"/>
        </w:rPr>
        <w:t>“可把用于解释和‘具体化’《宪章》各项原则</w:t>
      </w:r>
      <w:r w:rsidRPr="00EC18A6">
        <w:rPr>
          <w:rFonts w:asciiTheme="majorBidi" w:eastAsiaTheme="minorEastAsia" w:hAnsiTheme="majorBidi" w:cstheme="majorBidi"/>
        </w:rPr>
        <w:t>(</w:t>
      </w:r>
      <w:r w:rsidRPr="00EC18A6">
        <w:rPr>
          <w:rFonts w:asciiTheme="majorBidi" w:eastAsiaTheme="minorEastAsia" w:hAnsiTheme="majorBidi" w:cstheme="majorBidi"/>
        </w:rPr>
        <w:t>不论是作为一般规则还是针对具体情形</w:t>
      </w:r>
      <w:r w:rsidRPr="00EC18A6">
        <w:rPr>
          <w:rFonts w:asciiTheme="majorBidi" w:eastAsiaTheme="minorEastAsia" w:hAnsiTheme="majorBidi" w:cstheme="majorBidi"/>
        </w:rPr>
        <w:t>)</w:t>
      </w:r>
      <w:r w:rsidRPr="00EC18A6">
        <w:rPr>
          <w:rFonts w:asciiTheme="minorEastAsia" w:eastAsiaTheme="minorEastAsia" w:hAnsiTheme="minorEastAsia"/>
        </w:rPr>
        <w:t>的法律宣示性决议视为缔约方对其现有条约义务的权威解释。在此意义上，这些决议属于解释，且经所有会员国同意，所以完全属于确定的法律渊源。”</w:t>
      </w:r>
      <w:r w:rsidRPr="00BB6462">
        <w:t>)</w:t>
      </w:r>
      <w:r w:rsidRPr="00BB6462">
        <w:t>；</w:t>
      </w:r>
      <w:r w:rsidRPr="00BB6462">
        <w:t xml:space="preserve">P. Kunig, </w:t>
      </w:r>
      <w:r w:rsidRPr="00BB6462">
        <w:rPr>
          <w:rFonts w:eastAsia="仿宋_GB2312"/>
        </w:rPr>
        <w:t>“</w:t>
      </w:r>
      <w:r w:rsidRPr="00BB6462">
        <w:t xml:space="preserve">United Nations Charter, Interpretation of”, in </w:t>
      </w:r>
      <w:r w:rsidRPr="00BB6462">
        <w:rPr>
          <w:i/>
        </w:rPr>
        <w:t xml:space="preserve">Max Planck Encyclopedia of Public International Law, </w:t>
      </w:r>
      <w:r w:rsidRPr="00BB6462">
        <w:t>vol. X, R. Wolfrum, ed. (Oxford, Oxford University Press, 2012), p. 273, at 275(</w:t>
      </w:r>
      <w:r w:rsidRPr="00BB6462">
        <w:t>指出，</w:t>
      </w:r>
      <w:r>
        <w:rPr>
          <w:rFonts w:hint="eastAsia"/>
          <w:spacing w:val="5"/>
          <w:w w:val="103"/>
        </w:rPr>
        <w:t>“</w:t>
      </w:r>
      <w:r w:rsidRPr="00BB6462">
        <w:t>它们</w:t>
      </w:r>
      <w:r w:rsidRPr="00BB6462">
        <w:t>[</w:t>
      </w:r>
      <w:r w:rsidRPr="00BB6462">
        <w:t>即大会决议</w:t>
      </w:r>
      <w:r w:rsidRPr="00BB6462">
        <w:t>]</w:t>
      </w:r>
      <w:r w:rsidRPr="00BB6462">
        <w:t>如果以协商一致的方式获得通过，就能在</w:t>
      </w:r>
      <w:r w:rsidRPr="00BB6462">
        <w:rPr>
          <w:rFonts w:ascii="宋体"/>
        </w:rPr>
        <w:t>[</w:t>
      </w:r>
      <w:r w:rsidRPr="00A724F7">
        <w:rPr>
          <w:rFonts w:hint="eastAsia"/>
          <w:szCs w:val="21"/>
        </w:rPr>
        <w:t>……</w:t>
      </w:r>
      <w:r w:rsidRPr="00BB6462">
        <w:t>]</w:t>
      </w:r>
      <w:r w:rsidRPr="00BB6462">
        <w:t>解释《联合国宪章》方面发挥重大作用</w:t>
      </w:r>
      <w:r w:rsidRPr="00EC18A6">
        <w:rPr>
          <w:rFonts w:asciiTheme="minorEastAsia" w:eastAsiaTheme="minorEastAsia" w:hAnsiTheme="minorEastAsia"/>
        </w:rPr>
        <w:t>”</w:t>
      </w:r>
      <w:r w:rsidRPr="00BB6462">
        <w:t>)</w:t>
      </w:r>
      <w:r w:rsidRPr="00BB6462">
        <w:t>；</w:t>
      </w:r>
      <w:r w:rsidRPr="00BB6462">
        <w:t>Aust</w:t>
      </w:r>
      <w:r w:rsidRPr="00BB6462">
        <w:t>，</w:t>
      </w:r>
      <w:r w:rsidRPr="00BB6462">
        <w:rPr>
          <w:iCs/>
        </w:rPr>
        <w:t>前注</w:t>
      </w:r>
      <w:r>
        <w:rPr>
          <w:rFonts w:hint="eastAsia"/>
          <w:iCs/>
        </w:rPr>
        <w:t>318</w:t>
      </w:r>
      <w:r w:rsidRPr="00BB6462">
        <w:t>，第</w:t>
      </w:r>
      <w:r w:rsidRPr="00BB6462">
        <w:t>213</w:t>
      </w:r>
      <w:r w:rsidRPr="00BB6462">
        <w:t>页</w:t>
      </w:r>
      <w:r w:rsidRPr="00BB6462">
        <w:t>(</w:t>
      </w:r>
      <w:r w:rsidRPr="00BB6462">
        <w:t>提到</w:t>
      </w:r>
      <w:r w:rsidRPr="00BB6462">
        <w:rPr>
          <w:rFonts w:hint="eastAsia"/>
        </w:rPr>
        <w:t>联合国大会</w:t>
      </w:r>
      <w:r w:rsidRPr="00BB6462">
        <w:t>第</w:t>
      </w:r>
      <w:r w:rsidRPr="00BB6462">
        <w:t>51/210</w:t>
      </w:r>
      <w:r w:rsidRPr="00BB6462">
        <w:t>号决议</w:t>
      </w:r>
      <w:r w:rsidRPr="00BB6462">
        <w:t>(</w:t>
      </w:r>
      <w:r>
        <w:rPr>
          <w:rFonts w:hint="eastAsia"/>
          <w:spacing w:val="5"/>
          <w:w w:val="103"/>
        </w:rPr>
        <w:t>“</w:t>
      </w:r>
      <w:r w:rsidRPr="00BB6462">
        <w:t>消除国际恐怖主义的措施</w:t>
      </w:r>
      <w:r w:rsidRPr="00EC18A6">
        <w:rPr>
          <w:rFonts w:asciiTheme="minorEastAsia" w:eastAsiaTheme="minorEastAsia" w:hAnsiTheme="minorEastAsia"/>
        </w:rPr>
        <w:t>”</w:t>
      </w:r>
      <w:r>
        <w:rPr>
          <w:rFonts w:hint="eastAsia"/>
        </w:rPr>
        <w:t>)</w:t>
      </w:r>
      <w:r w:rsidRPr="00BB6462">
        <w:t>可被视为关于解释《联合国宪章》的嗣后协定</w:t>
      </w:r>
      <w:r w:rsidRPr="00BB6462">
        <w:t>)</w:t>
      </w:r>
      <w:r w:rsidRPr="00BB6462">
        <w:t>。</w:t>
      </w:r>
    </w:p>
  </w:footnote>
  <w:footnote w:id="33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见前注</w:t>
      </w:r>
      <w:r w:rsidRPr="00BB6462">
        <w:rPr>
          <w:rFonts w:hint="eastAsia"/>
        </w:rPr>
        <w:t>327</w:t>
      </w:r>
      <w:r w:rsidRPr="00BB6462">
        <w:t>，第</w:t>
      </w:r>
      <w:r w:rsidRPr="00BB6462">
        <w:t>265</w:t>
      </w:r>
      <w:r w:rsidRPr="00BB6462">
        <w:t>页。</w:t>
      </w:r>
    </w:p>
  </w:footnote>
  <w:footnote w:id="33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 xml:space="preserve">Y. Bonzon, </w:t>
      </w:r>
      <w:r w:rsidRPr="00BB6462">
        <w:rPr>
          <w:i/>
        </w:rPr>
        <w:t>Public Participation and Legitimacy in the WTO</w:t>
      </w:r>
      <w:r w:rsidRPr="00BB6462">
        <w:t xml:space="preserve"> (Cambridge, Cambridge University Press, 2014), pp. 114-115</w:t>
      </w:r>
      <w:r w:rsidRPr="00BB6462">
        <w:t>。</w:t>
      </w:r>
    </w:p>
  </w:footnote>
  <w:footnote w:id="33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EC18A6">
        <w:rPr>
          <w:rFonts w:asciiTheme="minorEastAsia" w:eastAsiaTheme="minorEastAsia" w:hAnsiTheme="minorEastAsia"/>
        </w:rPr>
        <w:t>“南非不</w:t>
      </w:r>
      <w:r w:rsidRPr="00BB6462">
        <w:t>顾安全理事会第</w:t>
      </w:r>
      <w:r w:rsidRPr="00BB6462">
        <w:t>276(1970)</w:t>
      </w:r>
      <w:r w:rsidRPr="00BB6462">
        <w:t>号决议继续留驻纳米比亚</w:t>
      </w:r>
      <w:r w:rsidRPr="00BB6462">
        <w:t>(</w:t>
      </w:r>
      <w:r w:rsidRPr="00BB6462">
        <w:t>西南非洲</w:t>
      </w:r>
      <w:r w:rsidRPr="00BB6462">
        <w:t>)</w:t>
      </w:r>
      <w:r w:rsidRPr="00BB6462">
        <w:t>对各国的法</w:t>
      </w:r>
      <w:r w:rsidRPr="00EC18A6">
        <w:rPr>
          <w:rFonts w:asciiTheme="minorEastAsia" w:eastAsiaTheme="minorEastAsia" w:hAnsiTheme="minorEastAsia"/>
        </w:rPr>
        <w:t>律后果”</w:t>
      </w:r>
      <w:r w:rsidRPr="00BB6462">
        <w:rPr>
          <w:rFonts w:ascii="宋体"/>
        </w:rPr>
        <w:t>，</w:t>
      </w:r>
      <w:r w:rsidRPr="00BB6462">
        <w:t>咨询意见，《</w:t>
      </w:r>
      <w:r w:rsidRPr="00BB6462">
        <w:t>1971</w:t>
      </w:r>
      <w:r w:rsidRPr="00BB6462">
        <w:t>年国际法院案例汇编》，第</w:t>
      </w:r>
      <w:r w:rsidRPr="00BB6462">
        <w:t>16</w:t>
      </w:r>
      <w:r w:rsidRPr="00BB6462">
        <w:t>页，引文见第</w:t>
      </w:r>
      <w:r w:rsidRPr="00BB6462">
        <w:t>22</w:t>
      </w:r>
      <w:r w:rsidRPr="00BB6462">
        <w:t>页。</w:t>
      </w:r>
    </w:p>
  </w:footnote>
  <w:footnote w:id="33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 xml:space="preserve">H. Thirlway, </w:t>
      </w:r>
      <w:r w:rsidRPr="00BB6462">
        <w:rPr>
          <w:rFonts w:eastAsia="仿宋_GB2312"/>
        </w:rPr>
        <w:t>“</w:t>
      </w:r>
      <w:r w:rsidRPr="00BB6462">
        <w:t>The Law and Procedure of the International Court of Justice 1960-1989, Part Two”, British Year Book of International Law, vol. 61(1990)</w:t>
      </w:r>
      <w:r w:rsidRPr="00BB6462">
        <w:t>，第</w:t>
      </w:r>
      <w:r w:rsidRPr="00BB6462">
        <w:t>61</w:t>
      </w:r>
      <w:r w:rsidRPr="00BB6462">
        <w:t>页，引文见第</w:t>
      </w:r>
      <w:r w:rsidRPr="00BB6462">
        <w:t>76-77</w:t>
      </w:r>
      <w:r w:rsidRPr="00BB6462">
        <w:t>页</w:t>
      </w:r>
      <w:r w:rsidRPr="00BB6462">
        <w:t>(</w:t>
      </w:r>
      <w:r w:rsidRPr="00BB6462">
        <w:t>提到</w:t>
      </w:r>
      <w:r>
        <w:rPr>
          <w:rFonts w:ascii="宋体" w:hAnsi="宋体" w:hint="eastAsia"/>
        </w:rPr>
        <w:t>“</w:t>
      </w:r>
      <w:r w:rsidRPr="00BB6462">
        <w:rPr>
          <w:rFonts w:ascii="宋体" w:hAnsi="宋体"/>
        </w:rPr>
        <w:t>法</w:t>
      </w:r>
      <w:r w:rsidRPr="00BB6462">
        <w:t>院提及该组织</w:t>
      </w:r>
      <w:r w:rsidRPr="00BB6462">
        <w:rPr>
          <w:rFonts w:ascii="宋体" w:hAnsi="宋体"/>
        </w:rPr>
        <w:t>‘的’惯</w:t>
      </w:r>
      <w:r w:rsidRPr="00BB6462">
        <w:t>例，很可能是想指这不是该组织作为一个实体在其与国际法其他主体的关系中遵循的惯例，而是在整个组织范围内得到遵循、批准或尊重的惯例。从这个角度看，该惯例</w:t>
      </w:r>
      <w:r w:rsidRPr="00BB6462">
        <w:t>[</w:t>
      </w:r>
      <w:r w:rsidRPr="00BB6462">
        <w:rPr>
          <w:rFonts w:ascii="宋体" w:hAnsi="宋体"/>
        </w:rPr>
        <w:t>……]</w:t>
      </w:r>
      <w:r w:rsidRPr="00BB6462">
        <w:t>不如说是在相关时刻安全理事会其他成员承认此类决议的有效性，实际上是所有会员国以默许接受的方式承认此类决议的有效性</w:t>
      </w:r>
      <w:r w:rsidRPr="00BB6462">
        <w:rPr>
          <w:rFonts w:ascii="宋体" w:hAnsi="宋体"/>
        </w:rPr>
        <w:t>。”</w:t>
      </w:r>
    </w:p>
  </w:footnote>
  <w:footnote w:id="33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ascii="宋体" w:hAnsi="宋体"/>
        </w:rPr>
        <w:t>“</w:t>
      </w:r>
      <w:r w:rsidRPr="00BB6462">
        <w:t>在被占领巴勒斯坦领土修建隔离墙的法律后果</w:t>
      </w:r>
      <w:r w:rsidRPr="00BB6462">
        <w:rPr>
          <w:rFonts w:ascii="宋体" w:hAnsi="宋体"/>
        </w:rPr>
        <w:t>”</w:t>
      </w:r>
      <w:r w:rsidRPr="00BB6462">
        <w:t>，咨询意见，《</w:t>
      </w:r>
      <w:r w:rsidRPr="00BB6462">
        <w:t>2004</w:t>
      </w:r>
      <w:r w:rsidRPr="00BB6462">
        <w:t>年国际法院案例汇编》，第</w:t>
      </w:r>
      <w:r w:rsidRPr="00BB6462">
        <w:t>136</w:t>
      </w:r>
      <w:r w:rsidRPr="00BB6462">
        <w:t>页起，引文见第</w:t>
      </w:r>
      <w:r w:rsidRPr="00BB6462">
        <w:t>149-150</w:t>
      </w:r>
      <w:r w:rsidRPr="00BB6462">
        <w:t>页。</w:t>
      </w:r>
    </w:p>
  </w:footnote>
  <w:footnote w:id="33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ascii="宋体" w:hAnsi="宋体" w:hint="eastAsia"/>
        </w:rPr>
        <w:t>同上</w:t>
      </w:r>
      <w:r w:rsidRPr="00BB6462">
        <w:t>，引文见第</w:t>
      </w:r>
      <w:r w:rsidRPr="00BB6462">
        <w:t>150</w:t>
      </w:r>
      <w:r w:rsidRPr="00BB6462">
        <w:t>页。</w:t>
      </w:r>
    </w:p>
  </w:footnote>
  <w:footnote w:id="33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见结论草案</w:t>
      </w:r>
      <w:r w:rsidRPr="00BB6462">
        <w:t>9</w:t>
      </w:r>
      <w:r w:rsidRPr="00BB6462">
        <w:t>的评注，第</w:t>
      </w:r>
      <w:r w:rsidRPr="00BB6462">
        <w:t>2</w:t>
      </w:r>
      <w:r w:rsidRPr="00BB6462">
        <w:t>段，第</w:t>
      </w:r>
      <w:r w:rsidRPr="00BB6462">
        <w:t>2</w:t>
      </w:r>
      <w:r w:rsidRPr="00BB6462">
        <w:t>句，国际法委员会第六十六届会议报告，</w:t>
      </w:r>
      <w:r w:rsidRPr="00BB6462">
        <w:rPr>
          <w:rFonts w:hint="eastAsia"/>
        </w:rPr>
        <w:t>《大会正式记录，第六十九届会议，补编第</w:t>
      </w:r>
      <w:r w:rsidRPr="00BB6462">
        <w:t>10</w:t>
      </w:r>
      <w:r w:rsidRPr="00BB6462">
        <w:rPr>
          <w:rFonts w:hint="eastAsia"/>
        </w:rPr>
        <w:t>号》</w:t>
      </w:r>
      <w:r w:rsidRPr="00BB6462">
        <w:t>(A/69/10)</w:t>
      </w:r>
      <w:r w:rsidRPr="00BB6462">
        <w:t>，第七章，第</w:t>
      </w:r>
      <w:r w:rsidRPr="00BB6462">
        <w:t>201-205</w:t>
      </w:r>
      <w:r w:rsidRPr="00BB6462">
        <w:t>页，第</w:t>
      </w:r>
      <w:r w:rsidRPr="00BB6462">
        <w:t>13-24</w:t>
      </w:r>
      <w:r w:rsidRPr="00BB6462">
        <w:t>段；</w:t>
      </w:r>
      <w:r w:rsidRPr="00BB6462">
        <w:t xml:space="preserve">M.E. Villiger, </w:t>
      </w:r>
      <w:r w:rsidRPr="00BB6462">
        <w:rPr>
          <w:i/>
        </w:rPr>
        <w:t>Commentary on the 1969 Vienna Convention on the Law of Treaties</w:t>
      </w:r>
      <w:r w:rsidRPr="00BB6462">
        <w:t xml:space="preserve"> (Martinus Nijhoff Publishers, 2009)</w:t>
      </w:r>
      <w:r w:rsidRPr="00BB6462">
        <w:t>，第</w:t>
      </w:r>
      <w:r w:rsidRPr="00BB6462">
        <w:t>431-432</w:t>
      </w:r>
      <w:r w:rsidRPr="00BB6462">
        <w:t>页，第</w:t>
      </w:r>
      <w:r w:rsidRPr="00BB6462">
        <w:t>22</w:t>
      </w:r>
      <w:r w:rsidRPr="00BB6462">
        <w:t>段；</w:t>
      </w:r>
      <w:r w:rsidRPr="00BB6462">
        <w:t xml:space="preserve">J. Arato, </w:t>
      </w:r>
      <w:r w:rsidRPr="00BB6462">
        <w:rPr>
          <w:rFonts w:eastAsia="仿宋_GB2312"/>
        </w:rPr>
        <w:t>“</w:t>
      </w:r>
      <w:r w:rsidRPr="00BB6462">
        <w:t xml:space="preserve">Treaty Interpretation and Constitutional Transformation”, </w:t>
      </w:r>
      <w:r w:rsidRPr="00BB6462">
        <w:rPr>
          <w:i/>
        </w:rPr>
        <w:t>Yale Journal of International Law</w:t>
      </w:r>
      <w:r w:rsidRPr="00BB6462">
        <w:t>，</w:t>
      </w:r>
      <w:r w:rsidRPr="00BB6462">
        <w:t xml:space="preserve">vol. 38 (2013), </w:t>
      </w:r>
      <w:r w:rsidRPr="00BB6462">
        <w:rPr>
          <w:rFonts w:hint="eastAsia"/>
        </w:rPr>
        <w:t>第</w:t>
      </w:r>
      <w:r w:rsidRPr="00BB6462">
        <w:t>289</w:t>
      </w:r>
      <w:r w:rsidRPr="00BB6462">
        <w:rPr>
          <w:rFonts w:hint="eastAsia"/>
        </w:rPr>
        <w:t>页</w:t>
      </w:r>
      <w:r w:rsidRPr="00BB6462">
        <w:t xml:space="preserve">, </w:t>
      </w:r>
      <w:r w:rsidRPr="00BB6462">
        <w:t>引文见第</w:t>
      </w:r>
      <w:r w:rsidRPr="00BB6462">
        <w:t>322</w:t>
      </w:r>
      <w:r w:rsidRPr="00BB6462">
        <w:t>页。</w:t>
      </w:r>
    </w:p>
  </w:footnote>
  <w:footnote w:id="33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7170E8">
        <w:rPr>
          <w:rStyle w:val="a3"/>
          <w:rFonts w:hint="eastAsia"/>
          <w:noProof w:val="0"/>
          <w:sz w:val="21"/>
          <w:szCs w:val="21"/>
        </w:rPr>
        <w:tab/>
      </w:r>
      <w:r w:rsidRPr="00BB6462">
        <w:t>Gardiner</w:t>
      </w:r>
      <w:r w:rsidRPr="00BB6462">
        <w:t>，</w:t>
      </w:r>
      <w:r w:rsidRPr="00BB6462">
        <w:rPr>
          <w:lang w:val="es-ES"/>
        </w:rPr>
        <w:t>前注</w:t>
      </w:r>
      <w:r w:rsidRPr="00BB6462">
        <w:rPr>
          <w:rFonts w:hint="eastAsia"/>
        </w:rPr>
        <w:t>301</w:t>
      </w:r>
      <w:r w:rsidRPr="00BB6462">
        <w:t>，</w:t>
      </w:r>
      <w:r w:rsidRPr="00BB6462">
        <w:rPr>
          <w:lang w:val="es-ES"/>
        </w:rPr>
        <w:t>第</w:t>
      </w:r>
      <w:r w:rsidRPr="00BB6462">
        <w:t>2</w:t>
      </w:r>
      <w:r w:rsidRPr="00BB6462">
        <w:rPr>
          <w:rFonts w:hint="eastAsia"/>
        </w:rPr>
        <w:t>81</w:t>
      </w:r>
      <w:r w:rsidRPr="00BB6462">
        <w:rPr>
          <w:lang w:val="es-ES"/>
        </w:rPr>
        <w:t>页。</w:t>
      </w:r>
    </w:p>
  </w:footnote>
  <w:footnote w:id="34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lang w:val="es-ES"/>
        </w:rPr>
        <w:t>同上。</w:t>
      </w:r>
    </w:p>
  </w:footnote>
  <w:footnote w:id="34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7170E8">
        <w:rPr>
          <w:rStyle w:val="a3"/>
          <w:rFonts w:hint="eastAsia"/>
          <w:noProof w:val="0"/>
          <w:sz w:val="21"/>
          <w:szCs w:val="21"/>
        </w:rPr>
        <w:tab/>
      </w:r>
      <w:r w:rsidRPr="00BB6462">
        <w:rPr>
          <w:w w:val="103"/>
        </w:rPr>
        <w:t>S. Schiele, Evolution of International Environmental Regimes: The Case of Climate Change (Cambridge, Cambridge University Press, 2014), pp. 37–38; A. Gillespie, Whaling Diplomacy: Defining Issues in International Environmental Law (Cheltenham, Edward Elgar, 2005), p. 411.</w:t>
      </w:r>
    </w:p>
  </w:footnote>
  <w:footnote w:id="34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《南极捕鲸</w:t>
      </w:r>
      <w:r w:rsidRPr="00BB6462">
        <w:t>(</w:t>
      </w:r>
      <w:r w:rsidRPr="00BB6462">
        <w:t>澳大利亚诉日本：新西兰参与</w:t>
      </w:r>
      <w:r w:rsidRPr="00BB6462">
        <w:t>)</w:t>
      </w:r>
      <w:r w:rsidRPr="00BB6462">
        <w:t>案》，国际法院</w:t>
      </w:r>
      <w:r w:rsidRPr="00BB6462">
        <w:t>2014</w:t>
      </w:r>
      <w:r w:rsidRPr="00BB6462">
        <w:t>年</w:t>
      </w:r>
      <w:r w:rsidRPr="00BB6462">
        <w:t>3</w:t>
      </w:r>
      <w:r w:rsidRPr="00BB6462">
        <w:t>月</w:t>
      </w:r>
      <w:r w:rsidRPr="00BB6462">
        <w:t>31</w:t>
      </w:r>
      <w:r w:rsidRPr="00BB6462">
        <w:t>日判决书，第</w:t>
      </w:r>
      <w:r w:rsidRPr="00BB6462">
        <w:t>46</w:t>
      </w:r>
      <w:r w:rsidRPr="00BB6462">
        <w:t>段，</w:t>
      </w:r>
      <w:r w:rsidRPr="00BB6462">
        <w:rPr>
          <w:lang w:val="es-ES"/>
        </w:rPr>
        <w:t>见</w:t>
      </w:r>
      <w:r w:rsidRPr="00BB6462">
        <w:rPr>
          <w:rFonts w:hint="eastAsia"/>
        </w:rPr>
        <w:t>&lt;</w:t>
      </w:r>
      <w:r w:rsidRPr="00BB6462">
        <w:t>http://www.icj-cij.org/docket/files/148/18136.pdf</w:t>
      </w:r>
      <w:r w:rsidRPr="00BB6462">
        <w:rPr>
          <w:rFonts w:hint="eastAsia"/>
        </w:rPr>
        <w:t>&gt;</w:t>
      </w:r>
      <w:r w:rsidRPr="00BB6462">
        <w:t>。</w:t>
      </w:r>
    </w:p>
  </w:footnote>
  <w:footnote w:id="34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同上，第</w:t>
      </w:r>
      <w:r w:rsidRPr="00BB6462">
        <w:t>83</w:t>
      </w:r>
      <w:r w:rsidRPr="00BB6462">
        <w:t>段。</w:t>
      </w:r>
    </w:p>
  </w:footnote>
  <w:footnote w:id="34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见</w:t>
      </w:r>
      <w:r w:rsidRPr="00BB6462">
        <w:rPr>
          <w:rFonts w:hint="eastAsia"/>
        </w:rPr>
        <w:t>“</w:t>
      </w:r>
      <w:r w:rsidRPr="00BB6462">
        <w:t>在被占领巴勒斯坦领土修建隔离墙的法律</w:t>
      </w:r>
      <w:r w:rsidRPr="00BB6462">
        <w:rPr>
          <w:rFonts w:ascii="宋体" w:hAnsi="宋体"/>
        </w:rPr>
        <w:t>后果”，</w:t>
      </w:r>
      <w:r w:rsidRPr="00BB6462">
        <w:t>咨询意见，《</w:t>
      </w:r>
      <w:r w:rsidRPr="00BB6462">
        <w:t>2004</w:t>
      </w:r>
      <w:r w:rsidRPr="00BB6462">
        <w:t>年国际法院案例汇编》，第</w:t>
      </w:r>
      <w:r w:rsidRPr="00BB6462">
        <w:t>136</w:t>
      </w:r>
      <w:r w:rsidRPr="00BB6462">
        <w:t>页起，引文见第</w:t>
      </w:r>
      <w:r w:rsidRPr="00BB6462">
        <w:t>149</w:t>
      </w:r>
      <w:r w:rsidRPr="00BB6462">
        <w:t>页</w:t>
      </w:r>
      <w:r w:rsidRPr="00BB6462">
        <w:t>(</w:t>
      </w:r>
      <w:r w:rsidRPr="00BB6462">
        <w:t>提及大会</w:t>
      </w:r>
      <w:r w:rsidRPr="00BB6462">
        <w:rPr>
          <w:rFonts w:hint="eastAsia"/>
        </w:rPr>
        <w:t>1961</w:t>
      </w:r>
      <w:r w:rsidRPr="00BB6462">
        <w:rPr>
          <w:rFonts w:hint="eastAsia"/>
        </w:rPr>
        <w:t>年</w:t>
      </w:r>
      <w:r w:rsidRPr="00BB6462">
        <w:rPr>
          <w:rFonts w:hint="eastAsia"/>
        </w:rPr>
        <w:t>4</w:t>
      </w:r>
      <w:r w:rsidRPr="00BB6462">
        <w:rPr>
          <w:rFonts w:hint="eastAsia"/>
        </w:rPr>
        <w:t>月</w:t>
      </w:r>
      <w:r w:rsidRPr="00BB6462">
        <w:rPr>
          <w:rFonts w:hint="eastAsia"/>
        </w:rPr>
        <w:t>15</w:t>
      </w:r>
      <w:r w:rsidRPr="00BB6462">
        <w:rPr>
          <w:rFonts w:hint="eastAsia"/>
        </w:rPr>
        <w:t>日</w:t>
      </w:r>
      <w:r w:rsidRPr="00BB6462">
        <w:rPr>
          <w:rFonts w:hint="eastAsia"/>
        </w:rPr>
        <w:t xml:space="preserve"> </w:t>
      </w:r>
      <w:r w:rsidRPr="00BB6462">
        <w:t>第</w:t>
      </w:r>
      <w:r w:rsidRPr="00BB6462">
        <w:t>1600(XV)</w:t>
      </w:r>
      <w:r w:rsidRPr="00BB6462">
        <w:t>号决议，联合国文件</w:t>
      </w:r>
      <w:r w:rsidRPr="00BB6462">
        <w:t>A/RES/1600(</w:t>
      </w:r>
      <w:r w:rsidRPr="00BB6462">
        <w:t>以</w:t>
      </w:r>
      <w:r w:rsidRPr="00BB6462">
        <w:t>60</w:t>
      </w:r>
      <w:r w:rsidRPr="00BB6462">
        <w:t>票赞成、</w:t>
      </w:r>
      <w:r w:rsidRPr="00BB6462">
        <w:t>23</w:t>
      </w:r>
      <w:r w:rsidRPr="00BB6462">
        <w:t>票弃权和</w:t>
      </w:r>
      <w:r w:rsidRPr="00BB6462">
        <w:t>16</w:t>
      </w:r>
      <w:r w:rsidRPr="00BB6462">
        <w:t>票反对获得通过，反对国包括苏联和</w:t>
      </w:r>
      <w:r>
        <w:rPr>
          <w:rFonts w:hint="eastAsia"/>
        </w:rPr>
        <w:t>“</w:t>
      </w:r>
      <w:r w:rsidRPr="00BB6462">
        <w:t>东方阵营</w:t>
      </w:r>
      <w:r>
        <w:rPr>
          <w:rFonts w:hint="eastAsia"/>
        </w:rPr>
        <w:t>”</w:t>
      </w:r>
      <w:r w:rsidRPr="00BB6462">
        <w:t>的其他一些国家</w:t>
      </w:r>
      <w:r w:rsidRPr="00BB6462">
        <w:t>)</w:t>
      </w:r>
      <w:r w:rsidRPr="00BB6462">
        <w:t>；大会</w:t>
      </w:r>
      <w:r w:rsidRPr="00BB6462">
        <w:t>1963</w:t>
      </w:r>
      <w:r w:rsidRPr="00BB6462">
        <w:t>年</w:t>
      </w:r>
      <w:r w:rsidRPr="00BB6462">
        <w:t>12</w:t>
      </w:r>
      <w:r w:rsidRPr="00BB6462">
        <w:t>月</w:t>
      </w:r>
      <w:r w:rsidRPr="00BB6462">
        <w:t>13</w:t>
      </w:r>
      <w:r w:rsidRPr="00BB6462">
        <w:t>日第</w:t>
      </w:r>
      <w:r w:rsidRPr="00BB6462">
        <w:t>1913 (XVIII)</w:t>
      </w:r>
      <w:r w:rsidRPr="00BB6462">
        <w:t>号决议，联合国文件</w:t>
      </w:r>
      <w:r w:rsidRPr="00BB6462">
        <w:t xml:space="preserve"> A/RES/1913(</w:t>
      </w:r>
      <w:r w:rsidRPr="00BB6462">
        <w:t>以</w:t>
      </w:r>
      <w:r w:rsidRPr="00BB6462">
        <w:t>91</w:t>
      </w:r>
      <w:r w:rsidRPr="00BB6462">
        <w:t>票赞同、西班牙和葡萄牙</w:t>
      </w:r>
      <w:r w:rsidRPr="00BB6462">
        <w:t>2</w:t>
      </w:r>
      <w:r w:rsidRPr="00BB6462">
        <w:t>票反对获得通过</w:t>
      </w:r>
      <w:r w:rsidRPr="00BB6462">
        <w:t>)</w:t>
      </w:r>
      <w:r w:rsidRPr="00BB6462">
        <w:t>。</w:t>
      </w:r>
    </w:p>
  </w:footnote>
  <w:footnote w:id="34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fr-CH"/>
        </w:rPr>
      </w:pPr>
      <w:r w:rsidRPr="00BB6462">
        <w:rPr>
          <w:rFonts w:hint="eastAsia"/>
        </w:rPr>
        <w:tab/>
      </w:r>
      <w:r w:rsidRPr="007170E8">
        <w:rPr>
          <w:rStyle w:val="a3"/>
          <w:noProof w:val="0"/>
          <w:sz w:val="21"/>
          <w:szCs w:val="21"/>
        </w:rPr>
        <w:footnoteRef/>
      </w:r>
      <w:r w:rsidRPr="007170E8">
        <w:rPr>
          <w:rStyle w:val="a3"/>
          <w:rFonts w:hint="eastAsia"/>
          <w:noProof w:val="0"/>
          <w:sz w:val="21"/>
          <w:szCs w:val="21"/>
        </w:rPr>
        <w:tab/>
      </w:r>
      <w:r w:rsidRPr="00BB6462">
        <w:rPr>
          <w:rFonts w:ascii="宋体" w:hAnsi="宋体"/>
        </w:rPr>
        <w:t>“</w:t>
      </w:r>
      <w:r w:rsidRPr="00BB6462">
        <w:t>国家在武装冲突中使用核武器的合法性</w:t>
      </w:r>
      <w:r w:rsidRPr="00BB6462">
        <w:t>”</w:t>
      </w:r>
      <w:r w:rsidRPr="00BB6462">
        <w:t>，咨询意见，《</w:t>
      </w:r>
      <w:r w:rsidRPr="00BB6462">
        <w:t>1996</w:t>
      </w:r>
      <w:r w:rsidRPr="00BB6462">
        <w:t>年国际法院案例汇编》，第</w:t>
      </w:r>
      <w:r w:rsidRPr="00BB6462">
        <w:t>66</w:t>
      </w:r>
      <w:r w:rsidRPr="00BB6462">
        <w:t>页起，引文见第</w:t>
      </w:r>
      <w:r w:rsidRPr="00BB6462">
        <w:t>74</w:t>
      </w:r>
      <w:r w:rsidRPr="00BB6462">
        <w:t>页</w:t>
      </w:r>
      <w:r w:rsidRPr="00BB6462">
        <w:rPr>
          <w:rFonts w:hint="eastAsia"/>
        </w:rPr>
        <w:t>；另见</w:t>
      </w:r>
      <w:r w:rsidRPr="00BB6462">
        <w:t xml:space="preserve">D. </w:t>
      </w:r>
      <w:r w:rsidRPr="00BB6462">
        <w:rPr>
          <w:lang w:val="fr-CH"/>
        </w:rPr>
        <w:t xml:space="preserve">Simon, </w:t>
      </w:r>
      <w:r w:rsidRPr="00BB6462">
        <w:rPr>
          <w:i/>
          <w:lang w:val="fr-CH"/>
        </w:rPr>
        <w:t xml:space="preserve">L’interprétation judiciaire des traités d’organisations internationales, </w:t>
      </w:r>
      <w:r w:rsidRPr="00BB6462">
        <w:rPr>
          <w:lang w:val="fr-CH"/>
        </w:rPr>
        <w:t>Paris, Pedone, 1981, pp. 379-384</w:t>
      </w:r>
      <w:r w:rsidRPr="00BB6462">
        <w:rPr>
          <w:rFonts w:hint="eastAsia"/>
        </w:rPr>
        <w:t>。</w:t>
      </w:r>
    </w:p>
  </w:footnote>
  <w:footnote w:id="34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lang w:val="fr-CH"/>
        </w:rPr>
        <w:tab/>
      </w:r>
      <w:r w:rsidRPr="007170E8">
        <w:rPr>
          <w:rStyle w:val="a3"/>
          <w:noProof w:val="0"/>
          <w:sz w:val="21"/>
          <w:szCs w:val="21"/>
        </w:rPr>
        <w:footnoteRef/>
      </w:r>
      <w:r w:rsidRPr="00BB6462">
        <w:rPr>
          <w:rFonts w:hint="eastAsia"/>
        </w:rPr>
        <w:tab/>
      </w:r>
      <w:r w:rsidRPr="00BB6462">
        <w:rPr>
          <w:rFonts w:ascii="宋体" w:hAnsi="宋体"/>
        </w:rPr>
        <w:t>“</w:t>
      </w:r>
      <w:r w:rsidRPr="00BB6462">
        <w:t>联合国大会接纳国家加入联合国的权</w:t>
      </w:r>
      <w:r w:rsidRPr="00EC18A6">
        <w:rPr>
          <w:rFonts w:asciiTheme="minorEastAsia" w:eastAsiaTheme="minorEastAsia" w:hAnsiTheme="minorEastAsia"/>
        </w:rPr>
        <w:t>限”</w:t>
      </w:r>
      <w:r w:rsidRPr="00BB6462">
        <w:t>，咨询意见，《</w:t>
      </w:r>
      <w:r w:rsidRPr="00BB6462">
        <w:t>1950</w:t>
      </w:r>
      <w:r w:rsidRPr="00BB6462">
        <w:t>年国际法院案例汇编》，第</w:t>
      </w:r>
      <w:r w:rsidRPr="00BB6462">
        <w:t>4</w:t>
      </w:r>
      <w:r w:rsidRPr="00BB6462">
        <w:t>页起，引文见第</w:t>
      </w:r>
      <w:r w:rsidRPr="00BB6462">
        <w:t>9</w:t>
      </w:r>
      <w:r w:rsidRPr="00BB6462">
        <w:t>页。</w:t>
      </w:r>
    </w:p>
  </w:footnote>
  <w:footnote w:id="34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ascii="宋体" w:hAnsi="宋体"/>
        </w:rPr>
        <w:t>“《</w:t>
      </w:r>
      <w:r w:rsidRPr="00BB6462">
        <w:t>联合国特权和豁免公约》第六条第二十二节的适</w:t>
      </w:r>
      <w:r w:rsidRPr="00BB6462">
        <w:rPr>
          <w:rFonts w:ascii="宋体" w:hAnsi="宋体"/>
        </w:rPr>
        <w:t>用”</w:t>
      </w:r>
      <w:r w:rsidRPr="00BB6462">
        <w:t>，咨询意见，《</w:t>
      </w:r>
      <w:r w:rsidRPr="00BB6462">
        <w:t>1989</w:t>
      </w:r>
      <w:r w:rsidRPr="00BB6462">
        <w:t>年国际法院案例汇编》，第</w:t>
      </w:r>
      <w:r w:rsidRPr="00BB6462">
        <w:t>177</w:t>
      </w:r>
      <w:r w:rsidRPr="00BB6462">
        <w:t>页起，引文见第</w:t>
      </w:r>
      <w:r w:rsidRPr="00BB6462">
        <w:t>194</w:t>
      </w:r>
      <w:r w:rsidRPr="00BB6462">
        <w:t>页，第</w:t>
      </w:r>
      <w:r w:rsidRPr="00BB6462">
        <w:t>48</w:t>
      </w:r>
      <w:r w:rsidRPr="00BB6462">
        <w:t>段。</w:t>
      </w:r>
    </w:p>
  </w:footnote>
  <w:footnote w:id="34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rFonts w:eastAsia="Droid Sans Fallback"/>
        </w:rPr>
      </w:pPr>
      <w:r w:rsidRPr="00BB6462">
        <w:rPr>
          <w:rFonts w:hint="eastAsia"/>
        </w:rPr>
        <w:tab/>
      </w:r>
      <w:r w:rsidRPr="007170E8">
        <w:rPr>
          <w:rStyle w:val="a3"/>
          <w:noProof w:val="0"/>
          <w:sz w:val="21"/>
          <w:szCs w:val="21"/>
        </w:rPr>
        <w:footnoteRef/>
      </w:r>
      <w:r w:rsidRPr="00BB6462">
        <w:rPr>
          <w:rFonts w:hint="eastAsia"/>
        </w:rPr>
        <w:tab/>
      </w:r>
      <w:r w:rsidRPr="00BB6462">
        <w:rPr>
          <w:rFonts w:ascii="宋体" w:hAnsi="宋体"/>
        </w:rPr>
        <w:t>“</w:t>
      </w:r>
      <w:r w:rsidRPr="00BB6462">
        <w:t>政府间海事协商组织海上安全委员会的组成</w:t>
      </w:r>
      <w:r w:rsidRPr="00BB6462">
        <w:rPr>
          <w:rFonts w:ascii="宋体" w:hAnsi="宋体"/>
        </w:rPr>
        <w:t>”</w:t>
      </w:r>
      <w:r w:rsidRPr="00BB6462">
        <w:t>，咨询意见，《</w:t>
      </w:r>
      <w:r w:rsidRPr="00BB6462">
        <w:t>1960</w:t>
      </w:r>
      <w:r w:rsidRPr="00BB6462">
        <w:t>年国际法院案例汇编》，第</w:t>
      </w:r>
      <w:r w:rsidRPr="00BB6462">
        <w:t>150</w:t>
      </w:r>
      <w:r w:rsidRPr="00BB6462">
        <w:t>页起，引文见第</w:t>
      </w:r>
      <w:r w:rsidRPr="00BB6462">
        <w:t>169</w:t>
      </w:r>
      <w:r w:rsidRPr="00BB6462">
        <w:t>页。</w:t>
      </w:r>
    </w:p>
  </w:footnote>
  <w:footnote w:id="34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rPr>
          <w:rFonts w:ascii="宋体" w:hAnsi="宋体"/>
        </w:rPr>
        <w:t>“联</w:t>
      </w:r>
      <w:r w:rsidRPr="00BB6462">
        <w:t>合国的某些经费</w:t>
      </w:r>
      <w:r w:rsidRPr="00BB6462">
        <w:t>(</w:t>
      </w:r>
      <w:r w:rsidRPr="00BB6462">
        <w:t>《宪章》第十七条第二项</w:t>
      </w:r>
      <w:r w:rsidRPr="00BB6462">
        <w:t>)</w:t>
      </w:r>
      <w:r w:rsidRPr="00BB6462">
        <w:rPr>
          <w:rFonts w:ascii="宋体" w:hAnsi="宋体"/>
        </w:rPr>
        <w:t>”</w:t>
      </w:r>
      <w:r w:rsidRPr="00BB6462">
        <w:t>，咨询意见，《</w:t>
      </w:r>
      <w:r w:rsidRPr="00BB6462">
        <w:t>1962</w:t>
      </w:r>
      <w:r w:rsidRPr="00BB6462">
        <w:t>年国际法院案例汇编》，第</w:t>
      </w:r>
      <w:r w:rsidRPr="00BB6462">
        <w:t>151</w:t>
      </w:r>
      <w:r w:rsidRPr="00BB6462">
        <w:t>页起，引文见第</w:t>
      </w:r>
      <w:r w:rsidRPr="00BB6462">
        <w:t>168</w:t>
      </w:r>
      <w:r w:rsidRPr="00BB6462">
        <w:t>页。</w:t>
      </w:r>
    </w:p>
  </w:footnote>
  <w:footnote w:id="35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 xml:space="preserve">J. Klabbers, </w:t>
      </w:r>
      <w:r w:rsidRPr="00BB6462">
        <w:rPr>
          <w:i/>
        </w:rPr>
        <w:t xml:space="preserve">An Introduction to Institutional Law, </w:t>
      </w:r>
      <w:r w:rsidRPr="00BB6462">
        <w:t xml:space="preserve">2nd ed. (Cambridge, Cambridge University Press, 2009), p. 90; C.F. Amerasinghe, </w:t>
      </w:r>
      <w:r w:rsidRPr="00BB6462">
        <w:rPr>
          <w:i/>
        </w:rPr>
        <w:t>Principles of the Institutional Law of International Organizations</w:t>
      </w:r>
      <w:r w:rsidRPr="00BB6462">
        <w:t xml:space="preserve">, 2nd ed. (Cambridge, Cambridge University Press, 2005), p. 25; J. E. </w:t>
      </w:r>
      <w:r w:rsidRPr="00BB6462">
        <w:rPr>
          <w:bCs/>
        </w:rPr>
        <w:t xml:space="preserve">Alvarez, </w:t>
      </w:r>
      <w:r w:rsidRPr="00BB6462">
        <w:rPr>
          <w:bCs/>
          <w:i/>
        </w:rPr>
        <w:t>International Organizations as Law-Makers</w:t>
      </w:r>
      <w:r w:rsidRPr="00BB6462">
        <w:rPr>
          <w:bCs/>
        </w:rPr>
        <w:t xml:space="preserve"> (Oxford, Oxford University Press, 2006), p. 80; </w:t>
      </w:r>
      <w:r w:rsidRPr="00BB6462">
        <w:t xml:space="preserve">Rosenne, </w:t>
      </w:r>
      <w:r w:rsidRPr="00BB6462">
        <w:rPr>
          <w:i/>
        </w:rPr>
        <w:t xml:space="preserve">supra </w:t>
      </w:r>
      <w:r w:rsidRPr="00BB6462">
        <w:t>note 297, pp. 224–225.</w:t>
      </w:r>
    </w:p>
  </w:footnote>
  <w:footnote w:id="35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szCs w:val="21"/>
        </w:rPr>
        <w:footnoteRef/>
      </w:r>
      <w:r w:rsidRPr="00BB6462">
        <w:rPr>
          <w:rFonts w:hint="eastAsia"/>
        </w:rPr>
        <w:tab/>
      </w:r>
      <w:r w:rsidRPr="00BB6462">
        <w:t>E. Lauterpacht, “The Development of the Law of International Organizations by the Decisions of International Tribunals</w:t>
      </w:r>
      <w:r w:rsidRPr="00BB6462">
        <w:rPr>
          <w:i/>
        </w:rPr>
        <w:t>”,</w:t>
      </w:r>
      <w:r w:rsidRPr="00BB6462">
        <w:t xml:space="preserve"> </w:t>
      </w:r>
      <w:r w:rsidRPr="00BB6462">
        <w:rPr>
          <w:i/>
        </w:rPr>
        <w:t>Recueil des Cours</w:t>
      </w:r>
      <w:r w:rsidRPr="00BB6462">
        <w:t xml:space="preserve">, vol. 152 (1976), p. 377, at p. 460; N. M. Blokker, “Beyond ‘Dili’: On the Powers and Practice of International Organizations”, in </w:t>
      </w:r>
      <w:r w:rsidRPr="00BB6462">
        <w:rPr>
          <w:i/>
        </w:rPr>
        <w:t>State, Sovereignty, and International Governance</w:t>
      </w:r>
      <w:r w:rsidRPr="00BB6462">
        <w:t>, G. Kreijen, ed.</w:t>
      </w:r>
      <w:r w:rsidRPr="00BB6462">
        <w:rPr>
          <w:i/>
        </w:rPr>
        <w:t xml:space="preserve"> </w:t>
      </w:r>
      <w:r w:rsidRPr="00BB6462">
        <w:t>(Oxford, Oxford University Press, 2002), pp. 312–318.</w:t>
      </w:r>
    </w:p>
  </w:footnote>
  <w:footnote w:id="35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 xml:space="preserve">C. Brölmann, “Specialized Rules of Treaty Interpretation: International Organizations”, in </w:t>
      </w:r>
      <w:r w:rsidRPr="00BB6462">
        <w:rPr>
          <w:i/>
        </w:rPr>
        <w:t>The Oxford Guide to Treaties</w:t>
      </w:r>
      <w:r w:rsidRPr="00BB6462">
        <w:t xml:space="preserve">, D. Hollis, ed. (Oxford, Oxford University Press, 2012), pp. 520–521; S. Kadelbach, “The Interpretation of the Charter”, in </w:t>
      </w:r>
      <w:r w:rsidRPr="00BB6462">
        <w:rPr>
          <w:i/>
        </w:rPr>
        <w:t>The Charter of the United Nations: A Commentary</w:t>
      </w:r>
      <w:r w:rsidRPr="00BB6462">
        <w:t xml:space="preserve">, B. Simma </w:t>
      </w:r>
      <w:r w:rsidRPr="00BB6462">
        <w:rPr>
          <w:i/>
        </w:rPr>
        <w:t>et al.</w:t>
      </w:r>
      <w:r w:rsidRPr="00BB6462">
        <w:t xml:space="preserve">, eds. 3rd ed. (Oxford, Oxford University Press, 2012), p. 71, at p. 80; Gardiner, </w:t>
      </w:r>
      <w:r w:rsidRPr="00BB6462">
        <w:rPr>
          <w:i/>
        </w:rPr>
        <w:t>supra</w:t>
      </w:r>
      <w:r w:rsidRPr="00BB6462">
        <w:t xml:space="preserve"> note </w:t>
      </w:r>
      <w:r w:rsidRPr="00621C35">
        <w:t>301</w:t>
      </w:r>
      <w:r w:rsidRPr="00BB6462">
        <w:t>, pp. 127 and 281.</w:t>
      </w:r>
    </w:p>
  </w:footnote>
  <w:footnote w:id="35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 xml:space="preserve">Gardiner, </w:t>
      </w:r>
      <w:r w:rsidRPr="00BB6462">
        <w:rPr>
          <w:i/>
        </w:rPr>
        <w:t>supra</w:t>
      </w:r>
      <w:r w:rsidRPr="00BB6462">
        <w:t xml:space="preserve"> note </w:t>
      </w:r>
      <w:r w:rsidRPr="00621C35">
        <w:t>301</w:t>
      </w:r>
      <w:r w:rsidRPr="00BB6462">
        <w:t xml:space="preserve">, p. 282; Schermers and Blokker, </w:t>
      </w:r>
      <w:r w:rsidRPr="00BB6462">
        <w:rPr>
          <w:i/>
        </w:rPr>
        <w:t>supra</w:t>
      </w:r>
      <w:r w:rsidRPr="00BB6462">
        <w:t xml:space="preserve"> note </w:t>
      </w:r>
      <w:r w:rsidRPr="00621C35">
        <w:t>330</w:t>
      </w:r>
      <w:r w:rsidRPr="00BB6462">
        <w:t xml:space="preserve">, p. 844; J. Crawford, </w:t>
      </w:r>
      <w:r w:rsidRPr="00BB6462">
        <w:rPr>
          <w:i/>
        </w:rPr>
        <w:t>Brownlie’s Principles of Public International Law</w:t>
      </w:r>
      <w:r w:rsidRPr="00BB6462">
        <w:t xml:space="preserve">, 8th ed. (Oxford, Oxford University Press, 2012), p. 187; Klabbers, </w:t>
      </w:r>
      <w:r w:rsidRPr="00BB6462">
        <w:rPr>
          <w:i/>
        </w:rPr>
        <w:t>supra</w:t>
      </w:r>
      <w:r w:rsidRPr="00BB6462">
        <w:t xml:space="preserve"> note</w:t>
      </w:r>
      <w:r w:rsidRPr="00BB6462">
        <w:rPr>
          <w:rFonts w:hint="eastAsia"/>
        </w:rPr>
        <w:t xml:space="preserve"> 350, </w:t>
      </w:r>
      <w:r w:rsidRPr="00BB6462">
        <w:t xml:space="preserve">pp. 89–90; </w:t>
      </w:r>
      <w:r w:rsidRPr="00BB6462">
        <w:t>另见</w:t>
      </w:r>
      <w:r w:rsidRPr="00534148">
        <w:rPr>
          <w:rFonts w:asciiTheme="minorEastAsia" w:eastAsiaTheme="minorEastAsia" w:hAnsiTheme="minorEastAsia" w:hint="eastAsia"/>
        </w:rPr>
        <w:t>“</w:t>
      </w:r>
      <w:r w:rsidRPr="00534148">
        <w:rPr>
          <w:rFonts w:asciiTheme="minorEastAsia" w:eastAsiaTheme="minorEastAsia" w:hAnsiTheme="minorEastAsia"/>
        </w:rPr>
        <w:t>关于2001年1月8日召回私人持股合法性及此类股份估值适用标准的部分裁决”，</w:t>
      </w:r>
      <w:r w:rsidRPr="00534148">
        <w:rPr>
          <w:rFonts w:asciiTheme="majorBidi" w:eastAsiaTheme="minorEastAsia" w:hAnsiTheme="majorBidi" w:cstheme="majorBidi"/>
        </w:rPr>
        <w:t>2002</w:t>
      </w:r>
      <w:r w:rsidRPr="00534148">
        <w:rPr>
          <w:rFonts w:asciiTheme="majorBidi" w:eastAsiaTheme="minorEastAsia" w:hAnsiTheme="majorBidi" w:cstheme="majorBidi"/>
        </w:rPr>
        <w:t>年</w:t>
      </w:r>
      <w:r w:rsidRPr="00534148">
        <w:rPr>
          <w:rFonts w:asciiTheme="majorBidi" w:eastAsiaTheme="minorEastAsia" w:hAnsiTheme="majorBidi" w:cstheme="majorBidi"/>
        </w:rPr>
        <w:t>11</w:t>
      </w:r>
      <w:r w:rsidRPr="00534148">
        <w:rPr>
          <w:rFonts w:asciiTheme="majorBidi" w:eastAsiaTheme="minorEastAsia" w:hAnsiTheme="majorBidi" w:cstheme="majorBidi"/>
        </w:rPr>
        <w:t>月</w:t>
      </w:r>
      <w:r w:rsidRPr="00534148">
        <w:rPr>
          <w:rFonts w:asciiTheme="majorBidi" w:eastAsiaTheme="minorEastAsia" w:hAnsiTheme="majorBidi" w:cstheme="majorBidi"/>
        </w:rPr>
        <w:t>22</w:t>
      </w:r>
      <w:r w:rsidRPr="00534148">
        <w:rPr>
          <w:rFonts w:asciiTheme="majorBidi" w:eastAsiaTheme="minorEastAsia" w:hAnsiTheme="majorBidi" w:cstheme="majorBidi"/>
        </w:rPr>
        <w:t>日，</w:t>
      </w:r>
      <w:r w:rsidRPr="00BB6462">
        <w:t>《联合国国际仲裁裁决汇编》，第二十三卷，第</w:t>
      </w:r>
      <w:r w:rsidRPr="00BB6462">
        <w:t>183</w:t>
      </w:r>
      <w:r w:rsidRPr="00BB6462">
        <w:t>页，引文见第</w:t>
      </w:r>
      <w:r w:rsidRPr="00BB6462">
        <w:t>224</w:t>
      </w:r>
      <w:r w:rsidRPr="00BB6462">
        <w:t>页，</w:t>
      </w:r>
      <w:r w:rsidRPr="00EC18A6">
        <w:rPr>
          <w:rFonts w:asciiTheme="majorBidi" w:hAnsiTheme="majorBidi" w:cstheme="majorBidi"/>
        </w:rPr>
        <w:t>第</w:t>
      </w:r>
      <w:r w:rsidRPr="00EC18A6">
        <w:rPr>
          <w:rFonts w:asciiTheme="majorBidi" w:hAnsiTheme="majorBidi" w:cstheme="majorBidi"/>
        </w:rPr>
        <w:t>145</w:t>
      </w:r>
      <w:r w:rsidRPr="00EC18A6">
        <w:rPr>
          <w:rFonts w:asciiTheme="majorBidi" w:hAnsiTheme="majorBidi" w:cstheme="majorBidi"/>
        </w:rPr>
        <w:t>段。</w:t>
      </w:r>
    </w:p>
  </w:footnote>
  <w:footnote w:id="35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委员会可以重新审视结论草案</w:t>
      </w:r>
      <w:r w:rsidRPr="00BB6462">
        <w:t>1(4)</w:t>
      </w:r>
      <w:r w:rsidRPr="00BB6462">
        <w:t>和</w:t>
      </w:r>
      <w:r w:rsidRPr="00BB6462">
        <w:t>4(3)</w:t>
      </w:r>
      <w:r w:rsidRPr="00BB6462">
        <w:t>中</w:t>
      </w:r>
      <w:r>
        <w:rPr>
          <w:rFonts w:ascii="宋体" w:hAnsi="宋体" w:hint="eastAsia"/>
        </w:rPr>
        <w:t>“</w:t>
      </w:r>
      <w:r w:rsidRPr="00BB6462">
        <w:rPr>
          <w:rFonts w:ascii="宋体" w:hAnsi="宋体"/>
        </w:rPr>
        <w:t>其他嗣后惯例”的</w:t>
      </w:r>
      <w:r w:rsidRPr="00BB6462">
        <w:t>定义，以澄清国际组织的自身惯例是否应该纳入该类；该类目前仅限于缔约国的惯例；见国际法委员会第六十五届会议报告，</w:t>
      </w:r>
      <w:r w:rsidRPr="00BB6462">
        <w:rPr>
          <w:rFonts w:hint="eastAsia"/>
        </w:rPr>
        <w:t>《</w:t>
      </w:r>
      <w:r w:rsidRPr="00BB6462">
        <w:t>大会正式记录，第六十八届会议，补编第</w:t>
      </w:r>
      <w:r w:rsidRPr="00BB6462">
        <w:t>10</w:t>
      </w:r>
      <w:r w:rsidRPr="00BB6462">
        <w:t>号</w:t>
      </w:r>
      <w:r w:rsidRPr="00BB6462">
        <w:rPr>
          <w:rFonts w:hint="eastAsia"/>
        </w:rPr>
        <w:t>》</w:t>
      </w:r>
      <w:r w:rsidRPr="00BB6462">
        <w:t>(A/68/10)</w:t>
      </w:r>
      <w:r w:rsidRPr="00BB6462">
        <w:t>，第四章，第</w:t>
      </w:r>
      <w:r w:rsidRPr="00BB6462">
        <w:t>11-12</w:t>
      </w:r>
      <w:r w:rsidRPr="00BB6462">
        <w:t>页。</w:t>
      </w:r>
    </w:p>
  </w:footnote>
  <w:footnote w:id="35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前注</w:t>
      </w:r>
      <w:r>
        <w:rPr>
          <w:rFonts w:hint="eastAsia"/>
        </w:rPr>
        <w:t>344</w:t>
      </w:r>
      <w:r w:rsidRPr="00BB6462">
        <w:rPr>
          <w:rFonts w:hint="eastAsia"/>
        </w:rPr>
        <w:t>。</w:t>
      </w:r>
    </w:p>
  </w:footnote>
  <w:footnote w:id="35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7170E8">
        <w:rPr>
          <w:rStyle w:val="a3"/>
          <w:rFonts w:hint="eastAsia"/>
          <w:noProof w:val="0"/>
          <w:sz w:val="21"/>
        </w:rPr>
        <w:tab/>
      </w:r>
      <w:r w:rsidRPr="00BB6462">
        <w:t>国际法院所用的措辞是</w:t>
      </w:r>
      <w:r>
        <w:rPr>
          <w:rFonts w:ascii="宋体" w:hAnsi="宋体" w:hint="eastAsia"/>
        </w:rPr>
        <w:t>“</w:t>
      </w:r>
      <w:r w:rsidRPr="00BB6462">
        <w:rPr>
          <w:rFonts w:ascii="宋体" w:hAnsi="宋体"/>
        </w:rPr>
        <w:t>其</w:t>
      </w:r>
      <w:r w:rsidRPr="00BB6462">
        <w:t>组成文件中具体规定或默示的，以及在实践中发展的宗旨和职能</w:t>
      </w:r>
      <w:r w:rsidRPr="00BB6462">
        <w:rPr>
          <w:rFonts w:ascii="宋体" w:hAnsi="宋体"/>
        </w:rPr>
        <w:t>”，</w:t>
      </w:r>
      <w:r>
        <w:rPr>
          <w:rFonts w:ascii="宋体" w:hAnsi="宋体" w:hint="eastAsia"/>
        </w:rPr>
        <w:t>“</w:t>
      </w:r>
      <w:r w:rsidRPr="00BB6462">
        <w:t>执行联合国公务时所受损害的补偿</w:t>
      </w:r>
      <w:r w:rsidRPr="00BB6462">
        <w:rPr>
          <w:rFonts w:ascii="宋体" w:hAnsi="宋体"/>
        </w:rPr>
        <w:t>”</w:t>
      </w:r>
      <w:r w:rsidRPr="00BB6462">
        <w:t>，咨询意见，《</w:t>
      </w:r>
      <w:r w:rsidRPr="00BB6462">
        <w:t>1949</w:t>
      </w:r>
      <w:r w:rsidRPr="00BB6462">
        <w:t>年国际法院案例汇编》，第</w:t>
      </w:r>
      <w:r w:rsidRPr="00BB6462">
        <w:t>174</w:t>
      </w:r>
      <w:r w:rsidRPr="00BB6462">
        <w:t>页起，引文见第</w:t>
      </w:r>
      <w:r w:rsidRPr="00BB6462">
        <w:t>180</w:t>
      </w:r>
      <w:r w:rsidRPr="00BB6462">
        <w:t>页。</w:t>
      </w:r>
    </w:p>
  </w:footnote>
  <w:footnote w:id="35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7170E8">
        <w:rPr>
          <w:rStyle w:val="a3"/>
          <w:rFonts w:hint="eastAsia"/>
          <w:noProof w:val="0"/>
          <w:sz w:val="21"/>
        </w:rPr>
        <w:tab/>
      </w:r>
      <w:r w:rsidRPr="00BB6462">
        <w:t>国际法委员会第六十五届会议报告，</w:t>
      </w:r>
      <w:r w:rsidRPr="00BB6462">
        <w:rPr>
          <w:rFonts w:hint="eastAsia"/>
        </w:rPr>
        <w:t>《</w:t>
      </w:r>
      <w:r w:rsidRPr="00BB6462">
        <w:t>大会正式记录，第六十八届会议，补编第</w:t>
      </w:r>
      <w:r w:rsidRPr="00BB6462">
        <w:t>10</w:t>
      </w:r>
      <w:r w:rsidRPr="00BB6462">
        <w:t>号</w:t>
      </w:r>
      <w:r w:rsidRPr="00BB6462">
        <w:rPr>
          <w:rFonts w:hint="eastAsia"/>
        </w:rPr>
        <w:t>》</w:t>
      </w:r>
      <w:r w:rsidRPr="00BB6462">
        <w:t>(A/68/10)</w:t>
      </w:r>
      <w:r w:rsidRPr="00BB6462">
        <w:t>，第四章，第</w:t>
      </w:r>
      <w:r w:rsidRPr="00BB6462">
        <w:t>19</w:t>
      </w:r>
      <w:r w:rsidRPr="00BB6462">
        <w:t>页，脚注</w:t>
      </w:r>
      <w:r w:rsidRPr="00BB6462">
        <w:t>58</w:t>
      </w:r>
      <w:r w:rsidRPr="00BB6462">
        <w:t>；特别见</w:t>
      </w:r>
      <w:r>
        <w:rPr>
          <w:rFonts w:hint="eastAsia"/>
        </w:rPr>
        <w:t>“</w:t>
      </w:r>
      <w:r w:rsidRPr="00BB6462">
        <w:rPr>
          <w:rFonts w:ascii="宋体" w:hAnsi="宋体"/>
        </w:rPr>
        <w:t>喀</w:t>
      </w:r>
      <w:r w:rsidRPr="00BB6462">
        <w:t>麦隆与尼日利</w:t>
      </w:r>
      <w:r w:rsidRPr="00BB6462">
        <w:rPr>
          <w:rFonts w:ascii="宋体" w:hAnsi="宋体"/>
        </w:rPr>
        <w:t>亚间</w:t>
      </w:r>
      <w:r w:rsidRPr="00BB6462">
        <w:t>陆地和海洋疆</w:t>
      </w:r>
      <w:r w:rsidRPr="00BB6462">
        <w:rPr>
          <w:rFonts w:ascii="宋体" w:hAnsi="宋体"/>
        </w:rPr>
        <w:t>界”</w:t>
      </w:r>
      <w:r w:rsidRPr="00BB6462">
        <w:t>，初步反对意见，判决书，《</w:t>
      </w:r>
      <w:r w:rsidRPr="00BB6462">
        <w:t>1998</w:t>
      </w:r>
      <w:r w:rsidRPr="00BB6462">
        <w:t>年国际法院案例汇编》，第</w:t>
      </w:r>
      <w:r w:rsidRPr="00BB6462">
        <w:t>275</w:t>
      </w:r>
      <w:r w:rsidRPr="00BB6462">
        <w:t>页起，引文见第</w:t>
      </w:r>
      <w:r w:rsidRPr="00BB6462">
        <w:t>306</w:t>
      </w:r>
      <w:r w:rsidRPr="00BB6462">
        <w:t>和</w:t>
      </w:r>
      <w:r w:rsidRPr="00BB6462">
        <w:t>307</w:t>
      </w:r>
      <w:r w:rsidRPr="00BB6462">
        <w:t>页，第</w:t>
      </w:r>
      <w:r w:rsidRPr="00BB6462">
        <w:t>67</w:t>
      </w:r>
      <w:r w:rsidRPr="00BB6462">
        <w:t>段。</w:t>
      </w:r>
    </w:p>
  </w:footnote>
  <w:footnote w:id="35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rPr>
          <w:rFonts w:hint="eastAsia"/>
        </w:rPr>
        <w:t>见</w:t>
      </w:r>
      <w:r>
        <w:rPr>
          <w:rFonts w:ascii="宋体" w:hAnsi="宋体" w:hint="eastAsia"/>
        </w:rPr>
        <w:t>“</w:t>
      </w:r>
      <w:r w:rsidRPr="00BB6462">
        <w:rPr>
          <w:rFonts w:hint="eastAsia"/>
        </w:rPr>
        <w:t>与西南非洲领土报告和请愿书有关的问题的表决程序</w:t>
      </w:r>
      <w:r w:rsidRPr="00BB6462">
        <w:rPr>
          <w:rFonts w:ascii="宋体" w:hAnsi="宋体" w:hint="eastAsia"/>
        </w:rPr>
        <w:t>”</w:t>
      </w:r>
      <w:r w:rsidRPr="00BB6462">
        <w:rPr>
          <w:rFonts w:hint="eastAsia"/>
        </w:rPr>
        <w:t>，咨询意见，劳特帕赫特法官的个别意见，《</w:t>
      </w:r>
      <w:r w:rsidRPr="00BB6462">
        <w:t>1955</w:t>
      </w:r>
      <w:r w:rsidRPr="00BB6462">
        <w:rPr>
          <w:rFonts w:hint="eastAsia"/>
        </w:rPr>
        <w:t>年国际法院案例汇编》，第</w:t>
      </w:r>
      <w:r w:rsidRPr="00BB6462">
        <w:t>67</w:t>
      </w:r>
      <w:r w:rsidRPr="00BB6462">
        <w:rPr>
          <w:rFonts w:hint="eastAsia"/>
        </w:rPr>
        <w:t>页起，引文见第</w:t>
      </w:r>
      <w:r w:rsidRPr="00BB6462">
        <w:t>106</w:t>
      </w:r>
      <w:r w:rsidRPr="00BB6462">
        <w:rPr>
          <w:rFonts w:hint="eastAsia"/>
        </w:rPr>
        <w:t>页</w:t>
      </w:r>
      <w:r w:rsidRPr="00BB6462">
        <w:t>。</w:t>
      </w:r>
      <w:r w:rsidRPr="00BB6462">
        <w:t>(</w:t>
      </w:r>
      <w:r w:rsidRPr="00BB6462">
        <w:t>在适当解释基本文书时，必须不仅考虑到原始文书的正式文字，而且要考虑到其实践中的运作并联系本组织存在期间所出现的各种趋势。</w:t>
      </w:r>
      <w:r w:rsidRPr="00BB6462">
        <w:t>)</w:t>
      </w:r>
      <w:r w:rsidRPr="00BB6462">
        <w:t>。</w:t>
      </w:r>
    </w:p>
  </w:footnote>
  <w:footnote w:id="35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评论家们正在就以下问题进行辩论，即：某些国际组织具体的机构性质，加上其组成文书中所显示的原则和价值，是否也能够导致人们借鉴国家宪法，对此类文书作出</w:t>
      </w:r>
      <w:r>
        <w:rPr>
          <w:rFonts w:eastAsia="仿宋_GB2312" w:hint="eastAsia"/>
        </w:rPr>
        <w:t>“</w:t>
      </w:r>
      <w:r w:rsidRPr="00BB6462">
        <w:t>宪法性</w:t>
      </w:r>
      <w:r w:rsidRPr="00BB6462">
        <w:rPr>
          <w:rFonts w:ascii="宋体" w:hAnsi="宋体"/>
        </w:rPr>
        <w:t>”解</w:t>
      </w:r>
      <w:r w:rsidRPr="00BB6462">
        <w:t>释？例如，见</w:t>
      </w:r>
      <w:r w:rsidRPr="00BB6462">
        <w:t xml:space="preserve">J.E. Alvarez, “Constitutional Interpretation in International Organizations”, in </w:t>
      </w:r>
      <w:r w:rsidRPr="00BB6462">
        <w:rPr>
          <w:i/>
          <w:iCs/>
        </w:rPr>
        <w:t>The Legitimacy of International Organizations</w:t>
      </w:r>
      <w:r w:rsidRPr="00BB6462">
        <w:t xml:space="preserve"> J.-M. Coicaud and V. Heiskanen, eds. (Tokyo, United Nations University Press, 2001), pp. 104–154: A. Peters, « L’acte constitutif de l’organisation internationale », </w:t>
      </w:r>
      <w:r w:rsidRPr="00BB6462">
        <w:rPr>
          <w:i/>
        </w:rPr>
        <w:t xml:space="preserve">in </w:t>
      </w:r>
      <w:r w:rsidRPr="00BB6462">
        <w:t xml:space="preserve">E. Lagrange, J.-M. Sorel (dir.), </w:t>
      </w:r>
      <w:r w:rsidRPr="00BB6462">
        <w:rPr>
          <w:i/>
        </w:rPr>
        <w:t xml:space="preserve">Droit des organisations internationales </w:t>
      </w:r>
      <w:r w:rsidRPr="00BB6462">
        <w:t xml:space="preserve">(Paris, LGDJ, 2013), pp. 216-218 ; </w:t>
      </w:r>
      <w:r w:rsidRPr="00BB6462">
        <w:rPr>
          <w:color w:val="000000"/>
        </w:rPr>
        <w:t>M. Wood, “‘Constitutionalization’ of International Law: A Sceptical Voice", in K. H. Kaikabad, M Bohlinder (eds.),</w:t>
      </w:r>
      <w:r w:rsidRPr="00BB6462">
        <w:rPr>
          <w:rStyle w:val="apple-converted-space"/>
          <w:color w:val="000000"/>
          <w:szCs w:val="21"/>
        </w:rPr>
        <w:t> </w:t>
      </w:r>
      <w:r w:rsidRPr="00BB6462">
        <w:rPr>
          <w:bCs/>
          <w:i/>
          <w:color w:val="000000"/>
        </w:rPr>
        <w:t>International Law and Power: Perspectives on Legal Order and Justice</w:t>
      </w:r>
      <w:r w:rsidRPr="00BB6462">
        <w:rPr>
          <w:bCs/>
          <w:color w:val="000000"/>
        </w:rPr>
        <w:t xml:space="preserve">.  </w:t>
      </w:r>
      <w:r w:rsidRPr="00BB6462">
        <w:rPr>
          <w:bCs/>
          <w:i/>
          <w:color w:val="000000"/>
        </w:rPr>
        <w:t xml:space="preserve">Essays in Honour of Colin Warbrick, </w:t>
      </w:r>
      <w:r w:rsidRPr="00BB6462">
        <w:rPr>
          <w:bCs/>
          <w:color w:val="000000"/>
        </w:rPr>
        <w:t>(Leiden/Boston, Brill/Nijhoff,</w:t>
      </w:r>
      <w:r w:rsidRPr="00BB6462">
        <w:rPr>
          <w:rStyle w:val="apple-converted-space"/>
          <w:color w:val="000000"/>
          <w:szCs w:val="21"/>
        </w:rPr>
        <w:t> </w:t>
      </w:r>
      <w:r w:rsidRPr="00BB6462">
        <w:rPr>
          <w:color w:val="000000"/>
        </w:rPr>
        <w:t>2009), pp. 85-97</w:t>
      </w:r>
      <w:r w:rsidRPr="00BB6462">
        <w:rPr>
          <w:rFonts w:hint="eastAsia"/>
          <w:color w:val="000000"/>
        </w:rPr>
        <w:t>。</w:t>
      </w:r>
      <w:r w:rsidRPr="00BB6462">
        <w:t xml:space="preserve"> </w:t>
      </w:r>
    </w:p>
  </w:footnote>
  <w:footnote w:id="36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南非不顾安全理事会第</w:t>
      </w:r>
      <w:r w:rsidRPr="00BB6462">
        <w:t xml:space="preserve"> 276(1970)</w:t>
      </w:r>
      <w:r w:rsidRPr="00BB6462">
        <w:t>号决议继续留驻纳米比亚</w:t>
      </w:r>
      <w:r w:rsidRPr="00BB6462">
        <w:t>(</w:t>
      </w:r>
      <w:r w:rsidRPr="00BB6462">
        <w:t>西南非洲</w:t>
      </w:r>
      <w:r w:rsidRPr="00BB6462">
        <w:t xml:space="preserve">) </w:t>
      </w:r>
      <w:r w:rsidRPr="00BB6462">
        <w:t>对各国的法律后果，咨询意见，</w:t>
      </w:r>
      <w:r w:rsidRPr="00BB6462">
        <w:rPr>
          <w:rFonts w:hint="eastAsia"/>
        </w:rPr>
        <w:t>《</w:t>
      </w:r>
      <w:r w:rsidRPr="00BB6462">
        <w:t xml:space="preserve">1971 </w:t>
      </w:r>
      <w:r w:rsidRPr="00BB6462">
        <w:t>年国际法院案例汇编》，第</w:t>
      </w:r>
      <w:r w:rsidRPr="00BB6462">
        <w:rPr>
          <w:rFonts w:hint="eastAsia"/>
        </w:rPr>
        <w:t>31-32</w:t>
      </w:r>
      <w:r w:rsidRPr="00BB6462">
        <w:t xml:space="preserve"> </w:t>
      </w:r>
      <w:r w:rsidRPr="00BB6462">
        <w:t>页，第</w:t>
      </w:r>
      <w:r w:rsidRPr="00BB6462">
        <w:t xml:space="preserve"> </w:t>
      </w:r>
      <w:r w:rsidRPr="00BB6462">
        <w:rPr>
          <w:rFonts w:hint="eastAsia"/>
        </w:rPr>
        <w:t>53</w:t>
      </w:r>
      <w:r w:rsidRPr="00BB6462">
        <w:t xml:space="preserve"> </w:t>
      </w:r>
      <w:r w:rsidRPr="00BB6462">
        <w:t>段；见结论草案</w:t>
      </w:r>
      <w:r w:rsidRPr="00BB6462">
        <w:t>3</w:t>
      </w:r>
      <w:r w:rsidRPr="00BB6462">
        <w:t>，国际法委员会第六十五届会议报告，</w:t>
      </w:r>
      <w:r w:rsidRPr="00BB6462">
        <w:rPr>
          <w:rFonts w:hint="eastAsia"/>
        </w:rPr>
        <w:t>《</w:t>
      </w:r>
      <w:r w:rsidRPr="00BB6462">
        <w:t>大会正式记录，第六十八届会议，补编第</w:t>
      </w:r>
      <w:r w:rsidRPr="00BB6462">
        <w:t>10</w:t>
      </w:r>
      <w:r w:rsidRPr="00BB6462">
        <w:t>号</w:t>
      </w:r>
      <w:r w:rsidRPr="00BB6462">
        <w:rPr>
          <w:rFonts w:hint="eastAsia"/>
        </w:rPr>
        <w:t>》</w:t>
      </w:r>
      <w:r w:rsidRPr="00BB6462">
        <w:t>(A/68/10)</w:t>
      </w:r>
      <w:r w:rsidRPr="00BB6462">
        <w:t>，第四章，第</w:t>
      </w:r>
      <w:r w:rsidRPr="00BB6462">
        <w:t>12</w:t>
      </w:r>
      <w:r w:rsidRPr="00BB6462">
        <w:t>和第</w:t>
      </w:r>
      <w:r w:rsidRPr="00BB6462">
        <w:t>24-30</w:t>
      </w:r>
      <w:r w:rsidRPr="00BB6462">
        <w:t>页；</w:t>
      </w:r>
      <w:r w:rsidRPr="00BB6462">
        <w:t xml:space="preserve">O. Dörr, “Art. 31 General rule of interpretation”, in </w:t>
      </w:r>
      <w:r w:rsidRPr="00BB6462">
        <w:rPr>
          <w:i/>
        </w:rPr>
        <w:t>Vienna Convention on the Law of Treaties – A Commentary</w:t>
      </w:r>
      <w:r w:rsidRPr="00BB6462">
        <w:t>, O. Dörr</w:t>
      </w:r>
      <w:r w:rsidRPr="00BB6462">
        <w:rPr>
          <w:i/>
        </w:rPr>
        <w:t xml:space="preserve"> </w:t>
      </w:r>
      <w:r w:rsidRPr="00BB6462">
        <w:t xml:space="preserve">and K. Schmalenbach, eds. (Heidelberg, Springer, 2012), p. 537, para. 31; Schmalenbach, </w:t>
      </w:r>
      <w:r w:rsidRPr="00BB6462">
        <w:rPr>
          <w:i/>
        </w:rPr>
        <w:t>supra</w:t>
      </w:r>
      <w:r w:rsidRPr="00BB6462">
        <w:t xml:space="preserve"> note 298, p. 92, para. 7</w:t>
      </w:r>
      <w:r w:rsidRPr="00BB6462">
        <w:rPr>
          <w:rFonts w:hint="eastAsia"/>
        </w:rPr>
        <w:t>。</w:t>
      </w:r>
      <w:r w:rsidRPr="00BB6462">
        <w:t xml:space="preserve"> </w:t>
      </w:r>
    </w:p>
  </w:footnote>
  <w:footnote w:id="36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见</w:t>
      </w:r>
      <w:r w:rsidRPr="00BB6462">
        <w:rPr>
          <w:rFonts w:hint="eastAsia"/>
        </w:rPr>
        <w:t>上文第</w:t>
      </w:r>
      <w:r w:rsidRPr="00BB6462">
        <w:t>(21)</w:t>
      </w:r>
      <w:r w:rsidRPr="00BB6462">
        <w:rPr>
          <w:rFonts w:hint="eastAsia"/>
        </w:rPr>
        <w:t>段</w:t>
      </w:r>
      <w:r w:rsidRPr="00BB6462">
        <w:t>。</w:t>
      </w:r>
    </w:p>
  </w:footnote>
  <w:footnote w:id="36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7170E8">
        <w:rPr>
          <w:rStyle w:val="a3"/>
          <w:rFonts w:hint="eastAsia"/>
          <w:noProof w:val="0"/>
          <w:sz w:val="21"/>
        </w:rPr>
        <w:tab/>
      </w:r>
      <w:r w:rsidRPr="00BB6462">
        <w:rPr>
          <w:rFonts w:ascii="宋体" w:hAnsi="宋体"/>
        </w:rPr>
        <w:t>“</w:t>
      </w:r>
      <w:r w:rsidRPr="00BB6462">
        <w:t>联合国某些经费</w:t>
      </w:r>
      <w:r w:rsidRPr="00BB6462">
        <w:t>(</w:t>
      </w:r>
      <w:r w:rsidRPr="00BB6462">
        <w:t>《宪章》第十七条第二项</w:t>
      </w:r>
      <w:r w:rsidRPr="00BB6462">
        <w:t>)</w:t>
      </w:r>
      <w:r w:rsidRPr="00BB6462">
        <w:rPr>
          <w:rFonts w:ascii="宋体" w:hAnsi="宋体"/>
        </w:rPr>
        <w:t>”，</w:t>
      </w:r>
      <w:r w:rsidRPr="00BB6462">
        <w:t>咨询意见，《</w:t>
      </w:r>
      <w:r w:rsidRPr="00BB6462">
        <w:t>1962</w:t>
      </w:r>
      <w:r w:rsidRPr="00BB6462">
        <w:t>年国际法院案例汇编》第</w:t>
      </w:r>
      <w:r w:rsidRPr="00BB6462">
        <w:t>151</w:t>
      </w:r>
      <w:r w:rsidRPr="00BB6462">
        <w:t>页起，引文见</w:t>
      </w:r>
      <w:r w:rsidRPr="00BB6462">
        <w:t>168</w:t>
      </w:r>
      <w:r w:rsidRPr="00BB6462">
        <w:t>页</w:t>
      </w:r>
      <w:r w:rsidRPr="00BB6462">
        <w:t>(</w:t>
      </w:r>
      <w:r w:rsidRPr="00BB6462">
        <w:rPr>
          <w:rFonts w:ascii="宋体" w:hAnsi="宋体"/>
        </w:rPr>
        <w:t>“</w:t>
      </w:r>
      <w:r w:rsidRPr="00BB6462">
        <w:t>但如果该组织采取行动证明其言论，即这样做对于实现联合国明文规定的宗旨之一是适当的，就可推定这种行动没有超越该组织的权力</w:t>
      </w:r>
      <w:r w:rsidRPr="00BB6462">
        <w:rPr>
          <w:rFonts w:ascii="宋体" w:hAnsi="宋体"/>
        </w:rPr>
        <w:t>。”</w:t>
      </w:r>
      <w:r w:rsidRPr="00D37EEC">
        <w:rPr>
          <w:rFonts w:asciiTheme="majorBidi" w:hAnsiTheme="majorBidi" w:cstheme="majorBidi"/>
        </w:rPr>
        <w:t>)</w:t>
      </w:r>
      <w:r w:rsidRPr="00BB6462">
        <w:t>。</w:t>
      </w:r>
    </w:p>
  </w:footnote>
  <w:footnote w:id="36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国际法委员会第六十五届会议报告，</w:t>
      </w:r>
      <w:r w:rsidRPr="00BB6462">
        <w:rPr>
          <w:rFonts w:hint="eastAsia"/>
        </w:rPr>
        <w:t>《</w:t>
      </w:r>
      <w:r w:rsidRPr="00BB6462">
        <w:t>大会正式记录，第六十八届会议，补编第</w:t>
      </w:r>
      <w:r w:rsidRPr="00BB6462">
        <w:t>10</w:t>
      </w:r>
      <w:r w:rsidRPr="00BB6462">
        <w:t>号</w:t>
      </w:r>
      <w:r w:rsidRPr="00BB6462">
        <w:rPr>
          <w:rFonts w:hint="eastAsia"/>
        </w:rPr>
        <w:t>》</w:t>
      </w:r>
      <w:r w:rsidRPr="00BB6462">
        <w:t>(A/68/10)</w:t>
      </w:r>
      <w:r w:rsidRPr="00BB6462">
        <w:t>，第四章，第</w:t>
      </w:r>
      <w:r w:rsidRPr="00BB6462">
        <w:t>45</w:t>
      </w:r>
      <w:r w:rsidRPr="00BB6462">
        <w:t>页，第</w:t>
      </w:r>
      <w:r w:rsidRPr="00BB6462">
        <w:t>14</w:t>
      </w:r>
      <w:r w:rsidRPr="00BB6462">
        <w:t>段。</w:t>
      </w:r>
      <w:r w:rsidRPr="00BB6462">
        <w:rPr>
          <w:rFonts w:hint="eastAsia"/>
        </w:rPr>
        <w:t>但委员会可参照结论草案</w:t>
      </w:r>
      <w:r w:rsidRPr="00BB6462">
        <w:rPr>
          <w:rFonts w:hint="eastAsia"/>
        </w:rPr>
        <w:t>11</w:t>
      </w:r>
      <w:r w:rsidRPr="00BB6462">
        <w:rPr>
          <w:rFonts w:hint="eastAsia"/>
        </w:rPr>
        <w:t>重新审结论草案</w:t>
      </w:r>
      <w:r w:rsidRPr="00BB6462">
        <w:rPr>
          <w:rFonts w:hint="eastAsia"/>
        </w:rPr>
        <w:t>5</w:t>
      </w:r>
      <w:r w:rsidRPr="00BB6462">
        <w:rPr>
          <w:rFonts w:hint="eastAsia"/>
        </w:rPr>
        <w:t>，以澄清其关系。另见前注</w:t>
      </w:r>
      <w:r w:rsidRPr="00BB6462">
        <w:rPr>
          <w:rFonts w:hint="eastAsia"/>
        </w:rPr>
        <w:t>354</w:t>
      </w:r>
      <w:r w:rsidRPr="00BB6462">
        <w:rPr>
          <w:rFonts w:hint="eastAsia"/>
        </w:rPr>
        <w:t>。</w:t>
      </w:r>
    </w:p>
  </w:footnote>
  <w:footnote w:id="36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rPr>
          <w:lang w:val="en-GB"/>
        </w:rPr>
      </w:pPr>
      <w:r w:rsidRPr="00BB6462">
        <w:rPr>
          <w:rFonts w:hint="eastAsia"/>
        </w:rPr>
        <w:tab/>
      </w:r>
      <w:r w:rsidRPr="007170E8">
        <w:rPr>
          <w:rStyle w:val="a3"/>
          <w:noProof w:val="0"/>
          <w:sz w:val="21"/>
        </w:rPr>
        <w:footnoteRef/>
      </w:r>
      <w:r w:rsidRPr="007170E8">
        <w:rPr>
          <w:rStyle w:val="a3"/>
          <w:rFonts w:hint="eastAsia"/>
          <w:noProof w:val="0"/>
          <w:sz w:val="21"/>
        </w:rPr>
        <w:tab/>
      </w:r>
      <w:r w:rsidRPr="00BB6462">
        <w:rPr>
          <w:rFonts w:ascii="宋体" w:hAnsi="宋体"/>
        </w:rPr>
        <w:t>“关</w:t>
      </w:r>
      <w:r w:rsidRPr="00BB6462">
        <w:t>于国际组织的责任的条款草案</w:t>
      </w:r>
      <w:r w:rsidRPr="00BB6462">
        <w:rPr>
          <w:rFonts w:ascii="宋体" w:hAnsi="宋体"/>
        </w:rPr>
        <w:t>”，</w:t>
      </w:r>
      <w:r w:rsidRPr="00BB6462">
        <w:t>总评注，第</w:t>
      </w:r>
      <w:r w:rsidRPr="00BB6462">
        <w:t>7</w:t>
      </w:r>
      <w:r w:rsidRPr="00BB6462">
        <w:t>段，</w:t>
      </w:r>
      <w:r w:rsidRPr="00BB6462">
        <w:t>(</w:t>
      </w:r>
      <w:r w:rsidRPr="00BB6462">
        <w:t>国际法委员会第六十五届会议报告，</w:t>
      </w:r>
      <w:r w:rsidRPr="00BB6462">
        <w:rPr>
          <w:rFonts w:hint="eastAsia"/>
        </w:rPr>
        <w:t>《</w:t>
      </w:r>
      <w:r w:rsidRPr="00BB6462">
        <w:t>大会正式记录，第六十六届会议，补编第</w:t>
      </w:r>
      <w:r w:rsidRPr="00BB6462">
        <w:t>10</w:t>
      </w:r>
      <w:r w:rsidRPr="00BB6462">
        <w:t>号</w:t>
      </w:r>
      <w:r w:rsidRPr="00BB6462">
        <w:rPr>
          <w:rFonts w:hint="eastAsia"/>
        </w:rPr>
        <w:t>》</w:t>
      </w:r>
      <w:r w:rsidRPr="00BB6462">
        <w:t>(A/66/10)</w:t>
      </w:r>
      <w:r w:rsidRPr="00BB6462">
        <w:t>，第五章，第</w:t>
      </w:r>
      <w:r w:rsidRPr="00BB6462">
        <w:t>70</w:t>
      </w:r>
      <w:r w:rsidRPr="00BB6462">
        <w:t>页，第</w:t>
      </w:r>
      <w:r w:rsidRPr="00BB6462">
        <w:t>88</w:t>
      </w:r>
      <w:r w:rsidRPr="00BB6462">
        <w:t>段</w:t>
      </w:r>
      <w:r w:rsidRPr="00BB6462">
        <w:t>)</w:t>
      </w:r>
      <w:r w:rsidRPr="00BB6462">
        <w:t>。</w:t>
      </w:r>
    </w:p>
  </w:footnote>
  <w:footnote w:id="36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rPr>
          <w:spacing w:val="-4"/>
        </w:rPr>
        <w:t>例如，见</w:t>
      </w:r>
      <w:r w:rsidRPr="00BB6462">
        <w:t xml:space="preserve">Klabbers, </w:t>
      </w:r>
      <w:r w:rsidRPr="00BB6462">
        <w:rPr>
          <w:rFonts w:hint="eastAsia"/>
        </w:rPr>
        <w:t>前注</w:t>
      </w:r>
      <w:r w:rsidRPr="00BB6462">
        <w:t xml:space="preserve"> </w:t>
      </w:r>
      <w:r w:rsidRPr="00BB6462">
        <w:rPr>
          <w:rFonts w:hint="eastAsia"/>
        </w:rPr>
        <w:t>350</w:t>
      </w:r>
      <w:r w:rsidRPr="00BB6462">
        <w:t xml:space="preserve">, </w:t>
      </w:r>
      <w:r w:rsidRPr="00BB6462">
        <w:rPr>
          <w:rFonts w:hint="eastAsia"/>
        </w:rPr>
        <w:t>第</w:t>
      </w:r>
      <w:r w:rsidRPr="00BB6462">
        <w:t>88</w:t>
      </w:r>
      <w:r w:rsidRPr="00BB6462">
        <w:rPr>
          <w:rFonts w:hint="eastAsia"/>
        </w:rPr>
        <w:t>页</w:t>
      </w:r>
      <w:r w:rsidRPr="00BB6462">
        <w:t xml:space="preserve">; Schmalenbach, </w:t>
      </w:r>
      <w:r w:rsidRPr="00BB6462">
        <w:rPr>
          <w:rFonts w:hint="eastAsia"/>
        </w:rPr>
        <w:t>前注</w:t>
      </w:r>
      <w:r w:rsidRPr="00BB6462">
        <w:t xml:space="preserve"> 298, </w:t>
      </w:r>
      <w:r w:rsidRPr="00BB6462">
        <w:rPr>
          <w:rFonts w:hint="eastAsia"/>
        </w:rPr>
        <w:t>第</w:t>
      </w:r>
      <w:r w:rsidRPr="00BB6462">
        <w:t xml:space="preserve"> 89</w:t>
      </w:r>
      <w:r w:rsidRPr="00BB6462">
        <w:rPr>
          <w:rFonts w:hint="eastAsia"/>
        </w:rPr>
        <w:t>页</w:t>
      </w:r>
      <w:r w:rsidRPr="00BB6462">
        <w:t xml:space="preserve">, </w:t>
      </w:r>
      <w:r w:rsidRPr="00BB6462">
        <w:rPr>
          <w:rFonts w:hint="eastAsia"/>
        </w:rPr>
        <w:t>第</w:t>
      </w:r>
      <w:r w:rsidRPr="00BB6462">
        <w:t>1</w:t>
      </w:r>
      <w:r w:rsidRPr="00BB6462">
        <w:rPr>
          <w:rFonts w:hint="eastAsia"/>
        </w:rPr>
        <w:t>段和第</w:t>
      </w:r>
      <w:r w:rsidRPr="00BB6462">
        <w:t>96</w:t>
      </w:r>
      <w:r w:rsidRPr="00BB6462">
        <w:rPr>
          <w:rFonts w:hint="eastAsia"/>
        </w:rPr>
        <w:t>页，第</w:t>
      </w:r>
      <w:r w:rsidRPr="00BB6462">
        <w:t>15</w:t>
      </w:r>
      <w:r w:rsidRPr="00BB6462">
        <w:rPr>
          <w:rFonts w:hint="eastAsia"/>
        </w:rPr>
        <w:t>段</w:t>
      </w:r>
      <w:r w:rsidRPr="00BB6462">
        <w:t xml:space="preserve">; Brölmann, </w:t>
      </w:r>
      <w:r w:rsidRPr="00BB6462">
        <w:rPr>
          <w:rFonts w:hint="eastAsia"/>
        </w:rPr>
        <w:t>前注</w:t>
      </w:r>
      <w:r w:rsidRPr="00BB6462">
        <w:rPr>
          <w:rFonts w:hint="eastAsia"/>
        </w:rPr>
        <w:t>352</w:t>
      </w:r>
      <w:r w:rsidRPr="00BB6462">
        <w:t xml:space="preserve">, </w:t>
      </w:r>
      <w:r w:rsidRPr="00BB6462">
        <w:rPr>
          <w:rFonts w:hint="eastAsia"/>
        </w:rPr>
        <w:t>第</w:t>
      </w:r>
      <w:r w:rsidRPr="00BB6462">
        <w:t>522</w:t>
      </w:r>
      <w:r w:rsidRPr="00BB6462">
        <w:rPr>
          <w:rFonts w:hint="eastAsia"/>
        </w:rPr>
        <w:t>页</w:t>
      </w:r>
      <w:r w:rsidRPr="00BB6462">
        <w:t xml:space="preserve">; Dörr, </w:t>
      </w:r>
      <w:r w:rsidRPr="00BB6462">
        <w:rPr>
          <w:rFonts w:hint="eastAsia"/>
        </w:rPr>
        <w:t>前注</w:t>
      </w:r>
      <w:r w:rsidRPr="00BB6462">
        <w:t xml:space="preserve"> </w:t>
      </w:r>
      <w:r w:rsidRPr="00BB6462">
        <w:rPr>
          <w:rFonts w:hint="eastAsia"/>
        </w:rPr>
        <w:t>360</w:t>
      </w:r>
      <w:r w:rsidRPr="00BB6462">
        <w:t xml:space="preserve">, </w:t>
      </w:r>
      <w:r w:rsidRPr="00BB6462">
        <w:rPr>
          <w:rFonts w:hint="eastAsia"/>
        </w:rPr>
        <w:t>第</w:t>
      </w:r>
      <w:r w:rsidRPr="00BB6462">
        <w:t>538</w:t>
      </w:r>
      <w:r w:rsidRPr="00BB6462">
        <w:rPr>
          <w:rFonts w:hint="eastAsia"/>
        </w:rPr>
        <w:t>页</w:t>
      </w:r>
      <w:r w:rsidRPr="00BB6462">
        <w:t xml:space="preserve">, </w:t>
      </w:r>
      <w:r w:rsidRPr="00BB6462">
        <w:rPr>
          <w:rFonts w:hint="eastAsia"/>
        </w:rPr>
        <w:t>第</w:t>
      </w:r>
      <w:r w:rsidRPr="00BB6462">
        <w:t>32</w:t>
      </w:r>
      <w:r w:rsidRPr="00BB6462">
        <w:rPr>
          <w:rFonts w:hint="eastAsia"/>
        </w:rPr>
        <w:t>段。</w:t>
      </w:r>
    </w:p>
  </w:footnote>
  <w:footnote w:id="36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世贸组织，上诉机构报告，美国影响丁香烟生产和销售措施</w:t>
      </w:r>
      <w:r w:rsidRPr="00BB6462">
        <w:rPr>
          <w:rFonts w:hint="eastAsia"/>
        </w:rPr>
        <w:t>案</w:t>
      </w:r>
      <w:r w:rsidRPr="00BB6462">
        <w:t>，</w:t>
      </w:r>
      <w:r w:rsidRPr="00BB6462">
        <w:t>WT/DS406/AB/R</w:t>
      </w:r>
      <w:r w:rsidRPr="00BB6462">
        <w:t>，</w:t>
      </w:r>
      <w:r w:rsidRPr="00BB6462">
        <w:t>2012</w:t>
      </w:r>
      <w:r w:rsidRPr="00BB6462">
        <w:t>年</w:t>
      </w:r>
      <w:r w:rsidRPr="00BB6462">
        <w:t>4</w:t>
      </w:r>
      <w:r w:rsidRPr="00BB6462">
        <w:t>月</w:t>
      </w:r>
      <w:r w:rsidRPr="00BB6462">
        <w:t>4</w:t>
      </w:r>
      <w:r w:rsidRPr="00BB6462">
        <w:t>日，第</w:t>
      </w:r>
      <w:r w:rsidRPr="00BB6462">
        <w:t>252</w:t>
      </w:r>
      <w:r w:rsidRPr="00BB6462">
        <w:rPr>
          <w:rFonts w:hint="eastAsia"/>
        </w:rPr>
        <w:t>-257</w:t>
      </w:r>
      <w:r w:rsidRPr="00BB6462">
        <w:t>段。</w:t>
      </w:r>
    </w:p>
  </w:footnote>
  <w:footnote w:id="367">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大多数所谓的解释条款确定哪个机关有权</w:t>
      </w:r>
      <w:r w:rsidRPr="00BB6462">
        <w:rPr>
          <w:rFonts w:hint="eastAsia"/>
        </w:rPr>
        <w:t>权威</w:t>
      </w:r>
      <w:r w:rsidRPr="00BB6462">
        <w:t>地解释条约或其中某些条款，而不是制订</w:t>
      </w:r>
      <w:r>
        <w:rPr>
          <w:rFonts w:ascii="宋体" w:hAnsi="宋体" w:hint="eastAsia"/>
        </w:rPr>
        <w:t>“</w:t>
      </w:r>
      <w:r w:rsidRPr="00BB6462">
        <w:rPr>
          <w:rFonts w:ascii="宋体" w:hAnsi="宋体"/>
        </w:rPr>
        <w:t>关于”</w:t>
      </w:r>
      <w:r w:rsidRPr="00BB6462">
        <w:t>解释本身的具体规则，见</w:t>
      </w:r>
      <w:r w:rsidRPr="00BB6462">
        <w:t xml:space="preserve">C. Fernández de Casadevante y Romani, </w:t>
      </w:r>
      <w:r w:rsidRPr="00BB6462">
        <w:rPr>
          <w:i/>
        </w:rPr>
        <w:t>Sovereignty and Interpretation of International Norms</w:t>
      </w:r>
      <w:r w:rsidRPr="00BB6462">
        <w:t xml:space="preserve"> (Berlin/Heidelberg, Springer, 2007), </w:t>
      </w:r>
      <w:r w:rsidRPr="00BB6462">
        <w:rPr>
          <w:rFonts w:hint="eastAsia"/>
        </w:rPr>
        <w:t>第</w:t>
      </w:r>
      <w:r w:rsidRPr="00BB6462">
        <w:t>26–27</w:t>
      </w:r>
      <w:r w:rsidRPr="00BB6462">
        <w:rPr>
          <w:rFonts w:hint="eastAsia"/>
        </w:rPr>
        <w:t>页</w:t>
      </w:r>
      <w:r w:rsidRPr="00BB6462">
        <w:t xml:space="preserve">; Dörr, </w:t>
      </w:r>
      <w:r w:rsidRPr="00BB6462">
        <w:rPr>
          <w:rFonts w:hint="eastAsia"/>
        </w:rPr>
        <w:t>前注</w:t>
      </w:r>
      <w:r w:rsidRPr="00BB6462">
        <w:rPr>
          <w:rFonts w:hint="eastAsia"/>
        </w:rPr>
        <w:t>360</w:t>
      </w:r>
      <w:r w:rsidRPr="00BB6462">
        <w:t xml:space="preserve">, </w:t>
      </w:r>
      <w:r w:rsidRPr="00BB6462">
        <w:rPr>
          <w:rFonts w:hint="eastAsia"/>
        </w:rPr>
        <w:t>第</w:t>
      </w:r>
      <w:r w:rsidRPr="00BB6462">
        <w:t>537</w:t>
      </w:r>
      <w:r w:rsidRPr="00BB6462">
        <w:rPr>
          <w:rFonts w:hint="eastAsia"/>
        </w:rPr>
        <w:t>页，第</w:t>
      </w:r>
      <w:r w:rsidRPr="00BB6462">
        <w:t>32</w:t>
      </w:r>
      <w:r w:rsidRPr="00BB6462">
        <w:rPr>
          <w:rFonts w:hint="eastAsia"/>
        </w:rPr>
        <w:t>段。</w:t>
      </w:r>
    </w:p>
  </w:footnote>
  <w:footnote w:id="368">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见《关于国家和国际组织间或国际组织相互间条约法的维也纳公约》，</w:t>
      </w:r>
      <w:r>
        <w:t>第二条</w:t>
      </w:r>
      <w:r>
        <w:t>(j)</w:t>
      </w:r>
      <w:r>
        <w:t>项</w:t>
      </w:r>
      <w:r w:rsidRPr="00BB6462">
        <w:t>；国际法委员会关于国际组织的责任的条款草案，</w:t>
      </w:r>
      <w:r>
        <w:rPr>
          <w:rFonts w:hint="eastAsia"/>
        </w:rPr>
        <w:t>第二条</w:t>
      </w:r>
      <w:r>
        <w:rPr>
          <w:rFonts w:hint="eastAsia"/>
        </w:rPr>
        <w:t>(b)</w:t>
      </w:r>
      <w:r>
        <w:rPr>
          <w:rFonts w:hint="eastAsia"/>
        </w:rPr>
        <w:t>项</w:t>
      </w:r>
      <w:r w:rsidRPr="00BB6462">
        <w:t>，国际法委员会第六十三届会议报告，</w:t>
      </w:r>
      <w:r w:rsidRPr="00BB6462">
        <w:rPr>
          <w:rFonts w:hint="eastAsia"/>
        </w:rPr>
        <w:t>《</w:t>
      </w:r>
      <w:r w:rsidRPr="00BB6462">
        <w:t>大会正式记录，第六十六届会议，补编第</w:t>
      </w:r>
      <w:r w:rsidRPr="00BB6462">
        <w:t>10</w:t>
      </w:r>
      <w:r w:rsidRPr="00BB6462">
        <w:t>号</w:t>
      </w:r>
      <w:r w:rsidRPr="00BB6462">
        <w:rPr>
          <w:rFonts w:hint="eastAsia"/>
        </w:rPr>
        <w:t>》</w:t>
      </w:r>
      <w:r w:rsidRPr="00BB6462">
        <w:t>(A/66/10)</w:t>
      </w:r>
      <w:r w:rsidRPr="00BB6462">
        <w:t>，第五章，第</w:t>
      </w:r>
      <w:r w:rsidRPr="00BB6462">
        <w:t>54</w:t>
      </w:r>
      <w:r w:rsidRPr="00BB6462">
        <w:t>页；</w:t>
      </w:r>
      <w:r w:rsidRPr="00BB6462">
        <w:t>C. Peters,</w:t>
      </w:r>
      <w:r w:rsidRPr="00D37EEC">
        <w:rPr>
          <w:rFonts w:asciiTheme="majorBidi" w:eastAsia="仿宋_GB2312" w:hAnsiTheme="majorBidi" w:cstheme="majorBidi"/>
        </w:rPr>
        <w:t>“</w:t>
      </w:r>
      <w:r w:rsidRPr="00BB6462">
        <w:t>Subsequent practice and established practice of international organizations”,</w:t>
      </w:r>
      <w:r w:rsidRPr="00BB6462">
        <w:rPr>
          <w:rFonts w:hint="eastAsia"/>
        </w:rPr>
        <w:t xml:space="preserve"> </w:t>
      </w:r>
      <w:r w:rsidRPr="00BB6462">
        <w:t>Göttingen Journal of International Law, vol. 3 (2011), pp. 617-642</w:t>
      </w:r>
      <w:r w:rsidRPr="00BB6462">
        <w:t>。</w:t>
      </w:r>
    </w:p>
  </w:footnote>
  <w:footnote w:id="36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国际法委员会第三十四届会议报告，《大会正式记录，第三十七届会议，补编第</w:t>
      </w:r>
      <w:r w:rsidRPr="00BB6462">
        <w:t>10</w:t>
      </w:r>
      <w:r w:rsidRPr="00BB6462">
        <w:t>号》</w:t>
      </w:r>
      <w:r w:rsidRPr="00BB6462">
        <w:t>(A/37/10)</w:t>
      </w:r>
      <w:r w:rsidRPr="00BB6462">
        <w:t>，第</w:t>
      </w:r>
      <w:r w:rsidRPr="00BB6462">
        <w:t>2</w:t>
      </w:r>
      <w:r w:rsidRPr="00BB6462">
        <w:t>条</w:t>
      </w:r>
      <w:r w:rsidRPr="00BB6462">
        <w:t>(1)(j)</w:t>
      </w:r>
      <w:r w:rsidRPr="00BB6462">
        <w:t>，第二章，第</w:t>
      </w:r>
      <w:r w:rsidRPr="00BB6462">
        <w:t>21</w:t>
      </w:r>
      <w:r w:rsidRPr="00BB6462">
        <w:t>页，第</w:t>
      </w:r>
      <w:r w:rsidRPr="00BB6462">
        <w:t>25</w:t>
      </w:r>
      <w:r w:rsidRPr="00BB6462">
        <w:t>段。</w:t>
      </w:r>
    </w:p>
  </w:footnote>
  <w:footnote w:id="370">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国际法委员会第六十三届会议报告，</w:t>
      </w:r>
      <w:r w:rsidRPr="00BB6462">
        <w:rPr>
          <w:rFonts w:hint="eastAsia"/>
        </w:rPr>
        <w:t>《</w:t>
      </w:r>
      <w:r w:rsidRPr="00BB6462">
        <w:t>大会正式记录，第六十六届会议，补编第</w:t>
      </w:r>
      <w:r w:rsidRPr="00BB6462">
        <w:t>10</w:t>
      </w:r>
      <w:r w:rsidRPr="00BB6462">
        <w:t>号</w:t>
      </w:r>
      <w:r w:rsidRPr="00BB6462">
        <w:rPr>
          <w:rFonts w:hint="eastAsia"/>
        </w:rPr>
        <w:t>》</w:t>
      </w:r>
      <w:r w:rsidRPr="00BB6462">
        <w:t>(A/66/10)</w:t>
      </w:r>
      <w:r w:rsidRPr="00BB6462">
        <w:t>，第五章，第</w:t>
      </w:r>
      <w:r w:rsidRPr="00BB6462">
        <w:t>52</w:t>
      </w:r>
      <w:r w:rsidRPr="00BB6462">
        <w:t>页。</w:t>
      </w:r>
    </w:p>
  </w:footnote>
  <w:footnote w:id="37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Higgins</w:t>
      </w:r>
      <w:r w:rsidRPr="00BB6462">
        <w:t>，前注</w:t>
      </w:r>
      <w:r w:rsidRPr="00BB6462">
        <w:rPr>
          <w:rFonts w:hint="eastAsia"/>
        </w:rPr>
        <w:t>324</w:t>
      </w:r>
      <w:r w:rsidRPr="00BB6462">
        <w:t>，引文见第</w:t>
      </w:r>
      <w:r w:rsidRPr="00BB6462">
        <w:t>121</w:t>
      </w:r>
      <w:r w:rsidRPr="00BB6462">
        <w:t>页</w:t>
      </w:r>
      <w:r w:rsidRPr="00BB6462">
        <w:t>(</w:t>
      </w:r>
      <w:r w:rsidRPr="00BB6462">
        <w:rPr>
          <w:rFonts w:ascii="宋体" w:hAnsi="宋体"/>
        </w:rPr>
        <w:t>“条</w:t>
      </w:r>
      <w:r w:rsidRPr="00BB6462">
        <w:t>约解释的若干方面与这一领域的习惯做法融合得非常接近</w:t>
      </w:r>
      <w:r w:rsidRPr="00BB6462">
        <w:rPr>
          <w:rFonts w:ascii="宋体" w:hAnsi="宋体"/>
        </w:rPr>
        <w:t>”</w:t>
      </w:r>
      <w:r w:rsidRPr="00BB6462">
        <w:t>)</w:t>
      </w:r>
      <w:r w:rsidRPr="00BB6462">
        <w:t>；</w:t>
      </w:r>
      <w:r w:rsidRPr="00BB6462">
        <w:t xml:space="preserve">Peters, </w:t>
      </w:r>
      <w:r w:rsidRPr="00BB6462">
        <w:t>前注</w:t>
      </w:r>
      <w:r w:rsidRPr="00BB6462">
        <w:rPr>
          <w:rFonts w:hint="eastAsia"/>
        </w:rPr>
        <w:t>368</w:t>
      </w:r>
      <w:r w:rsidRPr="00BB6462">
        <w:t>，引文见第</w:t>
      </w:r>
      <w:r w:rsidRPr="00BB6462">
        <w:t>631</w:t>
      </w:r>
      <w:r w:rsidRPr="00BB6462">
        <w:t>页</w:t>
      </w:r>
      <w:r w:rsidRPr="00BB6462">
        <w:t>(</w:t>
      </w:r>
      <w:r w:rsidRPr="00BB6462">
        <w:rPr>
          <w:rFonts w:ascii="宋体" w:hAnsi="宋体"/>
        </w:rPr>
        <w:t>“应</w:t>
      </w:r>
      <w:r w:rsidRPr="00BB6462">
        <w:t>视为该组织的一种习惯国际法</w:t>
      </w:r>
      <w:r w:rsidRPr="00D37EEC">
        <w:rPr>
          <w:rFonts w:asciiTheme="minorEastAsia" w:eastAsiaTheme="minorEastAsia" w:hAnsiTheme="minorEastAsia"/>
        </w:rPr>
        <w:t>”</w:t>
      </w:r>
      <w:r w:rsidRPr="00BB6462">
        <w:t>)</w:t>
      </w:r>
      <w:r w:rsidRPr="00BB6462">
        <w:t>；将</w:t>
      </w:r>
      <w:r w:rsidRPr="00BB6462">
        <w:rPr>
          <w:rFonts w:ascii="宋体" w:hAnsi="宋体"/>
        </w:rPr>
        <w:t>组</w:t>
      </w:r>
      <w:r w:rsidRPr="00BB6462">
        <w:t>织已确立的做法</w:t>
      </w:r>
      <w:r w:rsidRPr="00BB6462">
        <w:t>”</w:t>
      </w:r>
      <w:r w:rsidRPr="00BB6462">
        <w:t>限定为所谓的内部规则是没有说服力的，因为委员会表示</w:t>
      </w:r>
      <w:r w:rsidRPr="00BB6462">
        <w:rPr>
          <w:rFonts w:ascii="宋体" w:hAnsi="宋体"/>
        </w:rPr>
        <w:t>，”采</w:t>
      </w:r>
      <w:r w:rsidRPr="00BB6462">
        <w:t>用一个组织</w:t>
      </w:r>
      <w:r w:rsidRPr="00BB6462">
        <w:rPr>
          <w:rFonts w:ascii="宋体" w:hAnsi="宋体"/>
        </w:rPr>
        <w:t>的‘</w:t>
      </w:r>
      <w:r w:rsidRPr="00BB6462">
        <w:t>内</w:t>
      </w:r>
      <w:r w:rsidRPr="00BB6462">
        <w:rPr>
          <w:rFonts w:ascii="宋体" w:hAnsi="宋体"/>
        </w:rPr>
        <w:t>部’法</w:t>
      </w:r>
      <w:r w:rsidRPr="00BB6462">
        <w:t>这个提法会出现一些问题，因为虽然这种法律有其对内的一面，但在其他方面还有国际性</w:t>
      </w:r>
      <w:r w:rsidRPr="00BB6462">
        <w:rPr>
          <w:rFonts w:ascii="宋体" w:hAnsi="宋体"/>
        </w:rPr>
        <w:t>质”，</w:t>
      </w:r>
      <w:r w:rsidRPr="00BB6462">
        <w:t>国际法委员会第三十四届会议报告，《大会正式记录，第三十七届会议，补编第</w:t>
      </w:r>
      <w:r w:rsidRPr="00BB6462">
        <w:t>10</w:t>
      </w:r>
      <w:r w:rsidRPr="00BB6462">
        <w:t>号》</w:t>
      </w:r>
      <w:r w:rsidRPr="00BB6462">
        <w:t>(A/37/10)</w:t>
      </w:r>
      <w:r w:rsidRPr="00BB6462">
        <w:t>，第</w:t>
      </w:r>
      <w:r w:rsidRPr="00BB6462">
        <w:t>2</w:t>
      </w:r>
      <w:r w:rsidRPr="00BB6462">
        <w:t>条</w:t>
      </w:r>
      <w:r w:rsidRPr="00BB6462">
        <w:t>(1) (j)</w:t>
      </w:r>
      <w:r w:rsidRPr="00BB6462">
        <w:t>评注，第二章，第</w:t>
      </w:r>
      <w:r w:rsidRPr="00BB6462">
        <w:t>21</w:t>
      </w:r>
      <w:r w:rsidRPr="00BB6462">
        <w:t>页，第</w:t>
      </w:r>
      <w:r w:rsidRPr="00BB6462">
        <w:t>25</w:t>
      </w:r>
      <w:r w:rsidRPr="00BB6462">
        <w:t>段；</w:t>
      </w:r>
      <w:r w:rsidRPr="00BB6462">
        <w:t xml:space="preserve">Schermers and Blokker, </w:t>
      </w:r>
      <w:r w:rsidRPr="00BB6462">
        <w:rPr>
          <w:i/>
        </w:rPr>
        <w:t>supra</w:t>
      </w:r>
      <w:r w:rsidRPr="00BB6462">
        <w:t xml:space="preserve"> note </w:t>
      </w:r>
      <w:r w:rsidRPr="00E26E55">
        <w:t>330</w:t>
      </w:r>
      <w:r w:rsidRPr="00BB6462">
        <w:t xml:space="preserve">, at p. 766; but see C. Ahlborn, The Rules of International Organizations and the Law of International Responsibility, </w:t>
      </w:r>
      <w:r w:rsidRPr="00BB6462">
        <w:rPr>
          <w:i/>
        </w:rPr>
        <w:t>International Organizations Law Review</w:t>
      </w:r>
      <w:r w:rsidRPr="00BB6462">
        <w:t>, vol. 8 (2011), 397, at. pp. 424–428</w:t>
      </w:r>
      <w:r w:rsidRPr="00BB6462">
        <w:t>。</w:t>
      </w:r>
    </w:p>
  </w:footnote>
  <w:footnote w:id="372">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Blokker</w:t>
      </w:r>
      <w:r w:rsidRPr="00BB6462">
        <w:t>，前注</w:t>
      </w:r>
      <w:r w:rsidRPr="00BB6462">
        <w:rPr>
          <w:rFonts w:hint="eastAsia"/>
        </w:rPr>
        <w:t>351</w:t>
      </w:r>
      <w:r w:rsidRPr="00BB6462">
        <w:t>，</w:t>
      </w:r>
      <w:r w:rsidRPr="00BB6462">
        <w:rPr>
          <w:rFonts w:hint="eastAsia"/>
        </w:rPr>
        <w:t>第</w:t>
      </w:r>
      <w:r w:rsidRPr="00BB6462">
        <w:t>312</w:t>
      </w:r>
      <w:r w:rsidRPr="00BB6462">
        <w:rPr>
          <w:rFonts w:hint="eastAsia"/>
        </w:rPr>
        <w:t>页</w:t>
      </w:r>
      <w:r w:rsidRPr="00BB6462">
        <w:t>。</w:t>
      </w:r>
    </w:p>
  </w:footnote>
  <w:footnote w:id="373">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rPr>
          <w:rFonts w:hint="eastAsia"/>
        </w:rPr>
        <w:tab/>
      </w:r>
      <w:r w:rsidRPr="007170E8">
        <w:rPr>
          <w:rStyle w:val="a3"/>
          <w:noProof w:val="0"/>
          <w:sz w:val="21"/>
        </w:rPr>
        <w:footnoteRef/>
      </w:r>
      <w:r w:rsidRPr="00BB6462">
        <w:rPr>
          <w:rFonts w:hint="eastAsia"/>
        </w:rPr>
        <w:tab/>
      </w:r>
      <w:r w:rsidRPr="00BB6462">
        <w:t>Lauterpacht</w:t>
      </w:r>
      <w:r w:rsidRPr="00BB6462">
        <w:t>，前注</w:t>
      </w:r>
      <w:r w:rsidRPr="00BB6462">
        <w:rPr>
          <w:rFonts w:hint="eastAsia"/>
        </w:rPr>
        <w:t>351</w:t>
      </w:r>
      <w:r w:rsidRPr="00BB6462">
        <w:t>，</w:t>
      </w:r>
      <w:r w:rsidRPr="00BB6462">
        <w:rPr>
          <w:rFonts w:hint="eastAsia"/>
        </w:rPr>
        <w:t>第</w:t>
      </w:r>
      <w:r w:rsidRPr="00BB6462">
        <w:t>464</w:t>
      </w:r>
      <w:r w:rsidRPr="00BB6462">
        <w:rPr>
          <w:rFonts w:hint="eastAsia"/>
        </w:rPr>
        <w:t>页</w:t>
      </w:r>
      <w:r w:rsidRPr="00BB6462">
        <w:t>(</w:t>
      </w:r>
      <w:r w:rsidRPr="00BB6462">
        <w:rPr>
          <w:rFonts w:ascii="宋体" w:hAnsi="宋体"/>
        </w:rPr>
        <w:t>“全</w:t>
      </w:r>
      <w:r w:rsidRPr="00BB6462">
        <w:t>体成员普遍的同</w:t>
      </w:r>
      <w:r w:rsidRPr="00BB6462">
        <w:rPr>
          <w:rFonts w:ascii="宋体" w:hAnsi="宋体"/>
        </w:rPr>
        <w:t>意”</w:t>
      </w:r>
      <w:r w:rsidRPr="00D37EEC">
        <w:rPr>
          <w:rFonts w:asciiTheme="majorBidi" w:hAnsiTheme="majorBidi" w:cstheme="majorBidi"/>
        </w:rPr>
        <w:t>)</w:t>
      </w:r>
      <w:r w:rsidRPr="00BB6462">
        <w:t>；</w:t>
      </w:r>
      <w:r w:rsidRPr="00BB6462">
        <w:t>Higgins</w:t>
      </w:r>
      <w:r w:rsidRPr="00BB6462">
        <w:t>，前注</w:t>
      </w:r>
      <w:r w:rsidRPr="00BB6462">
        <w:rPr>
          <w:rFonts w:hint="eastAsia"/>
        </w:rPr>
        <w:t>324</w:t>
      </w:r>
      <w:r w:rsidRPr="00BB6462">
        <w:t>，</w:t>
      </w:r>
      <w:r w:rsidRPr="00BB6462">
        <w:rPr>
          <w:rFonts w:hint="eastAsia"/>
        </w:rPr>
        <w:t>第</w:t>
      </w:r>
      <w:r w:rsidRPr="00BB6462">
        <w:t>121</w:t>
      </w:r>
      <w:r w:rsidRPr="00BB6462">
        <w:rPr>
          <w:rFonts w:hint="eastAsia"/>
        </w:rPr>
        <w:t>页</w:t>
      </w:r>
      <w:r w:rsidRPr="00BB6462">
        <w:rPr>
          <w:rFonts w:ascii="宋体" w:hAnsi="宋体"/>
        </w:rPr>
        <w:t>(“</w:t>
      </w:r>
      <w:r w:rsidRPr="00BB6462">
        <w:t>此处，长度和默认的程度可能需要比别处弱一些，因为联合国机关无疑具有作出此类</w:t>
      </w:r>
      <w:r w:rsidRPr="00BB6462">
        <w:t>[</w:t>
      </w:r>
      <w:r w:rsidRPr="00BB6462">
        <w:t>关于其自身管辖权和职权</w:t>
      </w:r>
      <w:r w:rsidRPr="00BB6462">
        <w:t>]</w:t>
      </w:r>
      <w:r w:rsidRPr="00BB6462">
        <w:t>决定的最初权</w:t>
      </w:r>
      <w:r w:rsidRPr="00BB6462">
        <w:rPr>
          <w:rFonts w:ascii="宋体" w:hAnsi="宋体"/>
        </w:rPr>
        <w:t>威”</w:t>
      </w:r>
      <w:r w:rsidRPr="00D37EEC">
        <w:rPr>
          <w:rFonts w:asciiTheme="majorBidi" w:hAnsiTheme="majorBidi" w:cstheme="majorBidi"/>
        </w:rPr>
        <w:t>)</w:t>
      </w:r>
      <w:r w:rsidRPr="00BB6462">
        <w:t>；</w:t>
      </w:r>
      <w:r w:rsidRPr="00BB6462">
        <w:t>Peters</w:t>
      </w:r>
      <w:r w:rsidRPr="00BB6462">
        <w:t>，前注</w:t>
      </w:r>
      <w:r w:rsidRPr="00BB6462">
        <w:rPr>
          <w:rFonts w:hint="eastAsia"/>
        </w:rPr>
        <w:t>368</w:t>
      </w:r>
      <w:r w:rsidRPr="00BB6462">
        <w:t>，</w:t>
      </w:r>
      <w:r w:rsidRPr="00BB6462">
        <w:rPr>
          <w:rFonts w:hint="eastAsia"/>
        </w:rPr>
        <w:t>第</w:t>
      </w:r>
      <w:r w:rsidRPr="00BB6462">
        <w:t>633-641</w:t>
      </w:r>
      <w:r w:rsidRPr="00BB6462">
        <w:rPr>
          <w:rFonts w:hint="eastAsia"/>
        </w:rPr>
        <w:t>页</w:t>
      </w:r>
      <w:r w:rsidRPr="00BB6462">
        <w:t>。</w:t>
      </w:r>
    </w:p>
  </w:footnote>
  <w:footnote w:id="374">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这项决定是在</w:t>
      </w:r>
      <w:r w:rsidRPr="00BB6462">
        <w:rPr>
          <w:rFonts w:hint="eastAsia"/>
        </w:rPr>
        <w:t>2013</w:t>
      </w:r>
      <w:r w:rsidRPr="00BB6462">
        <w:rPr>
          <w:rFonts w:hint="eastAsia"/>
        </w:rPr>
        <w:t>年</w:t>
      </w:r>
      <w:r w:rsidRPr="00BB6462">
        <w:rPr>
          <w:rFonts w:hint="eastAsia"/>
        </w:rPr>
        <w:t>5</w:t>
      </w:r>
      <w:r w:rsidRPr="00BB6462">
        <w:rPr>
          <w:rFonts w:hint="eastAsia"/>
        </w:rPr>
        <w:t>月</w:t>
      </w:r>
      <w:r w:rsidRPr="00BB6462">
        <w:rPr>
          <w:rFonts w:hint="eastAsia"/>
        </w:rPr>
        <w:t>28</w:t>
      </w:r>
      <w:r w:rsidRPr="00BB6462">
        <w:rPr>
          <w:rFonts w:hint="eastAsia"/>
        </w:rPr>
        <w:t>日委员会第</w:t>
      </w:r>
      <w:r w:rsidRPr="00BB6462">
        <w:rPr>
          <w:rFonts w:hint="eastAsia"/>
        </w:rPr>
        <w:t>3171</w:t>
      </w:r>
      <w:r w:rsidRPr="00BB6462">
        <w:rPr>
          <w:rFonts w:hint="eastAsia"/>
        </w:rPr>
        <w:t>次会议上作出的。《大会正式记录，第六十八届会议，补编第</w:t>
      </w:r>
      <w:r w:rsidRPr="00BB6462">
        <w:rPr>
          <w:rFonts w:hint="eastAsia"/>
        </w:rPr>
        <w:t>10</w:t>
      </w:r>
      <w:r w:rsidRPr="00BB6462">
        <w:rPr>
          <w:rFonts w:hint="eastAsia"/>
        </w:rPr>
        <w:t>号》</w:t>
      </w:r>
      <w:r w:rsidRPr="00BB6462">
        <w:rPr>
          <w:rFonts w:hint="eastAsia"/>
        </w:rPr>
        <w:t>(A/68/10)</w:t>
      </w:r>
      <w:r w:rsidRPr="00BB6462">
        <w:rPr>
          <w:rFonts w:hint="eastAsia"/>
        </w:rPr>
        <w:t>，第</w:t>
      </w:r>
      <w:r w:rsidRPr="00BB6462">
        <w:rPr>
          <w:rFonts w:hint="eastAsia"/>
        </w:rPr>
        <w:t>167</w:t>
      </w:r>
      <w:r w:rsidRPr="00BB6462">
        <w:rPr>
          <w:rFonts w:hint="eastAsia"/>
        </w:rPr>
        <w:t>段。本专题的大纲见同上，第六十六届会议，《补编第</w:t>
      </w:r>
      <w:r w:rsidRPr="00BB6462">
        <w:rPr>
          <w:rFonts w:hint="eastAsia"/>
        </w:rPr>
        <w:t>10</w:t>
      </w:r>
      <w:r w:rsidRPr="00BB6462">
        <w:rPr>
          <w:rFonts w:hint="eastAsia"/>
        </w:rPr>
        <w:t>号》</w:t>
      </w:r>
      <w:r w:rsidRPr="00BB6462">
        <w:rPr>
          <w:rFonts w:hint="eastAsia"/>
        </w:rPr>
        <w:t>(A/66/10)</w:t>
      </w:r>
      <w:r w:rsidRPr="00BB6462">
        <w:rPr>
          <w:rFonts w:hint="eastAsia"/>
        </w:rPr>
        <w:t>，附件</w:t>
      </w:r>
      <w:r w:rsidRPr="00BB6462">
        <w:rPr>
          <w:rFonts w:hint="eastAsia"/>
        </w:rPr>
        <w:t>E</w:t>
      </w:r>
      <w:r w:rsidRPr="00BB6462">
        <w:rPr>
          <w:rFonts w:hint="eastAsia"/>
        </w:rPr>
        <w:t>。</w:t>
      </w:r>
    </w:p>
  </w:footnote>
  <w:footnote w:id="375">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同上，《第六十九届会议，补编第</w:t>
      </w:r>
      <w:r w:rsidRPr="00BB6462">
        <w:rPr>
          <w:rFonts w:hint="eastAsia"/>
        </w:rPr>
        <w:t>10</w:t>
      </w:r>
      <w:r w:rsidRPr="00BB6462">
        <w:rPr>
          <w:rFonts w:hint="eastAsia"/>
        </w:rPr>
        <w:t>号》</w:t>
      </w:r>
      <w:r w:rsidRPr="00BB6462">
        <w:rPr>
          <w:rFonts w:hint="eastAsia"/>
        </w:rPr>
        <w:t>(A/69/10)</w:t>
      </w:r>
      <w:r w:rsidRPr="00BB6462">
        <w:rPr>
          <w:rFonts w:hint="eastAsia"/>
        </w:rPr>
        <w:t>，第</w:t>
      </w:r>
      <w:r w:rsidRPr="00BB6462">
        <w:rPr>
          <w:rFonts w:hint="eastAsia"/>
        </w:rPr>
        <w:t>186-222</w:t>
      </w:r>
      <w:r w:rsidRPr="00BB6462">
        <w:rPr>
          <w:rFonts w:hint="eastAsia"/>
        </w:rPr>
        <w:t>段。</w:t>
      </w:r>
    </w:p>
  </w:footnote>
  <w:footnote w:id="376">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特别报告员在其第二次报告</w:t>
      </w:r>
      <w:r w:rsidRPr="00BB6462">
        <w:t>(A/CN.4/685)</w:t>
      </w:r>
      <w:r w:rsidRPr="00BB6462">
        <w:rPr>
          <w:rFonts w:hint="eastAsia"/>
        </w:rPr>
        <w:t>中提出的案文读作如下：</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sidRPr="00BB6462">
        <w:rPr>
          <w:rFonts w:hint="eastAsia"/>
        </w:rPr>
        <w:t>“</w:t>
      </w:r>
      <w:r w:rsidRPr="00BB6462">
        <w:rPr>
          <w:rFonts w:ascii="黑体" w:eastAsia="黑体" w:hAnsi="黑体" w:hint="eastAsia"/>
        </w:rPr>
        <w:t>序言</w:t>
      </w:r>
    </w:p>
    <w:p w:rsidR="00F60D83" w:rsidRPr="00BB6462" w:rsidRDefault="00F60D83" w:rsidP="00F900A2">
      <w:pPr>
        <w:pStyle w:val="a5"/>
        <w:tabs>
          <w:tab w:val="clear" w:pos="418"/>
          <w:tab w:val="left" w:pos="1695"/>
          <w:tab w:val="left" w:pos="2126"/>
          <w:tab w:val="left" w:pos="2557"/>
        </w:tabs>
        <w:ind w:left="1264" w:right="1264" w:firstLine="346"/>
      </w:pPr>
      <w:r w:rsidRPr="00BB6462">
        <w:rPr>
          <w:rFonts w:ascii="黑体" w:eastAsia="黑体" w:hAnsi="黑体"/>
        </w:rPr>
        <w:t>原则的范围</w:t>
      </w:r>
    </w:p>
    <w:p w:rsidR="00F60D83" w:rsidRPr="004245C9" w:rsidRDefault="00F60D83" w:rsidP="008E725F">
      <w:pPr>
        <w:pStyle w:val="a5"/>
        <w:tabs>
          <w:tab w:val="clear" w:pos="418"/>
          <w:tab w:val="left" w:pos="2126"/>
          <w:tab w:val="left" w:pos="2557"/>
        </w:tabs>
        <w:ind w:left="1264" w:right="1264" w:firstLine="696"/>
        <w:rPr>
          <w:rFonts w:ascii="宋体" w:hAnsi="宋体"/>
        </w:rPr>
      </w:pPr>
      <w:r w:rsidRPr="004245C9">
        <w:rPr>
          <w:rFonts w:ascii="宋体" w:hAnsi="宋体" w:hint="eastAsia"/>
        </w:rPr>
        <w:t>本原</w:t>
      </w:r>
      <w:r w:rsidRPr="004245C9">
        <w:rPr>
          <w:rFonts w:ascii="宋体" w:hAnsi="宋体" w:cs="宋体" w:hint="eastAsia"/>
        </w:rPr>
        <w:t>则</w:t>
      </w:r>
      <w:r w:rsidRPr="004245C9">
        <w:rPr>
          <w:rFonts w:ascii="宋体" w:hAnsi="宋体" w:hint="eastAsia"/>
        </w:rPr>
        <w:t>适用于与武装冲突有</w:t>
      </w:r>
      <w:r w:rsidRPr="004245C9">
        <w:rPr>
          <w:rFonts w:ascii="宋体" w:hAnsi="宋体" w:cs="宋体" w:hint="eastAsia"/>
        </w:rPr>
        <w:t>关</w:t>
      </w:r>
      <w:r w:rsidRPr="004245C9">
        <w:rPr>
          <w:rFonts w:ascii="宋体" w:hAnsi="宋体" w:cs="MS Mincho" w:hint="eastAsia"/>
        </w:rPr>
        <w:t>的</w:t>
      </w:r>
      <w:r w:rsidRPr="004245C9">
        <w:rPr>
          <w:rFonts w:ascii="宋体" w:hAnsi="宋体" w:cs="宋体" w:hint="eastAsia"/>
        </w:rPr>
        <w:t>环</w:t>
      </w:r>
      <w:r w:rsidRPr="004245C9">
        <w:rPr>
          <w:rFonts w:ascii="宋体" w:hAnsi="宋体" w:hint="eastAsia"/>
        </w:rPr>
        <w:t>境保</w:t>
      </w:r>
      <w:r w:rsidRPr="004245C9">
        <w:rPr>
          <w:rFonts w:ascii="宋体" w:hAnsi="宋体" w:cs="宋体" w:hint="eastAsia"/>
        </w:rPr>
        <w:t>护</w:t>
      </w:r>
      <w:r w:rsidRPr="004245C9">
        <w:rPr>
          <w:rFonts w:ascii="宋体" w:hAnsi="宋体" w:hint="eastAsia"/>
        </w:rPr>
        <w:t>。</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sidRPr="00BB6462">
        <w:rPr>
          <w:rFonts w:ascii="黑体" w:eastAsia="黑体" w:hAnsi="黑体" w:hint="eastAsia"/>
        </w:rPr>
        <w:t>宗旨</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这些</w:t>
      </w:r>
      <w:r w:rsidRPr="008E725F">
        <w:rPr>
          <w:rFonts w:ascii="宋体" w:hAnsi="宋体" w:hint="eastAsia"/>
        </w:rPr>
        <w:t>原则</w:t>
      </w:r>
      <w:r w:rsidRPr="00BB6462">
        <w:rPr>
          <w:rFonts w:hint="eastAsia"/>
        </w:rPr>
        <w:t>旨在通过</w:t>
      </w:r>
      <w:r w:rsidRPr="004062C9">
        <w:rPr>
          <w:rFonts w:ascii="MS Mincho" w:eastAsia="MS Mincho" w:hAnsi="MS Mincho" w:hint="eastAsia"/>
        </w:rPr>
        <w:t>防止</w:t>
      </w:r>
      <w:r w:rsidRPr="00BB6462">
        <w:rPr>
          <w:rFonts w:hint="eastAsia"/>
        </w:rPr>
        <w:t>和恢复措施加强与武装冲突有关的环境保护。这些原则还旨在最大限度地减少武装冲突期间对环境的附带损害。</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Pr>
          <w:rFonts w:ascii="黑体" w:eastAsia="黑体" w:hAnsi="黑体" w:hint="eastAsia"/>
        </w:rPr>
        <w:t>用语</w:t>
      </w:r>
    </w:p>
    <w:p w:rsidR="00F60D83" w:rsidRPr="008E725F" w:rsidRDefault="00F60D83" w:rsidP="00F900A2">
      <w:pPr>
        <w:pStyle w:val="a5"/>
        <w:tabs>
          <w:tab w:val="clear" w:pos="418"/>
          <w:tab w:val="left" w:pos="1695"/>
          <w:tab w:val="left" w:pos="2126"/>
          <w:tab w:val="left" w:pos="2557"/>
        </w:tabs>
        <w:ind w:left="1264" w:right="1264" w:firstLine="346"/>
        <w:rPr>
          <w:rFonts w:ascii="黑体" w:eastAsia="黑体" w:hAnsi="黑体"/>
        </w:rPr>
      </w:pPr>
      <w:r w:rsidRPr="008E725F">
        <w:rPr>
          <w:rFonts w:ascii="黑体" w:eastAsia="黑体" w:hAnsi="黑体" w:hint="eastAsia"/>
        </w:rPr>
        <w:t>为了本原则的目的，</w:t>
      </w:r>
    </w:p>
    <w:p w:rsidR="00F60D83" w:rsidRPr="00BB6462" w:rsidRDefault="00F60D83" w:rsidP="008E725F">
      <w:pPr>
        <w:pStyle w:val="a5"/>
        <w:tabs>
          <w:tab w:val="clear" w:pos="418"/>
          <w:tab w:val="left" w:pos="2394"/>
        </w:tabs>
        <w:ind w:left="1624" w:right="1264" w:firstLine="364"/>
      </w:pPr>
      <w:r w:rsidRPr="00BB6462">
        <w:rPr>
          <w:rFonts w:hint="eastAsia"/>
        </w:rPr>
        <w:t>(a)</w:t>
      </w:r>
      <w:r w:rsidRPr="00BB6462">
        <w:tab/>
      </w:r>
      <w:r w:rsidRPr="00BB6462">
        <w:rPr>
          <w:rFonts w:hint="eastAsia"/>
        </w:rPr>
        <w:t>“武装冲突”指国家间诉诸武力或政府当局与有组织武装团体之间或一国内部的这种团体之间长时间诉诸武力的情形；</w:t>
      </w:r>
    </w:p>
    <w:p w:rsidR="00F60D83" w:rsidRPr="00BB6462" w:rsidRDefault="00F60D83" w:rsidP="008E725F">
      <w:pPr>
        <w:pStyle w:val="a5"/>
        <w:tabs>
          <w:tab w:val="clear" w:pos="418"/>
          <w:tab w:val="left" w:pos="2394"/>
        </w:tabs>
        <w:ind w:left="1624" w:right="1264" w:firstLine="364"/>
      </w:pPr>
      <w:r w:rsidRPr="00BB6462">
        <w:rPr>
          <w:rFonts w:hint="eastAsia"/>
        </w:rPr>
        <w:t>(b)</w:t>
      </w:r>
      <w:r w:rsidRPr="00BB6462">
        <w:tab/>
      </w:r>
      <w:r w:rsidRPr="00BB6462">
        <w:rPr>
          <w:rFonts w:hint="eastAsia"/>
        </w:rPr>
        <w:t>“环境”包括非生物性和生物性自然资源，例如空气、水、土壤、动植物和这些因素之间的相互作用，以及景观的特征。</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Pr>
          <w:rFonts w:ascii="黑体" w:eastAsia="黑体" w:hAnsi="黑体" w:hint="eastAsia"/>
        </w:rPr>
        <w:t>原则</w:t>
      </w:r>
      <w:r w:rsidRPr="00BB6462">
        <w:rPr>
          <w:rFonts w:ascii="黑体" w:eastAsia="黑体" w:hAnsi="黑体" w:hint="eastAsia"/>
        </w:rPr>
        <w:t>1</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自然环境属民用性质，</w:t>
      </w:r>
      <w:r w:rsidRPr="004062C9">
        <w:rPr>
          <w:rFonts w:ascii="MS Mincho" w:eastAsia="MS Mincho" w:hAnsi="MS Mincho" w:hint="eastAsia"/>
        </w:rPr>
        <w:t>不可</w:t>
      </w:r>
      <w:r w:rsidRPr="00BB6462">
        <w:rPr>
          <w:rFonts w:hint="eastAsia"/>
        </w:rPr>
        <w:t>作为攻击目标，除非且直至其部分成为军事目标。应按照适用的国际法，特别是国际人道主义法，尊重和保护自然环境。</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Pr>
          <w:rFonts w:ascii="黑体" w:eastAsia="黑体" w:hAnsi="黑体" w:hint="eastAsia"/>
        </w:rPr>
        <w:t>原则</w:t>
      </w:r>
      <w:r w:rsidRPr="00BB6462">
        <w:rPr>
          <w:rFonts w:ascii="黑体" w:eastAsia="黑体" w:hAnsi="黑体" w:hint="eastAsia"/>
        </w:rPr>
        <w:t>2</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在武装</w:t>
      </w:r>
      <w:r w:rsidRPr="004062C9">
        <w:rPr>
          <w:rFonts w:ascii="MS Mincho" w:eastAsia="MS Mincho" w:hAnsi="MS Mincho" w:hint="eastAsia"/>
        </w:rPr>
        <w:t>冲突</w:t>
      </w:r>
      <w:r w:rsidRPr="00BB6462">
        <w:rPr>
          <w:rFonts w:hint="eastAsia"/>
        </w:rPr>
        <w:t>期间，应适用国际人道主义法的基本原则和规则，包括攻击中采取谨慎预防措施原则、区分原则和相称原则以及关于军事必要性的各项规则，以促进对环境予以尽可能强有力的保护。</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Pr>
          <w:rFonts w:ascii="黑体" w:eastAsia="黑体" w:hAnsi="黑体" w:hint="eastAsia"/>
        </w:rPr>
        <w:t>原则</w:t>
      </w:r>
      <w:r w:rsidRPr="00BB6462">
        <w:rPr>
          <w:rFonts w:ascii="黑体" w:eastAsia="黑体" w:hAnsi="黑体" w:hint="eastAsia"/>
        </w:rPr>
        <w:t>3</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在评估对于</w:t>
      </w:r>
      <w:r w:rsidRPr="004062C9">
        <w:rPr>
          <w:rFonts w:ascii="宋体" w:hAnsi="宋体" w:cs="宋体" w:hint="eastAsia"/>
        </w:rPr>
        <w:t>实现</w:t>
      </w:r>
      <w:r w:rsidRPr="00BB6462">
        <w:rPr>
          <w:rFonts w:hint="eastAsia"/>
        </w:rPr>
        <w:t>合法军事目标而言何为必要和相称时，必须考虑到环境因素。</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sidRPr="00BB6462">
        <w:rPr>
          <w:rFonts w:ascii="黑体" w:eastAsia="黑体" w:hAnsi="黑体" w:hint="eastAsia"/>
        </w:rPr>
        <w:t>原则4</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禁止作为报复而对自然环境进行攻击。</w:t>
      </w:r>
    </w:p>
    <w:p w:rsidR="00F60D83" w:rsidRPr="00BB6462" w:rsidRDefault="00F60D83" w:rsidP="00F900A2">
      <w:pPr>
        <w:pStyle w:val="a5"/>
        <w:tabs>
          <w:tab w:val="clear" w:pos="418"/>
          <w:tab w:val="left" w:pos="1695"/>
          <w:tab w:val="left" w:pos="2126"/>
          <w:tab w:val="left" w:pos="2557"/>
        </w:tabs>
        <w:ind w:left="1264" w:right="1264" w:firstLine="346"/>
        <w:rPr>
          <w:rFonts w:ascii="黑体" w:eastAsia="黑体" w:hAnsi="黑体"/>
        </w:rPr>
      </w:pPr>
      <w:r>
        <w:rPr>
          <w:rFonts w:ascii="黑体" w:eastAsia="黑体" w:hAnsi="黑体" w:hint="eastAsia"/>
        </w:rPr>
        <w:t>原则</w:t>
      </w:r>
      <w:r w:rsidRPr="00BB6462">
        <w:rPr>
          <w:rFonts w:ascii="黑体" w:eastAsia="黑体" w:hAnsi="黑体" w:hint="eastAsia"/>
        </w:rPr>
        <w:t>5</w:t>
      </w:r>
    </w:p>
    <w:p w:rsidR="00F60D83" w:rsidRPr="00BB6462" w:rsidRDefault="00F60D83" w:rsidP="008E725F">
      <w:pPr>
        <w:pStyle w:val="a5"/>
        <w:tabs>
          <w:tab w:val="clear" w:pos="418"/>
          <w:tab w:val="left" w:pos="2126"/>
          <w:tab w:val="left" w:pos="2557"/>
        </w:tabs>
        <w:ind w:left="1582" w:right="1264" w:firstLine="378"/>
      </w:pPr>
      <w:r w:rsidRPr="00BB6462">
        <w:rPr>
          <w:rFonts w:hint="eastAsia"/>
        </w:rPr>
        <w:t>各国应在武装冲突开始前或至少在其发生之初把具有重大生态意义的地区指定为非军事区。”</w:t>
      </w:r>
    </w:p>
  </w:footnote>
  <w:footnote w:id="377">
    <w:p w:rsidR="00F60D83" w:rsidRPr="00BB6462" w:rsidRDefault="00F60D83" w:rsidP="005F5F2A">
      <w:pPr>
        <w:pStyle w:val="a5"/>
        <w:tabs>
          <w:tab w:val="clear" w:pos="418"/>
          <w:tab w:val="right" w:pos="1195"/>
          <w:tab w:val="left" w:pos="1264"/>
          <w:tab w:val="left" w:pos="1695"/>
          <w:tab w:val="left" w:pos="2126"/>
          <w:tab w:val="left" w:pos="2557"/>
        </w:tabs>
        <w:ind w:left="1264" w:right="1264" w:hanging="432"/>
      </w:pPr>
      <w:r>
        <w:rPr>
          <w:rFonts w:hint="eastAsia"/>
        </w:rPr>
        <w:tab/>
      </w:r>
      <w:r w:rsidRPr="00BB6462">
        <w:rPr>
          <w:rStyle w:val="a3"/>
          <w:szCs w:val="21"/>
        </w:rPr>
        <w:footnoteRef/>
      </w:r>
      <w:r>
        <w:rPr>
          <w:rFonts w:hint="eastAsia"/>
        </w:rPr>
        <w:tab/>
      </w:r>
      <w:r w:rsidRPr="00BB6462">
        <w:rPr>
          <w:rFonts w:hint="eastAsia"/>
        </w:rPr>
        <w:t>起草委员会主席的发言可从委员会网站上查阅，网址为：</w:t>
      </w:r>
      <w:r w:rsidRPr="00BB6462">
        <w:t>&lt;http://legal.un.org/ilc&gt;</w:t>
      </w:r>
      <w:r w:rsidRPr="00BB6462">
        <w:rPr>
          <w:rFonts w:hint="eastAsia"/>
        </w:rPr>
        <w:t>。</w:t>
      </w:r>
    </w:p>
  </w:footnote>
  <w:footnote w:id="378">
    <w:p w:rsidR="00F60D83" w:rsidRPr="00DF2038" w:rsidRDefault="00F60D83" w:rsidP="00F900A2">
      <w:pPr>
        <w:pStyle w:val="a5"/>
        <w:tabs>
          <w:tab w:val="clear" w:pos="418"/>
          <w:tab w:val="right" w:pos="1195"/>
          <w:tab w:val="left" w:pos="1264"/>
          <w:tab w:val="left" w:pos="1695"/>
          <w:tab w:val="left" w:pos="2126"/>
          <w:tab w:val="left" w:pos="2557"/>
        </w:tabs>
        <w:ind w:left="1264" w:right="1264" w:hanging="432"/>
      </w:pPr>
      <w:r>
        <w:rPr>
          <w:rFonts w:hint="eastAsia"/>
        </w:rPr>
        <w:tab/>
      </w:r>
      <w:r w:rsidRPr="00BB6462">
        <w:rPr>
          <w:rStyle w:val="a3"/>
          <w:szCs w:val="21"/>
        </w:rPr>
        <w:footnoteRef/>
      </w:r>
      <w:r>
        <w:rPr>
          <w:rFonts w:hint="eastAsia"/>
        </w:rPr>
        <w:tab/>
      </w:r>
      <w:r w:rsidRPr="00BB6462">
        <w:rPr>
          <w:rFonts w:hint="eastAsia"/>
        </w:rPr>
        <w:t>起草委员会暂时通过的案文读作如下：</w:t>
      </w:r>
    </w:p>
    <w:p w:rsidR="00F60D83" w:rsidRPr="00DF2038" w:rsidRDefault="00F60D83" w:rsidP="00F900A2">
      <w:pPr>
        <w:pStyle w:val="a5"/>
        <w:tabs>
          <w:tab w:val="clear" w:pos="418"/>
          <w:tab w:val="left" w:pos="1695"/>
          <w:tab w:val="left" w:pos="2126"/>
          <w:tab w:val="left" w:pos="2557"/>
        </w:tabs>
        <w:ind w:left="1264" w:right="1264" w:firstLine="346"/>
        <w:rPr>
          <w:rFonts w:ascii="黑体" w:eastAsia="黑体" w:hAnsi="黑体"/>
        </w:rPr>
      </w:pPr>
      <w:r w:rsidRPr="00BB6462">
        <w:rPr>
          <w:rFonts w:hint="eastAsia"/>
        </w:rPr>
        <w:t>“</w:t>
      </w:r>
      <w:r w:rsidRPr="00DF2038">
        <w:rPr>
          <w:rFonts w:ascii="黑体" w:eastAsia="黑体" w:hAnsi="黑体" w:hint="eastAsia"/>
        </w:rPr>
        <w:t>导言</w:t>
      </w:r>
    </w:p>
    <w:p w:rsidR="00F60D83" w:rsidRPr="00BB6462" w:rsidRDefault="00F60D83" w:rsidP="00F900A2">
      <w:pPr>
        <w:pStyle w:val="a5"/>
        <w:tabs>
          <w:tab w:val="clear" w:pos="418"/>
          <w:tab w:val="left" w:pos="1695"/>
          <w:tab w:val="left" w:pos="2126"/>
          <w:tab w:val="left" w:pos="2557"/>
        </w:tabs>
        <w:ind w:left="1264" w:right="1264" w:firstLine="346"/>
        <w:rPr>
          <w:lang w:val="sv-SE"/>
        </w:rPr>
      </w:pPr>
      <w:r w:rsidRPr="00DF2038">
        <w:rPr>
          <w:rFonts w:ascii="黑体" w:eastAsia="黑体" w:hAnsi="黑体" w:hint="eastAsia"/>
        </w:rPr>
        <w:t>范围</w:t>
      </w:r>
    </w:p>
    <w:p w:rsidR="00F60D83" w:rsidRPr="00BB6462" w:rsidRDefault="00F60D83" w:rsidP="00BF58BB">
      <w:pPr>
        <w:pStyle w:val="a5"/>
        <w:tabs>
          <w:tab w:val="clear" w:pos="418"/>
          <w:tab w:val="left" w:pos="2126"/>
          <w:tab w:val="left" w:pos="2557"/>
        </w:tabs>
        <w:ind w:left="1582" w:right="1264" w:firstLine="378"/>
        <w:rPr>
          <w:i/>
          <w:lang w:val="sv-SE"/>
        </w:rPr>
      </w:pPr>
      <w:r w:rsidRPr="00BB6462">
        <w:rPr>
          <w:rFonts w:hint="eastAsia"/>
          <w:lang w:val="sv-SE"/>
        </w:rPr>
        <w:t>本原则草案</w:t>
      </w:r>
      <w:r w:rsidRPr="00BF58BB">
        <w:rPr>
          <w:rFonts w:hint="eastAsia"/>
        </w:rPr>
        <w:t>适用于</w:t>
      </w:r>
      <w:r w:rsidRPr="00BB6462">
        <w:rPr>
          <w:rFonts w:hint="eastAsia"/>
          <w:lang w:val="sv-SE"/>
        </w:rPr>
        <w:t>武装冲突</w:t>
      </w:r>
      <w:r w:rsidRPr="00DF2038">
        <w:rPr>
          <w:rFonts w:hint="eastAsia"/>
        </w:rPr>
        <w:t>之前</w:t>
      </w:r>
      <w:r w:rsidRPr="00BB6462">
        <w:rPr>
          <w:rFonts w:hint="eastAsia"/>
          <w:lang w:val="sv-SE"/>
        </w:rPr>
        <w:t>、期间和之后的环境保护。</w:t>
      </w:r>
    </w:p>
    <w:p w:rsidR="00F60D83" w:rsidRPr="00BB6462" w:rsidRDefault="00F60D83" w:rsidP="00F900A2">
      <w:pPr>
        <w:pStyle w:val="a5"/>
        <w:tabs>
          <w:tab w:val="clear" w:pos="418"/>
          <w:tab w:val="left" w:pos="1695"/>
          <w:tab w:val="left" w:pos="2126"/>
          <w:tab w:val="left" w:pos="2557"/>
        </w:tabs>
        <w:ind w:left="1264" w:right="1264" w:firstLine="346"/>
        <w:rPr>
          <w:lang w:val="sv-SE"/>
        </w:rPr>
      </w:pPr>
      <w:r w:rsidRPr="00DF2038">
        <w:rPr>
          <w:rFonts w:ascii="黑体" w:eastAsia="黑体" w:hAnsi="黑体" w:hint="eastAsia"/>
        </w:rPr>
        <w:t>宗旨</w:t>
      </w:r>
    </w:p>
    <w:p w:rsidR="00F60D83" w:rsidRPr="00DF2038" w:rsidRDefault="00F60D83" w:rsidP="00BF58BB">
      <w:pPr>
        <w:pStyle w:val="a5"/>
        <w:tabs>
          <w:tab w:val="clear" w:pos="418"/>
          <w:tab w:val="left" w:pos="2126"/>
          <w:tab w:val="left" w:pos="2557"/>
        </w:tabs>
        <w:ind w:left="1582" w:right="1264" w:firstLine="378"/>
        <w:rPr>
          <w:lang w:val="sv-SE"/>
        </w:rPr>
      </w:pPr>
      <w:r w:rsidRPr="00BB6462">
        <w:rPr>
          <w:rFonts w:hint="eastAsia"/>
          <w:lang w:val="sv-SE"/>
        </w:rPr>
        <w:t>本原则草案</w:t>
      </w:r>
      <w:r w:rsidRPr="00BF58BB">
        <w:rPr>
          <w:rFonts w:hint="eastAsia"/>
        </w:rPr>
        <w:t>旨在</w:t>
      </w:r>
      <w:r w:rsidRPr="00BB6462">
        <w:rPr>
          <w:rFonts w:hint="eastAsia"/>
          <w:lang w:val="sv-SE"/>
        </w:rPr>
        <w:t>通过</w:t>
      </w:r>
      <w:r w:rsidRPr="00DF2038">
        <w:rPr>
          <w:rFonts w:hint="eastAsia"/>
        </w:rPr>
        <w:t>最大限度</w:t>
      </w:r>
      <w:r w:rsidRPr="00BB6462">
        <w:rPr>
          <w:rFonts w:hint="eastAsia"/>
          <w:lang w:val="sv-SE"/>
        </w:rPr>
        <w:t>地减少武装冲突期间对环境损害的预防措施以及通过补救措施，加强与武装冲突有关的环境保护。</w:t>
      </w:r>
    </w:p>
    <w:p w:rsidR="00F60D83" w:rsidRPr="00DF2038" w:rsidRDefault="00F60D83" w:rsidP="00BF58BB">
      <w:pPr>
        <w:pStyle w:val="a5"/>
        <w:tabs>
          <w:tab w:val="clear" w:pos="418"/>
          <w:tab w:val="left" w:pos="1695"/>
          <w:tab w:val="left" w:pos="2126"/>
          <w:tab w:val="left" w:pos="2557"/>
        </w:tabs>
        <w:ind w:left="1610" w:right="1264" w:firstLine="0"/>
        <w:rPr>
          <w:lang w:val="sv-SE"/>
        </w:rPr>
      </w:pPr>
      <w:r w:rsidRPr="00DF2038">
        <w:rPr>
          <w:rFonts w:ascii="黑体" w:eastAsia="黑体" w:hAnsi="黑体" w:hint="eastAsia"/>
        </w:rPr>
        <w:t>第一部分</w:t>
      </w:r>
      <w:r w:rsidRPr="00DF2038">
        <w:rPr>
          <w:rFonts w:ascii="黑体" w:eastAsia="黑体" w:hAnsi="黑体"/>
        </w:rPr>
        <w:br/>
      </w:r>
      <w:r w:rsidRPr="00DF2038">
        <w:rPr>
          <w:rFonts w:ascii="黑体" w:eastAsia="黑体" w:hAnsi="黑体" w:hint="eastAsia"/>
        </w:rPr>
        <w:t>预防措施</w:t>
      </w:r>
    </w:p>
    <w:p w:rsidR="00F60D83" w:rsidRPr="00BB6462"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rPr>
        <w:t>原则草案</w:t>
      </w:r>
      <w:r w:rsidRPr="00DF2038">
        <w:rPr>
          <w:rFonts w:ascii="黑体" w:eastAsia="黑体" w:hAnsi="黑体" w:hint="eastAsia"/>
        </w:rPr>
        <w:t>1-</w:t>
      </w:r>
      <w:r w:rsidRPr="00DF2038">
        <w:rPr>
          <w:rFonts w:ascii="黑体" w:eastAsia="黑体" w:hAnsi="黑体"/>
        </w:rPr>
        <w:t>(x)</w:t>
      </w:r>
      <w:r w:rsidRPr="00DF2038">
        <w:rPr>
          <w:rFonts w:ascii="黑体" w:eastAsia="黑体" w:hAnsi="黑体" w:hint="eastAsia"/>
        </w:rPr>
        <w:br/>
      </w:r>
      <w:r w:rsidRPr="00DF2038">
        <w:rPr>
          <w:rFonts w:ascii="黑体" w:eastAsia="黑体" w:hAnsi="黑体"/>
        </w:rPr>
        <w:t>指定受保护区</w:t>
      </w:r>
    </w:p>
    <w:p w:rsidR="00F60D83" w:rsidRPr="00DF2038" w:rsidRDefault="00F60D83" w:rsidP="00BF58BB">
      <w:pPr>
        <w:pStyle w:val="a5"/>
        <w:tabs>
          <w:tab w:val="clear" w:pos="418"/>
          <w:tab w:val="left" w:pos="2126"/>
          <w:tab w:val="left" w:pos="2557"/>
        </w:tabs>
        <w:ind w:left="1582" w:right="1264" w:firstLine="378"/>
        <w:rPr>
          <w:lang w:val="sv-SE"/>
        </w:rPr>
      </w:pPr>
      <w:r w:rsidRPr="00BB6462">
        <w:rPr>
          <w:rFonts w:hint="eastAsia"/>
          <w:lang w:val="en-GB"/>
        </w:rPr>
        <w:t>国家应当以协议或其他方式</w:t>
      </w:r>
      <w:r w:rsidRPr="00BB6462">
        <w:rPr>
          <w:rFonts w:hint="eastAsia"/>
          <w:lang w:val="sv-SE"/>
        </w:rPr>
        <w:t>，</w:t>
      </w:r>
      <w:r w:rsidRPr="00BB6462">
        <w:rPr>
          <w:rFonts w:hint="eastAsia"/>
          <w:lang w:val="en-GB"/>
        </w:rPr>
        <w:t>指定具有</w:t>
      </w:r>
      <w:r w:rsidRPr="00DF2038">
        <w:rPr>
          <w:rFonts w:hint="eastAsia"/>
        </w:rPr>
        <w:t>重大</w:t>
      </w:r>
      <w:r w:rsidRPr="00BB6462">
        <w:rPr>
          <w:rFonts w:hint="eastAsia"/>
          <w:lang w:val="en-GB"/>
        </w:rPr>
        <w:t>环境和文化意义的区域为受保护区。</w:t>
      </w:r>
    </w:p>
    <w:p w:rsidR="00F60D83" w:rsidRPr="00DF2038"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hint="eastAsia"/>
        </w:rPr>
        <w:t>第二部分</w:t>
      </w:r>
      <w:r w:rsidRPr="00DF2038">
        <w:rPr>
          <w:rFonts w:ascii="黑体" w:eastAsia="黑体" w:hAnsi="黑体"/>
        </w:rPr>
        <w:br/>
      </w:r>
      <w:r w:rsidRPr="00DF2038">
        <w:rPr>
          <w:rFonts w:ascii="黑体" w:eastAsia="黑体" w:hAnsi="黑体" w:hint="eastAsia"/>
        </w:rPr>
        <w:t>适用于武装冲突期间的原则草案</w:t>
      </w:r>
    </w:p>
    <w:p w:rsidR="00F60D83" w:rsidRPr="00BB6462"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rPr>
        <w:t>原则草案</w:t>
      </w:r>
      <w:r w:rsidRPr="00DF2038">
        <w:rPr>
          <w:rFonts w:ascii="黑体" w:eastAsia="黑体" w:hAnsi="黑体" w:hint="eastAsia"/>
        </w:rPr>
        <w:t>2-</w:t>
      </w:r>
      <w:r w:rsidRPr="00DF2038">
        <w:rPr>
          <w:rFonts w:ascii="黑体" w:eastAsia="黑体" w:hAnsi="黑体"/>
        </w:rPr>
        <w:t>1</w:t>
      </w:r>
      <w:r w:rsidRPr="00DF2038">
        <w:rPr>
          <w:rFonts w:ascii="黑体" w:eastAsia="黑体" w:hAnsi="黑体" w:hint="eastAsia"/>
        </w:rPr>
        <w:br/>
      </w:r>
      <w:r w:rsidRPr="00DF2038">
        <w:rPr>
          <w:rFonts w:ascii="黑体" w:eastAsia="黑体" w:hAnsi="黑体"/>
        </w:rPr>
        <w:t>武装冲突期间对</w:t>
      </w:r>
      <w:r w:rsidRPr="00DF2038">
        <w:rPr>
          <w:rFonts w:ascii="黑体" w:eastAsia="黑体" w:hAnsi="黑体" w:hint="eastAsia"/>
        </w:rPr>
        <w:t>[</w:t>
      </w:r>
      <w:r w:rsidRPr="00DF2038">
        <w:rPr>
          <w:rFonts w:ascii="黑体" w:eastAsia="黑体" w:hAnsi="黑体"/>
        </w:rPr>
        <w:t>自然</w:t>
      </w:r>
      <w:r w:rsidRPr="00DF2038">
        <w:rPr>
          <w:rFonts w:ascii="黑体" w:eastAsia="黑体" w:hAnsi="黑体" w:hint="eastAsia"/>
        </w:rPr>
        <w:t>]</w:t>
      </w:r>
      <w:r w:rsidRPr="00DF2038">
        <w:rPr>
          <w:rFonts w:ascii="黑体" w:eastAsia="黑体" w:hAnsi="黑体"/>
        </w:rPr>
        <w:t>环境的总体保护</w:t>
      </w:r>
    </w:p>
    <w:p w:rsidR="00F60D83" w:rsidRPr="00BB6462" w:rsidRDefault="00F60D83" w:rsidP="00F900A2">
      <w:pPr>
        <w:pStyle w:val="a5"/>
        <w:tabs>
          <w:tab w:val="clear" w:pos="418"/>
          <w:tab w:val="left" w:pos="1695"/>
          <w:tab w:val="left" w:pos="2126"/>
          <w:tab w:val="left" w:pos="2557"/>
        </w:tabs>
        <w:ind w:left="1264" w:right="1264" w:firstLine="346"/>
        <w:rPr>
          <w:lang w:val="en-GB"/>
        </w:rPr>
      </w:pPr>
      <w:r w:rsidRPr="00BB6462">
        <w:rPr>
          <w:lang w:val="en-GB"/>
        </w:rPr>
        <w:t>1.</w:t>
      </w:r>
      <w:r w:rsidRPr="00BB6462">
        <w:rPr>
          <w:rFonts w:hint="eastAsia"/>
          <w:lang w:val="en-GB"/>
        </w:rPr>
        <w:t xml:space="preserve">  </w:t>
      </w:r>
      <w:r w:rsidRPr="00BB6462">
        <w:rPr>
          <w:rFonts w:hint="eastAsia"/>
          <w:lang w:val="en-GB"/>
        </w:rPr>
        <w:t>应按照适用的国际法，</w:t>
      </w:r>
      <w:r w:rsidRPr="00DF2038">
        <w:rPr>
          <w:rFonts w:hint="eastAsia"/>
        </w:rPr>
        <w:t>特别是</w:t>
      </w:r>
      <w:r w:rsidRPr="00BB6462">
        <w:rPr>
          <w:rFonts w:hint="eastAsia"/>
          <w:lang w:val="en-GB"/>
        </w:rPr>
        <w:t>武装冲突法，尊重和保护</w:t>
      </w:r>
      <w:r w:rsidRPr="00BB6462">
        <w:rPr>
          <w:rFonts w:hint="eastAsia"/>
          <w:lang w:val="en-GB"/>
        </w:rPr>
        <w:t>[</w:t>
      </w:r>
      <w:r w:rsidRPr="00BB6462">
        <w:rPr>
          <w:rFonts w:hint="eastAsia"/>
          <w:lang w:val="en-GB"/>
        </w:rPr>
        <w:t>自然</w:t>
      </w:r>
      <w:r w:rsidRPr="00BB6462">
        <w:rPr>
          <w:rFonts w:hint="eastAsia"/>
          <w:lang w:val="en-GB"/>
        </w:rPr>
        <w:t>]</w:t>
      </w:r>
      <w:r w:rsidRPr="00BB6462">
        <w:rPr>
          <w:rFonts w:hint="eastAsia"/>
          <w:lang w:val="en-GB"/>
        </w:rPr>
        <w:t>环境。</w:t>
      </w:r>
    </w:p>
    <w:p w:rsidR="00F60D83" w:rsidRPr="00BB6462" w:rsidRDefault="00F60D83" w:rsidP="00F900A2">
      <w:pPr>
        <w:pStyle w:val="a5"/>
        <w:tabs>
          <w:tab w:val="clear" w:pos="418"/>
          <w:tab w:val="left" w:pos="1695"/>
          <w:tab w:val="left" w:pos="2126"/>
          <w:tab w:val="left" w:pos="2557"/>
        </w:tabs>
        <w:ind w:left="1264" w:right="1264" w:firstLine="346"/>
        <w:rPr>
          <w:lang w:val="en-GB"/>
        </w:rPr>
      </w:pPr>
      <w:r w:rsidRPr="00BB6462">
        <w:rPr>
          <w:lang w:val="en-GB"/>
        </w:rPr>
        <w:t>2.</w:t>
      </w:r>
      <w:r w:rsidRPr="00BB6462">
        <w:rPr>
          <w:rFonts w:hint="eastAsia"/>
          <w:lang w:val="en-GB"/>
        </w:rPr>
        <w:t xml:space="preserve">  </w:t>
      </w:r>
      <w:r w:rsidRPr="00BB6462">
        <w:rPr>
          <w:rFonts w:hint="eastAsia"/>
          <w:lang w:val="en-GB"/>
        </w:rPr>
        <w:t>应注意保护</w:t>
      </w:r>
      <w:r w:rsidRPr="00BB6462">
        <w:rPr>
          <w:rFonts w:hint="eastAsia"/>
          <w:lang w:val="en-GB"/>
        </w:rPr>
        <w:t>[</w:t>
      </w:r>
      <w:r w:rsidRPr="00BB6462">
        <w:rPr>
          <w:rFonts w:hint="eastAsia"/>
          <w:lang w:val="en-GB"/>
        </w:rPr>
        <w:t>自然</w:t>
      </w:r>
      <w:r w:rsidRPr="00BB6462">
        <w:rPr>
          <w:rFonts w:hint="eastAsia"/>
          <w:lang w:val="en-GB"/>
        </w:rPr>
        <w:t>]</w:t>
      </w:r>
      <w:r w:rsidRPr="00BB6462">
        <w:rPr>
          <w:rFonts w:hint="eastAsia"/>
          <w:lang w:val="en-GB"/>
        </w:rPr>
        <w:t>环境免遭广泛、长期和严重的损害。</w:t>
      </w:r>
    </w:p>
    <w:p w:rsidR="00F60D83" w:rsidRPr="00BB6462" w:rsidRDefault="00F60D83" w:rsidP="00BF58BB">
      <w:pPr>
        <w:pStyle w:val="a5"/>
        <w:tabs>
          <w:tab w:val="clear" w:pos="418"/>
          <w:tab w:val="left" w:pos="1695"/>
          <w:tab w:val="left" w:pos="2126"/>
          <w:tab w:val="left" w:pos="2557"/>
        </w:tabs>
        <w:ind w:left="1264" w:right="1264" w:firstLine="346"/>
        <w:rPr>
          <w:lang w:val="en-GB"/>
        </w:rPr>
      </w:pPr>
      <w:r w:rsidRPr="00BB6462">
        <w:rPr>
          <w:lang w:val="en-GB"/>
        </w:rPr>
        <w:t>3.</w:t>
      </w:r>
      <w:r w:rsidRPr="00BB6462">
        <w:rPr>
          <w:rFonts w:hint="eastAsia"/>
          <w:lang w:val="en-GB"/>
        </w:rPr>
        <w:t xml:space="preserve">  </w:t>
      </w:r>
      <w:r w:rsidRPr="00BB6462">
        <w:rPr>
          <w:rFonts w:hint="eastAsia"/>
          <w:lang w:val="en-GB"/>
        </w:rPr>
        <w:t>除非</w:t>
      </w:r>
      <w:r w:rsidRPr="00BB6462">
        <w:rPr>
          <w:rFonts w:hint="eastAsia"/>
          <w:lang w:val="en-GB"/>
        </w:rPr>
        <w:t>[</w:t>
      </w:r>
      <w:r w:rsidRPr="00BB6462">
        <w:rPr>
          <w:rFonts w:hint="eastAsia"/>
          <w:lang w:val="en-GB"/>
        </w:rPr>
        <w:t>自然</w:t>
      </w:r>
      <w:r w:rsidRPr="00BB6462">
        <w:rPr>
          <w:rFonts w:hint="eastAsia"/>
          <w:lang w:val="en-GB"/>
        </w:rPr>
        <w:t>]</w:t>
      </w:r>
      <w:r w:rsidRPr="00BB6462">
        <w:rPr>
          <w:rFonts w:hint="eastAsia"/>
          <w:lang w:val="en-GB"/>
        </w:rPr>
        <w:t>环境成为军事目标，否则任何一部分都不得受到攻击。</w:t>
      </w:r>
    </w:p>
    <w:p w:rsidR="00F60D83" w:rsidRPr="00DF2038" w:rsidRDefault="00F60D83" w:rsidP="00BF58BB">
      <w:pPr>
        <w:pStyle w:val="a5"/>
        <w:tabs>
          <w:tab w:val="clear" w:pos="418"/>
          <w:tab w:val="left" w:pos="1695"/>
          <w:tab w:val="left" w:pos="2126"/>
          <w:tab w:val="left" w:pos="2557"/>
        </w:tabs>
        <w:ind w:left="1610" w:right="1264" w:firstLine="0"/>
        <w:rPr>
          <w:rFonts w:ascii="黑体" w:eastAsia="黑体"/>
          <w:lang w:val="en-GB"/>
        </w:rPr>
      </w:pPr>
      <w:r w:rsidRPr="00F900A2">
        <w:rPr>
          <w:rFonts w:ascii="黑体" w:eastAsia="黑体" w:hAnsi="黑体" w:hint="eastAsia"/>
        </w:rPr>
        <w:t>原则</w:t>
      </w:r>
      <w:r w:rsidRPr="00DF2038">
        <w:rPr>
          <w:rFonts w:ascii="黑体" w:eastAsia="黑体" w:hAnsi="黑体" w:hint="eastAsia"/>
        </w:rPr>
        <w:t>草案</w:t>
      </w:r>
      <w:r w:rsidRPr="00DF2038">
        <w:rPr>
          <w:rFonts w:ascii="黑体" w:eastAsia="黑体" w:hint="eastAsia"/>
          <w:lang w:val="en-GB"/>
        </w:rPr>
        <w:t>2-2</w:t>
      </w:r>
      <w:r w:rsidRPr="00DF2038">
        <w:rPr>
          <w:rFonts w:ascii="黑体" w:eastAsia="黑体" w:hint="eastAsia"/>
          <w:lang w:val="en-GB"/>
        </w:rPr>
        <w:br/>
        <w:t>对环境适用武装冲突法</w:t>
      </w:r>
    </w:p>
    <w:p w:rsidR="00F60D83" w:rsidRPr="00BB6462" w:rsidRDefault="00F60D83" w:rsidP="00BF58BB">
      <w:pPr>
        <w:pStyle w:val="a5"/>
        <w:tabs>
          <w:tab w:val="clear" w:pos="418"/>
          <w:tab w:val="left" w:pos="2126"/>
          <w:tab w:val="left" w:pos="2557"/>
        </w:tabs>
        <w:ind w:left="1582" w:right="1264" w:firstLine="378"/>
        <w:rPr>
          <w:lang w:val="en-GB"/>
        </w:rPr>
      </w:pPr>
      <w:r w:rsidRPr="00BB6462">
        <w:rPr>
          <w:rFonts w:hint="eastAsia"/>
          <w:lang w:val="en-GB"/>
        </w:rPr>
        <w:t>应对</w:t>
      </w:r>
      <w:r w:rsidRPr="00BB6462">
        <w:rPr>
          <w:rFonts w:hint="eastAsia"/>
          <w:lang w:val="en-GB"/>
        </w:rPr>
        <w:t>[</w:t>
      </w:r>
      <w:r w:rsidRPr="00BB6462">
        <w:rPr>
          <w:rFonts w:hint="eastAsia"/>
          <w:lang w:val="en-GB"/>
        </w:rPr>
        <w:t>自然</w:t>
      </w:r>
      <w:r w:rsidRPr="00BB6462">
        <w:rPr>
          <w:rFonts w:hint="eastAsia"/>
          <w:lang w:val="en-GB"/>
        </w:rPr>
        <w:t>]</w:t>
      </w:r>
      <w:r w:rsidRPr="00BF58BB">
        <w:rPr>
          <w:rFonts w:hint="eastAsia"/>
          <w:lang w:val="sv-SE"/>
        </w:rPr>
        <w:t>环境</w:t>
      </w:r>
      <w:r w:rsidRPr="00BB6462">
        <w:rPr>
          <w:rFonts w:hint="eastAsia"/>
          <w:lang w:val="en-GB"/>
        </w:rPr>
        <w:t>适用武装冲突法，包括关于区分、相称性、军事必要性和攻击中采取预防措施的原则和规则，以期保护环境。</w:t>
      </w:r>
    </w:p>
    <w:p w:rsidR="00F60D83" w:rsidRPr="00BB6462"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rPr>
        <w:t>原则草案</w:t>
      </w:r>
      <w:r w:rsidRPr="00DF2038">
        <w:rPr>
          <w:rFonts w:ascii="黑体" w:eastAsia="黑体" w:hAnsi="黑体" w:hint="eastAsia"/>
        </w:rPr>
        <w:t>2-</w:t>
      </w:r>
      <w:r w:rsidRPr="00DF2038">
        <w:rPr>
          <w:rFonts w:ascii="黑体" w:eastAsia="黑体" w:hAnsi="黑体"/>
        </w:rPr>
        <w:t>3</w:t>
      </w:r>
      <w:r w:rsidRPr="00DF2038">
        <w:rPr>
          <w:rFonts w:ascii="黑体" w:eastAsia="黑体" w:hAnsi="黑体" w:hint="eastAsia"/>
        </w:rPr>
        <w:br/>
      </w:r>
      <w:r w:rsidRPr="00DF2038">
        <w:rPr>
          <w:rFonts w:ascii="黑体" w:eastAsia="黑体" w:hAnsi="黑体"/>
        </w:rPr>
        <w:t>环境因素</w:t>
      </w:r>
    </w:p>
    <w:p w:rsidR="00F60D83" w:rsidRPr="00BB6462" w:rsidRDefault="00F60D83" w:rsidP="00BF58BB">
      <w:pPr>
        <w:pStyle w:val="a5"/>
        <w:tabs>
          <w:tab w:val="clear" w:pos="418"/>
          <w:tab w:val="left" w:pos="2126"/>
          <w:tab w:val="left" w:pos="2557"/>
        </w:tabs>
        <w:ind w:left="1582" w:right="1264" w:firstLine="378"/>
        <w:rPr>
          <w:lang w:val="en-GB"/>
        </w:rPr>
      </w:pPr>
      <w:r w:rsidRPr="00BB6462">
        <w:rPr>
          <w:rFonts w:hint="eastAsia"/>
          <w:lang w:val="en-GB"/>
        </w:rPr>
        <w:t>适用相称性原则和军事必要性规则时，应考虑环境因素。</w:t>
      </w:r>
    </w:p>
    <w:p w:rsidR="00F60D83" w:rsidRPr="00BB6462"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rPr>
        <w:t>原则草案</w:t>
      </w:r>
      <w:r w:rsidRPr="00DF2038">
        <w:rPr>
          <w:rFonts w:ascii="黑体" w:eastAsia="黑体" w:hAnsi="黑体" w:hint="eastAsia"/>
        </w:rPr>
        <w:t>2</w:t>
      </w:r>
      <w:r w:rsidRPr="00DF2038">
        <w:rPr>
          <w:rFonts w:ascii="黑体" w:eastAsia="黑体" w:hAnsi="黑体"/>
        </w:rPr>
        <w:t>-4</w:t>
      </w:r>
      <w:r w:rsidRPr="00DF2038">
        <w:rPr>
          <w:rFonts w:ascii="黑体" w:eastAsia="黑体" w:hAnsi="黑体" w:hint="eastAsia"/>
        </w:rPr>
        <w:br/>
      </w:r>
      <w:r w:rsidRPr="00DF2038">
        <w:rPr>
          <w:rFonts w:ascii="黑体" w:eastAsia="黑体" w:hAnsi="黑体"/>
        </w:rPr>
        <w:t>禁止报复</w:t>
      </w:r>
    </w:p>
    <w:p w:rsidR="00F60D83" w:rsidRPr="00BB6462" w:rsidRDefault="00F60D83" w:rsidP="00BF58BB">
      <w:pPr>
        <w:pStyle w:val="a5"/>
        <w:tabs>
          <w:tab w:val="clear" w:pos="418"/>
          <w:tab w:val="left" w:pos="2126"/>
          <w:tab w:val="left" w:pos="2557"/>
        </w:tabs>
        <w:ind w:left="1582" w:right="1264" w:firstLine="378"/>
        <w:rPr>
          <w:lang w:val="en-GB"/>
        </w:rPr>
      </w:pPr>
      <w:r w:rsidRPr="00BB6462">
        <w:rPr>
          <w:rFonts w:hint="eastAsia"/>
          <w:lang w:val="en-GB"/>
        </w:rPr>
        <w:t>禁止作为报复而对</w:t>
      </w:r>
      <w:r w:rsidRPr="00BB6462">
        <w:rPr>
          <w:rFonts w:hint="eastAsia"/>
          <w:lang w:val="en-GB"/>
        </w:rPr>
        <w:t>[</w:t>
      </w:r>
      <w:r w:rsidRPr="00BB6462">
        <w:rPr>
          <w:rFonts w:hint="eastAsia"/>
          <w:lang w:val="en-GB"/>
        </w:rPr>
        <w:t>自然</w:t>
      </w:r>
      <w:r w:rsidRPr="00BB6462">
        <w:rPr>
          <w:rFonts w:hint="eastAsia"/>
          <w:lang w:val="en-GB"/>
        </w:rPr>
        <w:t>]</w:t>
      </w:r>
      <w:r w:rsidRPr="00BB6462">
        <w:rPr>
          <w:rFonts w:hint="eastAsia"/>
          <w:lang w:val="en-GB"/>
        </w:rPr>
        <w:t>环境</w:t>
      </w:r>
      <w:r w:rsidRPr="00DF2038">
        <w:rPr>
          <w:rFonts w:hint="eastAsia"/>
        </w:rPr>
        <w:t>进行</w:t>
      </w:r>
      <w:r w:rsidRPr="00BB6462">
        <w:rPr>
          <w:rFonts w:hint="eastAsia"/>
          <w:lang w:val="en-GB"/>
        </w:rPr>
        <w:t>攻击。</w:t>
      </w:r>
    </w:p>
    <w:p w:rsidR="00F60D83" w:rsidRPr="00DF2038" w:rsidRDefault="00F60D83" w:rsidP="00BF58BB">
      <w:pPr>
        <w:pStyle w:val="a5"/>
        <w:tabs>
          <w:tab w:val="clear" w:pos="418"/>
          <w:tab w:val="left" w:pos="1695"/>
          <w:tab w:val="left" w:pos="2126"/>
          <w:tab w:val="left" w:pos="2557"/>
        </w:tabs>
        <w:ind w:left="1610" w:right="1264" w:firstLine="0"/>
        <w:rPr>
          <w:lang w:val="en-GB"/>
        </w:rPr>
      </w:pPr>
      <w:r w:rsidRPr="00DF2038">
        <w:rPr>
          <w:rFonts w:ascii="黑体" w:eastAsia="黑体" w:hAnsi="黑体"/>
        </w:rPr>
        <w:t>原则草案</w:t>
      </w:r>
      <w:r w:rsidRPr="00DF2038">
        <w:rPr>
          <w:rFonts w:ascii="黑体" w:eastAsia="黑体" w:hAnsi="黑体" w:hint="eastAsia"/>
        </w:rPr>
        <w:t>2-</w:t>
      </w:r>
      <w:r w:rsidRPr="00DF2038">
        <w:rPr>
          <w:rFonts w:ascii="黑体" w:eastAsia="黑体" w:hAnsi="黑体"/>
        </w:rPr>
        <w:t>5</w:t>
      </w:r>
      <w:r w:rsidRPr="00DF2038">
        <w:rPr>
          <w:rFonts w:ascii="黑体" w:eastAsia="黑体" w:hAnsi="黑体" w:hint="eastAsia"/>
        </w:rPr>
        <w:br/>
      </w:r>
      <w:r w:rsidRPr="00DF2038">
        <w:rPr>
          <w:rFonts w:ascii="黑体" w:eastAsia="黑体" w:hAnsi="黑体"/>
        </w:rPr>
        <w:t>受保护区</w:t>
      </w:r>
    </w:p>
    <w:p w:rsidR="00F60D83" w:rsidRPr="00BB6462" w:rsidRDefault="00F60D83" w:rsidP="00BF58BB">
      <w:pPr>
        <w:pStyle w:val="a5"/>
        <w:tabs>
          <w:tab w:val="clear" w:pos="418"/>
          <w:tab w:val="left" w:pos="2126"/>
          <w:tab w:val="left" w:pos="2557"/>
        </w:tabs>
        <w:ind w:left="1582" w:right="1264" w:firstLine="378"/>
      </w:pPr>
      <w:r w:rsidRPr="00BB6462">
        <w:rPr>
          <w:rFonts w:hint="eastAsia"/>
          <w:lang w:val="sv-SE"/>
        </w:rPr>
        <w:t>以协议指定为受</w:t>
      </w:r>
      <w:r w:rsidRPr="00BF58BB">
        <w:rPr>
          <w:rFonts w:hint="eastAsia"/>
          <w:lang w:val="sv-SE"/>
        </w:rPr>
        <w:t>保护区</w:t>
      </w:r>
      <w:r w:rsidRPr="00BB6462">
        <w:rPr>
          <w:rFonts w:hint="eastAsia"/>
          <w:lang w:val="sv-SE"/>
        </w:rPr>
        <w:t>的具有重大环境和文化意义的地区，只要不包含军事目标，应保护其不受任何攻击。</w:t>
      </w:r>
    </w:p>
    <w:p w:rsidR="00F60D83" w:rsidRPr="00BB6462" w:rsidRDefault="00F60D83" w:rsidP="00DB3DD4">
      <w:pPr>
        <w:pStyle w:val="a5"/>
        <w:spacing w:line="300" w:lineRule="exact"/>
        <w:ind w:left="1264" w:firstLine="266"/>
        <w:rPr>
          <w:sz w:val="21"/>
          <w:szCs w:val="21"/>
        </w:rPr>
      </w:pPr>
    </w:p>
  </w:footnote>
  <w:footnote w:id="379">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r>
      <w:r w:rsidRPr="00BB6462">
        <w:rPr>
          <w:rFonts w:hint="eastAsia"/>
        </w:rPr>
        <w:t>联合国，《条约汇编》第</w:t>
      </w:r>
      <w:r w:rsidRPr="00BB6462">
        <w:rPr>
          <w:rFonts w:hint="eastAsia"/>
        </w:rPr>
        <w:t>1108</w:t>
      </w:r>
      <w:r w:rsidRPr="00BB6462">
        <w:rPr>
          <w:rFonts w:hint="eastAsia"/>
        </w:rPr>
        <w:t>卷，第</w:t>
      </w:r>
      <w:r w:rsidRPr="00BB6462">
        <w:rPr>
          <w:rFonts w:hint="eastAsia"/>
        </w:rPr>
        <w:t>151</w:t>
      </w:r>
      <w:r w:rsidRPr="00BB6462">
        <w:rPr>
          <w:rFonts w:hint="eastAsia"/>
        </w:rPr>
        <w:t>页。</w:t>
      </w:r>
    </w:p>
  </w:footnote>
  <w:footnote w:id="380">
    <w:p w:rsidR="00F60D83" w:rsidRPr="00052893" w:rsidRDefault="00F60D83" w:rsidP="003F1277">
      <w:pPr>
        <w:pStyle w:val="a5"/>
        <w:tabs>
          <w:tab w:val="clear" w:pos="418"/>
          <w:tab w:val="right" w:pos="1195"/>
          <w:tab w:val="left" w:pos="1264"/>
          <w:tab w:val="left" w:pos="1695"/>
          <w:tab w:val="left" w:pos="2126"/>
          <w:tab w:val="left" w:pos="2557"/>
        </w:tabs>
        <w:ind w:left="1264" w:right="1264" w:hanging="432"/>
      </w:pPr>
      <w:r w:rsidRPr="00052893">
        <w:tab/>
      </w:r>
      <w:r w:rsidRPr="00052893">
        <w:rPr>
          <w:rStyle w:val="a3"/>
          <w:szCs w:val="21"/>
        </w:rPr>
        <w:footnoteRef/>
      </w:r>
      <w:r w:rsidRPr="00052893">
        <w:tab/>
      </w:r>
      <w:r w:rsidRPr="00052893">
        <w:rPr>
          <w:lang w:val="en-GB"/>
        </w:rPr>
        <w:t>以</w:t>
      </w:r>
      <w:r w:rsidRPr="00052893">
        <w:rPr>
          <w:iCs/>
          <w:lang w:val="en-GB"/>
        </w:rPr>
        <w:t>核武器</w:t>
      </w:r>
      <w:r w:rsidRPr="00052893">
        <w:rPr>
          <w:lang w:val="en-GB"/>
        </w:rPr>
        <w:t>进行</w:t>
      </w:r>
      <w:r w:rsidRPr="00052893">
        <w:rPr>
          <w:iCs/>
          <w:lang w:val="en-GB"/>
        </w:rPr>
        <w:t>威胁</w:t>
      </w:r>
      <w:r w:rsidRPr="00052893">
        <w:rPr>
          <w:lang w:val="en-GB"/>
        </w:rPr>
        <w:t>或</w:t>
      </w:r>
      <w:r w:rsidRPr="00052893">
        <w:rPr>
          <w:iCs/>
          <w:lang w:val="en-GB"/>
        </w:rPr>
        <w:t>使用核武器的合法性</w:t>
      </w:r>
      <w:r w:rsidRPr="00052893">
        <w:t>，咨询意见，《</w:t>
      </w:r>
      <w:r w:rsidRPr="00052893">
        <w:t>1996</w:t>
      </w:r>
      <w:r w:rsidRPr="00052893">
        <w:t>年国际法院案例汇编》，第</w:t>
      </w:r>
      <w:r w:rsidRPr="00052893">
        <w:t>226</w:t>
      </w:r>
      <w:r w:rsidRPr="00052893">
        <w:t>页。</w:t>
      </w:r>
    </w:p>
  </w:footnote>
  <w:footnote w:id="381">
    <w:p w:rsidR="00F60D83" w:rsidRPr="00BB6462" w:rsidRDefault="00F60D83" w:rsidP="003F1277">
      <w:pPr>
        <w:pStyle w:val="a5"/>
        <w:tabs>
          <w:tab w:val="clear" w:pos="418"/>
          <w:tab w:val="right" w:pos="1195"/>
          <w:tab w:val="left" w:pos="1264"/>
          <w:tab w:val="left" w:pos="1695"/>
          <w:tab w:val="left" w:pos="2126"/>
          <w:tab w:val="left" w:pos="2557"/>
        </w:tabs>
        <w:ind w:left="1264" w:right="1264" w:hanging="432"/>
      </w:pPr>
      <w:r w:rsidRPr="00BB6462">
        <w:tab/>
      </w:r>
      <w:r w:rsidRPr="00BB6462">
        <w:rPr>
          <w:rStyle w:val="a3"/>
          <w:szCs w:val="21"/>
        </w:rPr>
        <w:footnoteRef/>
      </w:r>
      <w:r w:rsidRPr="00BB6462">
        <w:tab/>
        <w:t>Jean-Marie Henckaerts and Louise Doswald-Beck (eds.), Customary International Humanitarian Law, vols. I and II (Cambridge, Cambridge University Press, 2005).</w:t>
      </w:r>
    </w:p>
  </w:footnote>
  <w:footnote w:id="382">
    <w:p w:rsidR="00F60D83" w:rsidRPr="00666231"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Pr>
          <w:rFonts w:hint="eastAsia"/>
        </w:rPr>
        <w:tab/>
      </w:r>
      <w:r w:rsidRPr="006B4432">
        <w:rPr>
          <w:rFonts w:hint="eastAsia"/>
        </w:rPr>
        <w:t>2007</w:t>
      </w:r>
      <w:r w:rsidRPr="006B4432">
        <w:rPr>
          <w:rFonts w:hint="eastAsia"/>
        </w:rPr>
        <w:t>年</w:t>
      </w:r>
      <w:r w:rsidRPr="006B4432">
        <w:rPr>
          <w:rFonts w:hint="eastAsia"/>
        </w:rPr>
        <w:t>7</w:t>
      </w:r>
      <w:r w:rsidRPr="006B4432">
        <w:rPr>
          <w:rFonts w:hint="eastAsia"/>
        </w:rPr>
        <w:t>月</w:t>
      </w:r>
      <w:r w:rsidRPr="006B4432">
        <w:rPr>
          <w:rFonts w:hint="eastAsia"/>
        </w:rPr>
        <w:t>20</w:t>
      </w:r>
      <w:r w:rsidRPr="006B4432">
        <w:rPr>
          <w:rFonts w:hint="eastAsia"/>
        </w:rPr>
        <w:t>日第</w:t>
      </w:r>
      <w:r w:rsidRPr="006B4432">
        <w:rPr>
          <w:rFonts w:hint="eastAsia"/>
        </w:rPr>
        <w:t>2940</w:t>
      </w:r>
      <w:r w:rsidRPr="006B4432">
        <w:rPr>
          <w:rFonts w:hint="eastAsia"/>
        </w:rPr>
        <w:t>次会议</w:t>
      </w:r>
      <w:r w:rsidRPr="006B4432">
        <w:rPr>
          <w:rFonts w:hint="eastAsia"/>
        </w:rPr>
        <w:t>(</w:t>
      </w:r>
      <w:r w:rsidRPr="006B4432">
        <w:rPr>
          <w:rFonts w:hint="eastAsia"/>
        </w:rPr>
        <w:t>《大会正式记录，第六十二届会议，补编第</w:t>
      </w:r>
      <w:r w:rsidRPr="006B4432">
        <w:rPr>
          <w:rFonts w:hint="eastAsia"/>
        </w:rPr>
        <w:t>10</w:t>
      </w:r>
      <w:r w:rsidRPr="006B4432">
        <w:rPr>
          <w:rFonts w:hint="eastAsia"/>
        </w:rPr>
        <w:t>号》</w:t>
      </w:r>
      <w:r w:rsidRPr="006B4432">
        <w:rPr>
          <w:rFonts w:hint="eastAsia"/>
        </w:rPr>
        <w:t>(A/62/10)</w:t>
      </w:r>
      <w:r w:rsidRPr="006B4432">
        <w:rPr>
          <w:rFonts w:hint="eastAsia"/>
        </w:rPr>
        <w:t>，第</w:t>
      </w:r>
      <w:r w:rsidRPr="006B4432">
        <w:rPr>
          <w:rFonts w:hint="eastAsia"/>
        </w:rPr>
        <w:t>376</w:t>
      </w:r>
      <w:r w:rsidRPr="006B4432">
        <w:rPr>
          <w:rFonts w:hint="eastAsia"/>
        </w:rPr>
        <w:t>段</w:t>
      </w:r>
      <w:r w:rsidRPr="006B4432">
        <w:rPr>
          <w:rFonts w:hint="eastAsia"/>
        </w:rPr>
        <w:t>)</w:t>
      </w:r>
      <w:r w:rsidRPr="006B4432">
        <w:rPr>
          <w:rFonts w:hint="eastAsia"/>
        </w:rPr>
        <w:t>。大会</w:t>
      </w:r>
      <w:r w:rsidRPr="006B4432">
        <w:rPr>
          <w:rFonts w:hint="eastAsia"/>
        </w:rPr>
        <w:t>2007</w:t>
      </w:r>
      <w:r w:rsidRPr="006B4432">
        <w:rPr>
          <w:rFonts w:hint="eastAsia"/>
        </w:rPr>
        <w:t>年</w:t>
      </w:r>
      <w:r w:rsidRPr="006B4432">
        <w:rPr>
          <w:rFonts w:hint="eastAsia"/>
        </w:rPr>
        <w:t>12</w:t>
      </w:r>
      <w:r w:rsidRPr="006B4432">
        <w:rPr>
          <w:rFonts w:hint="eastAsia"/>
        </w:rPr>
        <w:t>月</w:t>
      </w:r>
      <w:r w:rsidRPr="006B4432">
        <w:rPr>
          <w:rFonts w:hint="eastAsia"/>
        </w:rPr>
        <w:t>6</w:t>
      </w:r>
      <w:r w:rsidRPr="006B4432">
        <w:rPr>
          <w:rFonts w:hint="eastAsia"/>
        </w:rPr>
        <w:t>日第</w:t>
      </w:r>
      <w:r w:rsidRPr="006B4432">
        <w:rPr>
          <w:rFonts w:hint="eastAsia"/>
        </w:rPr>
        <w:t>62/66</w:t>
      </w:r>
      <w:r w:rsidRPr="006B4432">
        <w:rPr>
          <w:rFonts w:hint="eastAsia"/>
        </w:rPr>
        <w:t>号决议第</w:t>
      </w:r>
      <w:r w:rsidRPr="006B4432">
        <w:rPr>
          <w:rFonts w:hint="eastAsia"/>
        </w:rPr>
        <w:t>7</w:t>
      </w:r>
      <w:r w:rsidRPr="006B4432">
        <w:rPr>
          <w:rFonts w:hint="eastAsia"/>
        </w:rPr>
        <w:t>段注意到委员会将本专题列入其工作方案的决定。在第五十八届会议上</w:t>
      </w:r>
      <w:r w:rsidRPr="006B4432">
        <w:rPr>
          <w:rFonts w:hint="eastAsia"/>
        </w:rPr>
        <w:t>(2006</w:t>
      </w:r>
      <w:r w:rsidRPr="006B4432">
        <w:rPr>
          <w:rFonts w:hint="eastAsia"/>
        </w:rPr>
        <w:t>年</w:t>
      </w:r>
      <w:r w:rsidRPr="006B4432">
        <w:rPr>
          <w:rFonts w:hint="eastAsia"/>
        </w:rPr>
        <w:t>)</w:t>
      </w:r>
      <w:r w:rsidRPr="006B4432">
        <w:rPr>
          <w:rFonts w:hint="eastAsia"/>
        </w:rPr>
        <w:t>，委员会已根据其报告附件</w:t>
      </w:r>
      <w:r w:rsidRPr="006B4432">
        <w:rPr>
          <w:rFonts w:hint="eastAsia"/>
        </w:rPr>
        <w:t>A</w:t>
      </w:r>
      <w:r w:rsidRPr="006B4432">
        <w:rPr>
          <w:rFonts w:hint="eastAsia"/>
        </w:rPr>
        <w:t>中所载建议</w:t>
      </w:r>
      <w:r w:rsidRPr="006B4432">
        <w:rPr>
          <w:rFonts w:hint="eastAsia"/>
        </w:rPr>
        <w:t>(</w:t>
      </w:r>
      <w:r w:rsidRPr="006B4432">
        <w:rPr>
          <w:rFonts w:hint="eastAsia"/>
        </w:rPr>
        <w:t>《大会正式记录，第六十一届会议，补编第</w:t>
      </w:r>
      <w:r w:rsidRPr="006B4432">
        <w:rPr>
          <w:rFonts w:hint="eastAsia"/>
        </w:rPr>
        <w:t>10</w:t>
      </w:r>
      <w:r w:rsidRPr="006B4432">
        <w:rPr>
          <w:rFonts w:hint="eastAsia"/>
        </w:rPr>
        <w:t>号》</w:t>
      </w:r>
      <w:r w:rsidRPr="006B4432">
        <w:rPr>
          <w:rFonts w:hint="eastAsia"/>
        </w:rPr>
        <w:t>(A/61/10)</w:t>
      </w:r>
      <w:r w:rsidRPr="006B4432">
        <w:rPr>
          <w:rFonts w:hint="eastAsia"/>
        </w:rPr>
        <w:t>，第</w:t>
      </w:r>
      <w:r w:rsidRPr="006B4432">
        <w:rPr>
          <w:rFonts w:hint="eastAsia"/>
        </w:rPr>
        <w:t>257</w:t>
      </w:r>
      <w:r w:rsidRPr="006B4432">
        <w:rPr>
          <w:rFonts w:hint="eastAsia"/>
        </w:rPr>
        <w:t>段</w:t>
      </w:r>
      <w:r w:rsidRPr="006B4432">
        <w:rPr>
          <w:rFonts w:hint="eastAsia"/>
        </w:rPr>
        <w:t>)</w:t>
      </w:r>
      <w:r w:rsidRPr="006B4432">
        <w:rPr>
          <w:rFonts w:hint="eastAsia"/>
        </w:rPr>
        <w:t>将本专题列入其长期工作方案。</w:t>
      </w:r>
    </w:p>
  </w:footnote>
  <w:footnote w:id="383">
    <w:p w:rsidR="00F60D83" w:rsidRPr="00666231" w:rsidRDefault="00F60D83" w:rsidP="003F1277">
      <w:pPr>
        <w:pStyle w:val="a5"/>
        <w:tabs>
          <w:tab w:val="clear" w:pos="418"/>
          <w:tab w:val="right" w:pos="1195"/>
          <w:tab w:val="left" w:pos="1264"/>
          <w:tab w:val="left" w:pos="1695"/>
          <w:tab w:val="left" w:pos="2126"/>
          <w:tab w:val="left" w:pos="2557"/>
        </w:tabs>
        <w:ind w:left="1264" w:right="1264" w:hanging="432"/>
      </w:pPr>
      <w:r>
        <w:tab/>
      </w:r>
      <w:r w:rsidRPr="00262A30">
        <w:rPr>
          <w:rStyle w:val="a3"/>
          <w:color w:val="0000FF"/>
        </w:rPr>
        <w:footnoteRef/>
      </w:r>
      <w:r>
        <w:rPr>
          <w:rFonts w:hint="eastAsia"/>
        </w:rPr>
        <w:tab/>
      </w:r>
      <w:r w:rsidRPr="006B4432">
        <w:rPr>
          <w:rFonts w:hint="eastAsia"/>
        </w:rPr>
        <w:t>同上，《第六十二届会议，补编第</w:t>
      </w:r>
      <w:r w:rsidRPr="006B4432">
        <w:rPr>
          <w:rFonts w:hint="eastAsia"/>
        </w:rPr>
        <w:t>10</w:t>
      </w:r>
      <w:r w:rsidRPr="006B4432">
        <w:rPr>
          <w:rFonts w:hint="eastAsia"/>
        </w:rPr>
        <w:t>号》</w:t>
      </w:r>
      <w:r w:rsidRPr="006B4432">
        <w:rPr>
          <w:rFonts w:hint="eastAsia"/>
        </w:rPr>
        <w:t>(A/62/10)</w:t>
      </w:r>
      <w:r w:rsidRPr="006B4432">
        <w:rPr>
          <w:rFonts w:hint="eastAsia"/>
        </w:rPr>
        <w:t>，第</w:t>
      </w:r>
      <w:r w:rsidRPr="006B4432">
        <w:rPr>
          <w:rFonts w:hint="eastAsia"/>
        </w:rPr>
        <w:t>386</w:t>
      </w:r>
      <w:r w:rsidRPr="006B4432">
        <w:rPr>
          <w:rFonts w:hint="eastAsia"/>
        </w:rPr>
        <w:t>段。秘书处编写的备忘录见</w:t>
      </w:r>
      <w:r w:rsidRPr="006B4432">
        <w:rPr>
          <w:rFonts w:hint="eastAsia"/>
        </w:rPr>
        <w:t>A/CN.4/596</w:t>
      </w:r>
      <w:r w:rsidRPr="006B4432">
        <w:rPr>
          <w:rFonts w:hint="eastAsia"/>
        </w:rPr>
        <w:t>和</w:t>
      </w:r>
      <w:r w:rsidRPr="006B4432">
        <w:rPr>
          <w:rFonts w:hint="eastAsia"/>
        </w:rPr>
        <w:t>Corr.1</w:t>
      </w:r>
      <w:r w:rsidRPr="006B4432">
        <w:rPr>
          <w:rFonts w:hint="eastAsia"/>
        </w:rPr>
        <w:t>号文件。</w:t>
      </w:r>
    </w:p>
  </w:footnote>
  <w:footnote w:id="384">
    <w:p w:rsidR="00F60D83" w:rsidRPr="00666231"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sidRPr="00053C49">
        <w:tab/>
      </w:r>
      <w:r w:rsidRPr="00053C49">
        <w:rPr>
          <w:rFonts w:hint="eastAsia"/>
        </w:rPr>
        <w:t>A/CN.4/601(</w:t>
      </w:r>
      <w:r w:rsidRPr="00053C49">
        <w:rPr>
          <w:rFonts w:hint="eastAsia"/>
        </w:rPr>
        <w:t>初步报告</w:t>
      </w:r>
      <w:r w:rsidRPr="00053C49">
        <w:rPr>
          <w:rFonts w:hint="eastAsia"/>
        </w:rPr>
        <w:t>)</w:t>
      </w:r>
      <w:r w:rsidRPr="00053C49">
        <w:rPr>
          <w:rFonts w:hint="eastAsia"/>
        </w:rPr>
        <w:t>、</w:t>
      </w:r>
      <w:r w:rsidRPr="00053C49">
        <w:rPr>
          <w:rFonts w:hint="eastAsia"/>
        </w:rPr>
        <w:t>A/CN.4/631(</w:t>
      </w:r>
      <w:r w:rsidRPr="00053C49">
        <w:rPr>
          <w:rFonts w:hint="eastAsia"/>
        </w:rPr>
        <w:t>第二次报告</w:t>
      </w:r>
      <w:r w:rsidRPr="00053C49">
        <w:rPr>
          <w:rFonts w:hint="eastAsia"/>
        </w:rPr>
        <w:t>)</w:t>
      </w:r>
      <w:r w:rsidRPr="00053C49">
        <w:rPr>
          <w:rFonts w:hint="eastAsia"/>
        </w:rPr>
        <w:t>和</w:t>
      </w:r>
      <w:r w:rsidRPr="00053C49">
        <w:rPr>
          <w:rFonts w:hint="eastAsia"/>
        </w:rPr>
        <w:t>A/CN.4/646(</w:t>
      </w:r>
      <w:r w:rsidRPr="00053C49">
        <w:rPr>
          <w:rFonts w:hint="eastAsia"/>
        </w:rPr>
        <w:t>第三次报告</w:t>
      </w:r>
      <w:r w:rsidRPr="00053C49">
        <w:rPr>
          <w:rFonts w:hint="eastAsia"/>
        </w:rPr>
        <w:t>)</w:t>
      </w:r>
      <w:r w:rsidRPr="00053C49">
        <w:rPr>
          <w:rFonts w:hint="eastAsia"/>
        </w:rPr>
        <w:t>。</w:t>
      </w:r>
    </w:p>
  </w:footnote>
  <w:footnote w:id="385">
    <w:p w:rsidR="00F60D83" w:rsidRPr="00666231" w:rsidRDefault="00F60D83" w:rsidP="003F1277">
      <w:pPr>
        <w:pStyle w:val="a5"/>
        <w:tabs>
          <w:tab w:val="clear" w:pos="418"/>
          <w:tab w:val="right" w:pos="1195"/>
          <w:tab w:val="left" w:pos="1264"/>
          <w:tab w:val="left" w:pos="1695"/>
          <w:tab w:val="left" w:pos="2126"/>
          <w:tab w:val="left" w:pos="2557"/>
        </w:tabs>
        <w:ind w:left="1264" w:right="1264" w:hanging="432"/>
      </w:pPr>
      <w:r>
        <w:tab/>
      </w:r>
      <w:r w:rsidRPr="00262A30">
        <w:rPr>
          <w:rStyle w:val="a3"/>
          <w:color w:val="0000FF"/>
        </w:rPr>
        <w:footnoteRef/>
      </w:r>
      <w:r>
        <w:tab/>
      </w:r>
      <w:r w:rsidRPr="001611B3">
        <w:rPr>
          <w:rFonts w:hint="eastAsia"/>
        </w:rPr>
        <w:t>见《大会正式记录，第六十四届会议，补编第</w:t>
      </w:r>
      <w:r w:rsidRPr="001611B3">
        <w:rPr>
          <w:rFonts w:hint="eastAsia"/>
        </w:rPr>
        <w:t>10</w:t>
      </w:r>
      <w:r w:rsidRPr="001611B3">
        <w:rPr>
          <w:rFonts w:hint="eastAsia"/>
        </w:rPr>
        <w:t>号》</w:t>
      </w:r>
      <w:r w:rsidRPr="001611B3">
        <w:rPr>
          <w:rFonts w:hint="eastAsia"/>
        </w:rPr>
        <w:t>(A/64/10)</w:t>
      </w:r>
      <w:r w:rsidRPr="001611B3">
        <w:rPr>
          <w:rFonts w:hint="eastAsia"/>
        </w:rPr>
        <w:t>，第</w:t>
      </w:r>
      <w:r w:rsidRPr="001611B3">
        <w:rPr>
          <w:rFonts w:hint="eastAsia"/>
        </w:rPr>
        <w:t>207</w:t>
      </w:r>
      <w:r w:rsidRPr="001611B3">
        <w:rPr>
          <w:rFonts w:hint="eastAsia"/>
        </w:rPr>
        <w:t>段；同上，《第六十五届会议，补编第</w:t>
      </w:r>
      <w:r w:rsidRPr="001611B3">
        <w:rPr>
          <w:rFonts w:hint="eastAsia"/>
        </w:rPr>
        <w:t>10</w:t>
      </w:r>
      <w:r w:rsidRPr="001611B3">
        <w:rPr>
          <w:rFonts w:hint="eastAsia"/>
        </w:rPr>
        <w:t>号》</w:t>
      </w:r>
      <w:r w:rsidRPr="001611B3">
        <w:rPr>
          <w:rFonts w:hint="eastAsia"/>
        </w:rPr>
        <w:t>(A/65/10)</w:t>
      </w:r>
      <w:r w:rsidRPr="001611B3">
        <w:rPr>
          <w:rFonts w:hint="eastAsia"/>
        </w:rPr>
        <w:t>，第</w:t>
      </w:r>
      <w:r w:rsidRPr="001611B3">
        <w:rPr>
          <w:rFonts w:hint="eastAsia"/>
        </w:rPr>
        <w:t>343</w:t>
      </w:r>
      <w:r w:rsidRPr="001611B3">
        <w:rPr>
          <w:rFonts w:hint="eastAsia"/>
        </w:rPr>
        <w:t>段。</w:t>
      </w:r>
    </w:p>
  </w:footnote>
  <w:footnote w:id="386">
    <w:p w:rsidR="00F60D83" w:rsidRPr="00666231"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sidRPr="00053C49">
        <w:tab/>
        <w:t>A/CN.4/654 (</w:t>
      </w:r>
      <w:r w:rsidRPr="00053C49">
        <w:rPr>
          <w:rFonts w:hint="eastAsia"/>
        </w:rPr>
        <w:t>初次报告</w:t>
      </w:r>
      <w:r w:rsidRPr="00053C49">
        <w:t>)</w:t>
      </w:r>
      <w:r>
        <w:rPr>
          <w:rFonts w:hint="eastAsia"/>
        </w:rPr>
        <w:t>；</w:t>
      </w:r>
      <w:r w:rsidRPr="00053C49">
        <w:t>A/CN.4/661 (</w:t>
      </w:r>
      <w:r w:rsidRPr="00053C49">
        <w:rPr>
          <w:rFonts w:hint="eastAsia"/>
        </w:rPr>
        <w:t>第二次报告</w:t>
      </w:r>
      <w:r w:rsidRPr="00053C49">
        <w:t>)</w:t>
      </w:r>
      <w:r>
        <w:rPr>
          <w:rFonts w:hint="eastAsia"/>
        </w:rPr>
        <w:t>以及</w:t>
      </w:r>
      <w:r>
        <w:rPr>
          <w:rFonts w:hint="eastAsia"/>
        </w:rPr>
        <w:t>A/CN.4/673</w:t>
      </w:r>
      <w:r>
        <w:rPr>
          <w:rFonts w:hint="eastAsia"/>
        </w:rPr>
        <w:t>和</w:t>
      </w:r>
      <w:r>
        <w:rPr>
          <w:rFonts w:hint="eastAsia"/>
        </w:rPr>
        <w:t>Corr.1(</w:t>
      </w:r>
      <w:r>
        <w:rPr>
          <w:rFonts w:hint="eastAsia"/>
        </w:rPr>
        <w:t>第三次报告</w:t>
      </w:r>
      <w:r>
        <w:rPr>
          <w:rFonts w:hint="eastAsia"/>
        </w:rPr>
        <w:t>)</w:t>
      </w:r>
      <w:r>
        <w:rPr>
          <w:rFonts w:hint="eastAsia"/>
        </w:rPr>
        <w:t>。</w:t>
      </w:r>
    </w:p>
  </w:footnote>
  <w:footnote w:id="387">
    <w:p w:rsidR="00F60D83" w:rsidRPr="003A10E6"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i/>
          <w:iCs/>
        </w:rPr>
        <w:tab/>
      </w:r>
      <w:r w:rsidRPr="00262A30">
        <w:rPr>
          <w:rStyle w:val="a3"/>
          <w:color w:val="0000FF"/>
        </w:rPr>
        <w:footnoteRef/>
      </w:r>
      <w:r>
        <w:rPr>
          <w:rFonts w:hint="eastAsia"/>
          <w:i/>
          <w:iCs/>
        </w:rPr>
        <w:tab/>
      </w:r>
      <w:r w:rsidRPr="00053C49">
        <w:rPr>
          <w:rFonts w:hint="eastAsia"/>
        </w:rPr>
        <w:t>《大会正式记录，第六十八届会议，补编第</w:t>
      </w:r>
      <w:r w:rsidRPr="00053C49">
        <w:rPr>
          <w:rFonts w:hint="eastAsia"/>
        </w:rPr>
        <w:t>10</w:t>
      </w:r>
      <w:r w:rsidRPr="00053C49">
        <w:rPr>
          <w:rFonts w:hint="eastAsia"/>
        </w:rPr>
        <w:t>号》</w:t>
      </w:r>
      <w:r w:rsidRPr="00053C49">
        <w:rPr>
          <w:rFonts w:hint="eastAsia"/>
        </w:rPr>
        <w:t>(A/68/10)</w:t>
      </w:r>
      <w:r w:rsidRPr="00053C49">
        <w:rPr>
          <w:rFonts w:hint="eastAsia"/>
        </w:rPr>
        <w:t>，第</w:t>
      </w:r>
      <w:r w:rsidRPr="00053C49">
        <w:rPr>
          <w:rFonts w:hint="eastAsia"/>
        </w:rPr>
        <w:t>48</w:t>
      </w:r>
      <w:r w:rsidRPr="00053C49">
        <w:rPr>
          <w:rFonts w:hint="eastAsia"/>
        </w:rPr>
        <w:t>和第</w:t>
      </w:r>
      <w:r w:rsidRPr="00053C49">
        <w:rPr>
          <w:rFonts w:hint="eastAsia"/>
        </w:rPr>
        <w:t>49</w:t>
      </w:r>
      <w:r w:rsidRPr="00053C49">
        <w:rPr>
          <w:rFonts w:hint="eastAsia"/>
        </w:rPr>
        <w:t>段。在</w:t>
      </w:r>
      <w:r w:rsidRPr="00053C49">
        <w:rPr>
          <w:rFonts w:hint="eastAsia"/>
        </w:rPr>
        <w:t>2013</w:t>
      </w:r>
      <w:r w:rsidRPr="00053C49">
        <w:rPr>
          <w:rFonts w:hint="eastAsia"/>
        </w:rPr>
        <w:t>年</w:t>
      </w:r>
      <w:r w:rsidRPr="00053C49">
        <w:rPr>
          <w:rFonts w:hint="eastAsia"/>
        </w:rPr>
        <w:t>6</w:t>
      </w:r>
      <w:r w:rsidRPr="00053C49">
        <w:rPr>
          <w:rFonts w:hint="eastAsia"/>
        </w:rPr>
        <w:t>月</w:t>
      </w:r>
      <w:r w:rsidRPr="00053C49">
        <w:rPr>
          <w:rFonts w:hint="eastAsia"/>
        </w:rPr>
        <w:t>7</w:t>
      </w:r>
      <w:r w:rsidRPr="00053C49">
        <w:rPr>
          <w:rFonts w:hint="eastAsia"/>
        </w:rPr>
        <w:t>日第</w:t>
      </w:r>
      <w:r w:rsidRPr="00053C49">
        <w:t>3174</w:t>
      </w:r>
      <w:r w:rsidRPr="00053C49">
        <w:rPr>
          <w:rFonts w:hint="eastAsia"/>
        </w:rPr>
        <w:t>次会议上，委员会收到起草委员会的报告</w:t>
      </w:r>
      <w:r>
        <w:rPr>
          <w:rFonts w:hint="eastAsia"/>
        </w:rPr>
        <w:t>并</w:t>
      </w:r>
      <w:r w:rsidRPr="00053C49">
        <w:rPr>
          <w:rFonts w:hint="eastAsia"/>
        </w:rPr>
        <w:t>暂时通过了第</w:t>
      </w:r>
      <w:r w:rsidRPr="00053C49">
        <w:rPr>
          <w:rFonts w:hint="eastAsia"/>
        </w:rPr>
        <w:t>1</w:t>
      </w:r>
      <w:r w:rsidRPr="00053C49">
        <w:rPr>
          <w:rFonts w:hint="eastAsia"/>
        </w:rPr>
        <w:t>、</w:t>
      </w:r>
      <w:r w:rsidRPr="00053C49">
        <w:rPr>
          <w:rFonts w:hint="eastAsia"/>
        </w:rPr>
        <w:t>3</w:t>
      </w:r>
      <w:r w:rsidRPr="00053C49">
        <w:rPr>
          <w:rFonts w:hint="eastAsia"/>
        </w:rPr>
        <w:t>和</w:t>
      </w:r>
      <w:r w:rsidRPr="00053C49">
        <w:rPr>
          <w:rFonts w:hint="eastAsia"/>
        </w:rPr>
        <w:t>4</w:t>
      </w:r>
      <w:r w:rsidRPr="00053C49">
        <w:rPr>
          <w:rFonts w:hint="eastAsia"/>
        </w:rPr>
        <w:t>三条草案，</w:t>
      </w:r>
      <w:r>
        <w:rPr>
          <w:rFonts w:hint="eastAsia"/>
        </w:rPr>
        <w:t>在</w:t>
      </w:r>
      <w:r w:rsidRPr="00053C49">
        <w:rPr>
          <w:rFonts w:hint="eastAsia"/>
        </w:rPr>
        <w:t>2013</w:t>
      </w:r>
      <w:r w:rsidRPr="00053C49">
        <w:rPr>
          <w:rFonts w:hint="eastAsia"/>
        </w:rPr>
        <w:t>年</w:t>
      </w:r>
      <w:r w:rsidRPr="00053C49">
        <w:rPr>
          <w:rFonts w:hint="eastAsia"/>
        </w:rPr>
        <w:t>8</w:t>
      </w:r>
      <w:r w:rsidRPr="00053C49">
        <w:rPr>
          <w:rFonts w:hint="eastAsia"/>
        </w:rPr>
        <w:t>月</w:t>
      </w:r>
      <w:r w:rsidRPr="00053C49">
        <w:rPr>
          <w:rFonts w:hint="eastAsia"/>
        </w:rPr>
        <w:t>6</w:t>
      </w:r>
      <w:r w:rsidRPr="00053C49">
        <w:rPr>
          <w:rFonts w:hint="eastAsia"/>
        </w:rPr>
        <w:t>日和</w:t>
      </w:r>
      <w:r w:rsidRPr="00053C49">
        <w:rPr>
          <w:rFonts w:hint="eastAsia"/>
        </w:rPr>
        <w:t>7</w:t>
      </w:r>
      <w:r w:rsidRPr="00053C49">
        <w:rPr>
          <w:rFonts w:hint="eastAsia"/>
        </w:rPr>
        <w:t>日第</w:t>
      </w:r>
      <w:r w:rsidRPr="00053C49">
        <w:t>3193</w:t>
      </w:r>
      <w:r>
        <w:rPr>
          <w:rFonts w:hint="eastAsia"/>
        </w:rPr>
        <w:t>至</w:t>
      </w:r>
      <w:r w:rsidRPr="00053C49">
        <w:t>3196</w:t>
      </w:r>
      <w:r>
        <w:rPr>
          <w:rFonts w:hint="eastAsia"/>
        </w:rPr>
        <w:t>次会议上通过了相关</w:t>
      </w:r>
      <w:r w:rsidRPr="00053C49">
        <w:rPr>
          <w:rFonts w:hint="eastAsia"/>
        </w:rPr>
        <w:t>评注。《大会正式记录，第六十九届会议，补编第</w:t>
      </w:r>
      <w:r w:rsidRPr="00053C49">
        <w:rPr>
          <w:rFonts w:hint="eastAsia"/>
        </w:rPr>
        <w:t>10</w:t>
      </w:r>
      <w:r w:rsidRPr="00053C49">
        <w:rPr>
          <w:rFonts w:hint="eastAsia"/>
        </w:rPr>
        <w:t>号》</w:t>
      </w:r>
      <w:r w:rsidRPr="00053C49">
        <w:rPr>
          <w:rFonts w:hint="eastAsia"/>
        </w:rPr>
        <w:t>(A/69/10)</w:t>
      </w:r>
      <w:r w:rsidRPr="00053C49">
        <w:rPr>
          <w:rFonts w:hint="eastAsia"/>
        </w:rPr>
        <w:t>，第</w:t>
      </w:r>
      <w:r w:rsidRPr="00053C49">
        <w:rPr>
          <w:rFonts w:hint="eastAsia"/>
        </w:rPr>
        <w:t>48</w:t>
      </w:r>
      <w:r w:rsidRPr="00053C49">
        <w:rPr>
          <w:rFonts w:hint="eastAsia"/>
        </w:rPr>
        <w:t>和第</w:t>
      </w:r>
      <w:r w:rsidRPr="00053C49">
        <w:rPr>
          <w:rFonts w:hint="eastAsia"/>
        </w:rPr>
        <w:t>49</w:t>
      </w:r>
      <w:r w:rsidRPr="00053C49">
        <w:rPr>
          <w:rFonts w:hint="eastAsia"/>
        </w:rPr>
        <w:t>段。在</w:t>
      </w:r>
      <w:r w:rsidRPr="00053C49">
        <w:rPr>
          <w:rFonts w:hint="eastAsia"/>
        </w:rPr>
        <w:t>2014</w:t>
      </w:r>
      <w:r w:rsidRPr="00053C49">
        <w:rPr>
          <w:rFonts w:hint="eastAsia"/>
        </w:rPr>
        <w:t>年</w:t>
      </w:r>
      <w:r w:rsidRPr="00053C49">
        <w:rPr>
          <w:rFonts w:hint="eastAsia"/>
        </w:rPr>
        <w:t>7</w:t>
      </w:r>
      <w:r w:rsidRPr="00053C49">
        <w:rPr>
          <w:rFonts w:hint="eastAsia"/>
        </w:rPr>
        <w:t>月</w:t>
      </w:r>
      <w:r w:rsidRPr="00053C49">
        <w:rPr>
          <w:rFonts w:hint="eastAsia"/>
        </w:rPr>
        <w:t>25</w:t>
      </w:r>
      <w:r w:rsidRPr="00053C49">
        <w:rPr>
          <w:rFonts w:hint="eastAsia"/>
        </w:rPr>
        <w:t>日第</w:t>
      </w:r>
      <w:r w:rsidRPr="00053C49">
        <w:t>3231</w:t>
      </w:r>
      <w:r>
        <w:rPr>
          <w:rFonts w:hint="eastAsia"/>
        </w:rPr>
        <w:t>次会议上，委员会收到了起草委员会的报告并暂时通过了第</w:t>
      </w:r>
      <w:r w:rsidRPr="00053C49">
        <w:rPr>
          <w:rFonts w:hint="eastAsia"/>
        </w:rPr>
        <w:t>2</w:t>
      </w:r>
      <w:r>
        <w:rPr>
          <w:rFonts w:hint="eastAsia"/>
        </w:rPr>
        <w:t>条草案</w:t>
      </w:r>
      <w:r>
        <w:t>(e)</w:t>
      </w:r>
      <w:r>
        <w:rPr>
          <w:rFonts w:hint="eastAsia"/>
        </w:rPr>
        <w:t>款</w:t>
      </w:r>
      <w:r w:rsidRPr="00053C49">
        <w:rPr>
          <w:rFonts w:hint="eastAsia"/>
        </w:rPr>
        <w:t>和</w:t>
      </w:r>
      <w:r>
        <w:rPr>
          <w:rFonts w:hint="eastAsia"/>
        </w:rPr>
        <w:t>第</w:t>
      </w:r>
      <w:r w:rsidRPr="00053C49">
        <w:t>5</w:t>
      </w:r>
      <w:r>
        <w:rPr>
          <w:rFonts w:hint="eastAsia"/>
        </w:rPr>
        <w:t>条草案</w:t>
      </w:r>
      <w:r w:rsidRPr="00053C49">
        <w:rPr>
          <w:rFonts w:hint="eastAsia"/>
        </w:rPr>
        <w:t>，在</w:t>
      </w:r>
      <w:r w:rsidRPr="00053C49">
        <w:rPr>
          <w:rFonts w:hint="eastAsia"/>
        </w:rPr>
        <w:t>2014</w:t>
      </w:r>
      <w:r w:rsidRPr="00053C49">
        <w:rPr>
          <w:rFonts w:hint="eastAsia"/>
        </w:rPr>
        <w:t>年</w:t>
      </w:r>
      <w:r>
        <w:rPr>
          <w:rFonts w:hint="eastAsia"/>
        </w:rPr>
        <w:t>8</w:t>
      </w:r>
      <w:r w:rsidRPr="00053C49">
        <w:rPr>
          <w:rFonts w:hint="eastAsia"/>
        </w:rPr>
        <w:t>月</w:t>
      </w:r>
      <w:r>
        <w:rPr>
          <w:rFonts w:hint="eastAsia"/>
        </w:rPr>
        <w:t>6</w:t>
      </w:r>
      <w:r w:rsidRPr="00053C49">
        <w:rPr>
          <w:rFonts w:hint="eastAsia"/>
        </w:rPr>
        <w:t>日和</w:t>
      </w:r>
      <w:r>
        <w:rPr>
          <w:rFonts w:hint="eastAsia"/>
        </w:rPr>
        <w:t>7</w:t>
      </w:r>
      <w:r w:rsidRPr="00053C49">
        <w:rPr>
          <w:rFonts w:hint="eastAsia"/>
        </w:rPr>
        <w:t>日的第</w:t>
      </w:r>
      <w:r w:rsidRPr="00053C49">
        <w:t>3240</w:t>
      </w:r>
      <w:r w:rsidRPr="00053C49">
        <w:rPr>
          <w:rFonts w:hint="eastAsia"/>
        </w:rPr>
        <w:t>至</w:t>
      </w:r>
      <w:r w:rsidRPr="00053C49">
        <w:t>3242</w:t>
      </w:r>
      <w:r w:rsidRPr="00053C49">
        <w:rPr>
          <w:rFonts w:hint="eastAsia"/>
        </w:rPr>
        <w:t>次会议上通过了相关评注。</w:t>
      </w:r>
    </w:p>
  </w:footnote>
  <w:footnote w:id="388">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sidRPr="00262A30">
        <w:rPr>
          <w:rStyle w:val="a3"/>
          <w:color w:val="0000FF"/>
        </w:rPr>
        <w:footnoteRef/>
      </w:r>
      <w:r>
        <w:rPr>
          <w:rFonts w:hint="eastAsia"/>
        </w:rPr>
        <w:tab/>
      </w:r>
      <w:r w:rsidRPr="00526C3A">
        <w:rPr>
          <w:rFonts w:hint="eastAsia"/>
        </w:rPr>
        <w:t>特别报告员</w:t>
      </w:r>
      <w:r>
        <w:rPr>
          <w:rFonts w:hint="eastAsia"/>
        </w:rPr>
        <w:t>在第四次报告中</w:t>
      </w:r>
      <w:r w:rsidRPr="00526C3A">
        <w:rPr>
          <w:rFonts w:hint="eastAsia"/>
        </w:rPr>
        <w:t>提出的、经更正的案文如下：</w:t>
      </w:r>
    </w:p>
    <w:p w:rsidR="00F60D83" w:rsidRPr="001661D0" w:rsidRDefault="00F60D83" w:rsidP="00135334">
      <w:pPr>
        <w:pStyle w:val="a5"/>
        <w:tabs>
          <w:tab w:val="clear" w:pos="418"/>
          <w:tab w:val="left" w:pos="2126"/>
          <w:tab w:val="left" w:pos="2557"/>
        </w:tabs>
        <w:ind w:left="1610" w:right="1264" w:hanging="778"/>
        <w:rPr>
          <w:rFonts w:ascii="黑体" w:eastAsia="黑体" w:hAnsi="黑体"/>
        </w:rPr>
      </w:pPr>
      <w:r>
        <w:tab/>
      </w:r>
      <w:r>
        <w:rPr>
          <w:rFonts w:hint="eastAsia"/>
        </w:rPr>
        <w:t>“</w:t>
      </w:r>
      <w:r w:rsidRPr="001661D0">
        <w:rPr>
          <w:rFonts w:ascii="黑体" w:eastAsia="黑体" w:hAnsi="黑体" w:cs="宋体" w:hint="eastAsia"/>
        </w:rPr>
        <w:t>第</w:t>
      </w:r>
      <w:r w:rsidRPr="001661D0">
        <w:rPr>
          <w:rFonts w:ascii="黑体" w:eastAsia="黑体" w:hAnsi="黑体" w:hint="eastAsia"/>
        </w:rPr>
        <w:t>2</w:t>
      </w:r>
      <w:r w:rsidRPr="001661D0">
        <w:rPr>
          <w:rFonts w:ascii="黑体" w:eastAsia="黑体" w:hAnsi="黑体" w:cs="宋体" w:hint="eastAsia"/>
        </w:rPr>
        <w:t>条草案</w:t>
      </w:r>
      <w:r w:rsidRPr="001661D0">
        <w:rPr>
          <w:rFonts w:ascii="黑体" w:eastAsia="黑体" w:hAnsi="黑体"/>
        </w:rPr>
        <w:br/>
      </w:r>
      <w:r w:rsidRPr="001661D0">
        <w:rPr>
          <w:rFonts w:ascii="黑体" w:eastAsia="黑体" w:hAnsi="黑体" w:cs="宋体" w:hint="eastAsia"/>
        </w:rPr>
        <w:t>定义</w:t>
      </w:r>
    </w:p>
    <w:p w:rsidR="00F60D83" w:rsidRPr="004D3930" w:rsidRDefault="00F60D83" w:rsidP="007B3C23">
      <w:pPr>
        <w:pStyle w:val="a5"/>
        <w:tabs>
          <w:tab w:val="clear" w:pos="418"/>
          <w:tab w:val="left" w:pos="2126"/>
          <w:tab w:val="left" w:pos="2557"/>
        </w:tabs>
        <w:ind w:left="1624" w:right="1264" w:firstLine="420"/>
        <w:rPr>
          <w:rFonts w:ascii="宋体" w:hAnsi="宋体"/>
        </w:rPr>
      </w:pPr>
      <w:r w:rsidRPr="004D3930">
        <w:rPr>
          <w:rFonts w:ascii="宋体" w:hAnsi="宋体" w:cs="宋体" w:hint="eastAsia"/>
        </w:rPr>
        <w:t>为本条款草案的目的：</w:t>
      </w:r>
    </w:p>
    <w:p w:rsidR="00F60D83" w:rsidRDefault="00F60D83" w:rsidP="004923ED">
      <w:pPr>
        <w:pStyle w:val="a5"/>
        <w:tabs>
          <w:tab w:val="clear" w:pos="418"/>
          <w:tab w:val="left" w:pos="2410"/>
        </w:tabs>
        <w:ind w:left="1624" w:right="1264" w:firstLine="420"/>
        <w:rPr>
          <w:rFonts w:ascii="宋体" w:hAnsi="宋体" w:cs="宋体"/>
        </w:rPr>
      </w:pPr>
      <w:r w:rsidRPr="002C2D23">
        <w:t>(</w:t>
      </w:r>
      <w:r w:rsidRPr="002C2D23">
        <w:rPr>
          <w:rFonts w:hint="eastAsia"/>
        </w:rPr>
        <w:t>f</w:t>
      </w:r>
      <w:r w:rsidRPr="002C2D23">
        <w:t>)</w:t>
      </w:r>
      <w:r w:rsidRPr="002C2D23">
        <w:tab/>
      </w:r>
      <w:r w:rsidRPr="002C2D23">
        <w:rPr>
          <w:rFonts w:hint="eastAsia"/>
        </w:rPr>
        <w:t>“</w:t>
      </w:r>
      <w:r w:rsidRPr="002C2D23">
        <w:rPr>
          <w:rFonts w:ascii="宋体" w:hAnsi="宋体" w:cs="宋体" w:hint="eastAsia"/>
        </w:rPr>
        <w:t>以官方身份实施的行为</w:t>
      </w:r>
      <w:r>
        <w:rPr>
          <w:rFonts w:hint="eastAsia"/>
        </w:rPr>
        <w:t>”</w:t>
      </w:r>
      <w:r w:rsidRPr="002C2D23">
        <w:rPr>
          <w:rFonts w:ascii="宋体" w:hAnsi="宋体" w:cs="宋体" w:hint="eastAsia"/>
        </w:rPr>
        <w:t>指国家官员在行使政府权力要素时实施的、其性质构成法</w:t>
      </w:r>
    </w:p>
    <w:p w:rsidR="00F60D83" w:rsidRDefault="00F60D83" w:rsidP="007B3C23">
      <w:pPr>
        <w:pStyle w:val="a5"/>
        <w:tabs>
          <w:tab w:val="clear" w:pos="418"/>
          <w:tab w:val="left" w:pos="2126"/>
          <w:tab w:val="left" w:pos="2557"/>
        </w:tabs>
        <w:ind w:left="1624" w:right="1264" w:firstLine="420"/>
        <w:rPr>
          <w:rFonts w:ascii="宋体" w:hAnsi="宋体" w:cs="宋体"/>
        </w:rPr>
      </w:pPr>
      <w:r w:rsidRPr="002C2D23">
        <w:rPr>
          <w:rFonts w:ascii="宋体" w:hAnsi="宋体" w:cs="宋体" w:hint="eastAsia"/>
        </w:rPr>
        <w:t>院地国可对其行使刑事管辖权的罪行的行为。</w:t>
      </w:r>
    </w:p>
    <w:p w:rsidR="00F60D83" w:rsidRPr="001661D0" w:rsidRDefault="00F60D83" w:rsidP="007B3C23">
      <w:pPr>
        <w:pStyle w:val="a5"/>
        <w:tabs>
          <w:tab w:val="clear" w:pos="418"/>
          <w:tab w:val="left" w:pos="1695"/>
          <w:tab w:val="left" w:pos="2126"/>
          <w:tab w:val="left" w:pos="2557"/>
        </w:tabs>
        <w:ind w:left="1610" w:right="1264" w:hanging="778"/>
        <w:rPr>
          <w:rFonts w:ascii="黑体" w:eastAsia="黑体" w:hAnsi="黑体"/>
        </w:rPr>
      </w:pPr>
      <w:r>
        <w:rPr>
          <w:rFonts w:hint="eastAsia"/>
        </w:rPr>
        <w:tab/>
      </w:r>
      <w:r w:rsidRPr="007B3C23">
        <w:rPr>
          <w:rFonts w:ascii="黑体" w:eastAsia="黑体" w:hAnsi="黑体" w:hint="eastAsia"/>
        </w:rPr>
        <w:t>第6条草案</w:t>
      </w:r>
      <w:r w:rsidRPr="007B3C23">
        <w:rPr>
          <w:rFonts w:ascii="黑体" w:eastAsia="黑体" w:hAnsi="黑体"/>
        </w:rPr>
        <w:br/>
      </w:r>
      <w:r w:rsidRPr="007B3C23">
        <w:rPr>
          <w:rFonts w:ascii="黑体" w:eastAsia="黑体" w:hAnsi="黑体" w:hint="eastAsia"/>
        </w:rPr>
        <w:t>属事豁免的范围</w:t>
      </w:r>
    </w:p>
    <w:p w:rsidR="00F60D83" w:rsidRPr="002C2D23" w:rsidRDefault="00F60D83" w:rsidP="0024013B">
      <w:pPr>
        <w:pStyle w:val="a5"/>
        <w:tabs>
          <w:tab w:val="clear" w:pos="418"/>
          <w:tab w:val="left" w:pos="1985"/>
        </w:tabs>
        <w:ind w:left="1610" w:right="1264" w:hanging="778"/>
      </w:pPr>
      <w:r w:rsidRPr="002C2D23">
        <w:rPr>
          <w:rFonts w:hint="eastAsia"/>
        </w:rPr>
        <w:tab/>
        <w:t>1.</w:t>
      </w:r>
      <w:r w:rsidRPr="002C2D23">
        <w:rPr>
          <w:rFonts w:hint="eastAsia"/>
        </w:rPr>
        <w:tab/>
      </w:r>
      <w:r w:rsidRPr="002C2D23">
        <w:rPr>
          <w:rFonts w:ascii="宋体" w:hAnsi="宋体" w:cs="宋体" w:hint="eastAsia"/>
        </w:rPr>
        <w:t>国家官员以官方身份行事时享有属事豁免，无论在其任期之内还是任期届满后。</w:t>
      </w:r>
    </w:p>
    <w:p w:rsidR="00F60D83" w:rsidRPr="002C2D23" w:rsidRDefault="00F60D83" w:rsidP="0024013B">
      <w:pPr>
        <w:pStyle w:val="a5"/>
        <w:tabs>
          <w:tab w:val="clear" w:pos="418"/>
          <w:tab w:val="left" w:pos="1985"/>
        </w:tabs>
        <w:ind w:left="1610" w:right="1264" w:hanging="778"/>
      </w:pPr>
      <w:r w:rsidRPr="002C2D23">
        <w:rPr>
          <w:rFonts w:hint="eastAsia"/>
        </w:rPr>
        <w:tab/>
        <w:t>2.</w:t>
      </w:r>
      <w:r w:rsidRPr="002C2D23">
        <w:rPr>
          <w:rFonts w:hint="eastAsia"/>
        </w:rPr>
        <w:tab/>
      </w:r>
      <w:r w:rsidRPr="002C2D23">
        <w:rPr>
          <w:rFonts w:ascii="宋体" w:hAnsi="宋体" w:cs="宋体" w:hint="eastAsia"/>
        </w:rPr>
        <w:t>此种属事豁免仅适用于国家官员在任期之内以官方身份实施的行为。</w:t>
      </w:r>
    </w:p>
    <w:p w:rsidR="00F60D83" w:rsidRPr="003A10E6" w:rsidRDefault="00F60D83" w:rsidP="0024013B">
      <w:pPr>
        <w:pStyle w:val="a5"/>
        <w:tabs>
          <w:tab w:val="clear" w:pos="418"/>
          <w:tab w:val="left" w:pos="1985"/>
        </w:tabs>
        <w:ind w:left="1610" w:right="1264" w:hanging="778"/>
        <w:rPr>
          <w:rFonts w:ascii="宋体" w:hAnsi="宋体" w:cs="宋体"/>
        </w:rPr>
      </w:pPr>
      <w:r w:rsidRPr="002C2D23">
        <w:rPr>
          <w:rFonts w:hint="eastAsia"/>
        </w:rPr>
        <w:tab/>
        <w:t>3.</w:t>
      </w:r>
      <w:r w:rsidRPr="002C2D23">
        <w:rPr>
          <w:rFonts w:hint="eastAsia"/>
        </w:rPr>
        <w:tab/>
      </w:r>
      <w:r w:rsidRPr="002C2D23">
        <w:rPr>
          <w:rFonts w:ascii="宋体" w:hAnsi="宋体" w:cs="宋体" w:hint="eastAsia"/>
        </w:rPr>
        <w:t>属事豁免适用于符合本条款草案第</w:t>
      </w:r>
      <w:r w:rsidRPr="002C2D23">
        <w:rPr>
          <w:rFonts w:hint="eastAsia"/>
        </w:rPr>
        <w:t>1</w:t>
      </w:r>
      <w:r w:rsidRPr="00526C3A">
        <w:rPr>
          <w:rFonts w:hint="eastAsia"/>
        </w:rPr>
        <w:t>款</w:t>
      </w:r>
      <w:r w:rsidRPr="002C2D23">
        <w:rPr>
          <w:rFonts w:ascii="宋体" w:hAnsi="宋体" w:cs="宋体" w:hint="eastAsia"/>
        </w:rPr>
        <w:t>和第</w:t>
      </w:r>
      <w:r w:rsidRPr="002C2D23">
        <w:rPr>
          <w:rFonts w:hint="eastAsia"/>
        </w:rPr>
        <w:t>2</w:t>
      </w:r>
      <w:r w:rsidRPr="00526C3A">
        <w:rPr>
          <w:rFonts w:hint="eastAsia"/>
        </w:rPr>
        <w:t>款</w:t>
      </w:r>
      <w:r w:rsidRPr="002C2D23">
        <w:rPr>
          <w:rFonts w:ascii="宋体" w:hAnsi="宋体" w:cs="宋体" w:hint="eastAsia"/>
        </w:rPr>
        <w:t>所述条件的前国家元首、前政府首脑和前外交部长。</w:t>
      </w:r>
      <w:r>
        <w:rPr>
          <w:rFonts w:ascii="宋体" w:hAnsi="宋体" w:cs="宋体" w:hint="eastAsia"/>
        </w:rPr>
        <w:t>”</w:t>
      </w:r>
    </w:p>
  </w:footnote>
  <w:footnote w:id="389">
    <w:p w:rsidR="00F60D83" w:rsidRPr="00372B56"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Pr>
          <w:rFonts w:hint="eastAsia"/>
        </w:rPr>
        <w:tab/>
      </w:r>
      <w:r>
        <w:rPr>
          <w:rFonts w:hint="eastAsia"/>
        </w:rPr>
        <w:t>起草委员会主席的发言可查阅委员会网站</w:t>
      </w:r>
      <w:r>
        <w:t>&lt;http://legal.un.org/ilc&gt;</w:t>
      </w:r>
      <w:r>
        <w:rPr>
          <w:rFonts w:hint="eastAsia"/>
        </w:rPr>
        <w:t>。</w:t>
      </w:r>
    </w:p>
  </w:footnote>
  <w:footnote w:id="390">
    <w:p w:rsidR="00F60D83"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Pr>
          <w:rFonts w:hint="eastAsia"/>
        </w:rPr>
        <w:tab/>
      </w:r>
      <w:r>
        <w:rPr>
          <w:rFonts w:hint="eastAsia"/>
        </w:rPr>
        <w:t>起草委员会暂时通过的案文如下：</w:t>
      </w:r>
    </w:p>
    <w:p w:rsidR="00F60D83" w:rsidRPr="007B3C23" w:rsidRDefault="00F60D83" w:rsidP="007B3C23">
      <w:pPr>
        <w:pStyle w:val="a5"/>
        <w:tabs>
          <w:tab w:val="clear" w:pos="418"/>
          <w:tab w:val="left" w:pos="1695"/>
          <w:tab w:val="left" w:pos="2126"/>
          <w:tab w:val="left" w:pos="2557"/>
        </w:tabs>
        <w:ind w:left="1610" w:right="1264" w:hanging="778"/>
        <w:rPr>
          <w:rFonts w:ascii="黑体" w:eastAsia="黑体" w:hAnsi="黑体"/>
        </w:rPr>
      </w:pPr>
      <w:r>
        <w:rPr>
          <w:rFonts w:hint="eastAsia"/>
        </w:rPr>
        <w:tab/>
      </w:r>
      <w:r w:rsidRPr="007B3C23">
        <w:rPr>
          <w:rFonts w:ascii="黑体" w:eastAsia="黑体" w:hAnsi="黑体" w:hint="eastAsia"/>
        </w:rPr>
        <w:t>“第2条草案</w:t>
      </w:r>
      <w:r w:rsidRPr="007B3C23">
        <w:rPr>
          <w:rFonts w:ascii="黑体" w:eastAsia="黑体" w:hAnsi="黑体"/>
        </w:rPr>
        <w:br/>
      </w:r>
      <w:r w:rsidRPr="007B3C23">
        <w:rPr>
          <w:rFonts w:ascii="黑体" w:eastAsia="黑体" w:hAnsi="黑体" w:hint="eastAsia"/>
        </w:rPr>
        <w:t>定义</w:t>
      </w:r>
    </w:p>
    <w:p w:rsidR="00F60D83" w:rsidRDefault="00F60D83" w:rsidP="007B3C23">
      <w:pPr>
        <w:pStyle w:val="a5"/>
        <w:tabs>
          <w:tab w:val="clear" w:pos="418"/>
          <w:tab w:val="left" w:pos="2126"/>
          <w:tab w:val="left" w:pos="2557"/>
        </w:tabs>
        <w:ind w:left="1624" w:right="1264" w:firstLine="420"/>
      </w:pPr>
      <w:r>
        <w:rPr>
          <w:rFonts w:hint="eastAsia"/>
        </w:rPr>
        <w:t>为本条款草案的目的：</w:t>
      </w:r>
    </w:p>
    <w:p w:rsidR="00F60D83" w:rsidRPr="004D3930" w:rsidRDefault="00F60D83" w:rsidP="007B3C23">
      <w:pPr>
        <w:pStyle w:val="a5"/>
        <w:tabs>
          <w:tab w:val="clear" w:pos="418"/>
          <w:tab w:val="left" w:pos="2126"/>
          <w:tab w:val="left" w:pos="2557"/>
        </w:tabs>
        <w:ind w:left="1624" w:right="1264" w:firstLine="14"/>
        <w:rPr>
          <w:rFonts w:ascii="宋体" w:hAnsi="宋体"/>
        </w:rPr>
      </w:pPr>
      <w:r w:rsidRPr="007B3C23">
        <w:rPr>
          <w:rFonts w:ascii="宋体" w:hAnsi="宋体" w:cs="宋体"/>
        </w:rPr>
        <w:t>……</w:t>
      </w:r>
    </w:p>
    <w:p w:rsidR="00F60D83" w:rsidRDefault="00F60D83" w:rsidP="0024013B">
      <w:pPr>
        <w:pStyle w:val="a5"/>
        <w:tabs>
          <w:tab w:val="clear" w:pos="418"/>
          <w:tab w:val="left" w:pos="2410"/>
        </w:tabs>
        <w:ind w:left="1624" w:right="1264" w:firstLine="420"/>
      </w:pPr>
      <w:r>
        <w:rPr>
          <w:rFonts w:hint="eastAsia"/>
        </w:rPr>
        <w:t>(f)</w:t>
      </w:r>
      <w:r>
        <w:rPr>
          <w:rFonts w:hint="eastAsia"/>
        </w:rPr>
        <w:tab/>
      </w:r>
      <w:r>
        <w:rPr>
          <w:rFonts w:hint="eastAsia"/>
        </w:rPr>
        <w:t>“以官方身份实施的行为”指国家官员在行使国家权力时实施的任何行为。</w:t>
      </w:r>
    </w:p>
    <w:p w:rsidR="00F60D83" w:rsidRDefault="00F60D83" w:rsidP="007B3C23">
      <w:pPr>
        <w:pStyle w:val="a5"/>
        <w:tabs>
          <w:tab w:val="clear" w:pos="418"/>
          <w:tab w:val="left" w:pos="1695"/>
          <w:tab w:val="left" w:pos="2126"/>
          <w:tab w:val="left" w:pos="2557"/>
        </w:tabs>
        <w:ind w:left="1610" w:right="1264" w:hanging="778"/>
      </w:pPr>
      <w:r>
        <w:rPr>
          <w:rFonts w:hint="eastAsia"/>
        </w:rPr>
        <w:tab/>
      </w:r>
      <w:r w:rsidRPr="007B3C23">
        <w:rPr>
          <w:rFonts w:ascii="黑体" w:eastAsia="黑体" w:hAnsi="黑体" w:hint="eastAsia"/>
        </w:rPr>
        <w:t>第6条草案</w:t>
      </w:r>
      <w:r w:rsidRPr="007B3C23">
        <w:rPr>
          <w:rFonts w:ascii="黑体" w:eastAsia="黑体" w:hAnsi="黑体"/>
        </w:rPr>
        <w:br/>
      </w:r>
      <w:r w:rsidRPr="007B3C23">
        <w:rPr>
          <w:rFonts w:ascii="黑体" w:eastAsia="黑体" w:hAnsi="黑体" w:hint="eastAsia"/>
        </w:rPr>
        <w:t>属事豁免的范围</w:t>
      </w:r>
    </w:p>
    <w:p w:rsidR="00F60D83" w:rsidRDefault="00F60D83" w:rsidP="0024013B">
      <w:pPr>
        <w:pStyle w:val="a5"/>
        <w:tabs>
          <w:tab w:val="clear" w:pos="418"/>
          <w:tab w:val="left" w:pos="1985"/>
        </w:tabs>
        <w:ind w:left="1610" w:right="1264" w:hanging="778"/>
      </w:pPr>
      <w:r>
        <w:rPr>
          <w:rFonts w:hint="eastAsia"/>
        </w:rPr>
        <w:tab/>
        <w:t>1.</w:t>
      </w:r>
      <w:r>
        <w:rPr>
          <w:rFonts w:hint="eastAsia"/>
        </w:rPr>
        <w:tab/>
      </w:r>
      <w:r>
        <w:rPr>
          <w:rFonts w:hint="eastAsia"/>
        </w:rPr>
        <w:t>国家官员只有在以官方身份实施的行为方面享有属事豁免。</w:t>
      </w:r>
    </w:p>
    <w:p w:rsidR="00F60D83" w:rsidRDefault="00F60D83" w:rsidP="0024013B">
      <w:pPr>
        <w:pStyle w:val="a5"/>
        <w:tabs>
          <w:tab w:val="clear" w:pos="418"/>
          <w:tab w:val="left" w:pos="1985"/>
        </w:tabs>
        <w:ind w:left="1610" w:right="1264" w:hanging="778"/>
      </w:pPr>
      <w:r>
        <w:rPr>
          <w:rFonts w:hint="eastAsia"/>
        </w:rPr>
        <w:tab/>
        <w:t>2.</w:t>
      </w:r>
      <w:r>
        <w:rPr>
          <w:rFonts w:hint="eastAsia"/>
        </w:rPr>
        <w:tab/>
      </w:r>
      <w:r>
        <w:rPr>
          <w:rFonts w:hint="eastAsia"/>
        </w:rPr>
        <w:t>对以官方身份实施的行为的属事豁免在所涉个人不再担任国家官员后继续存在。</w:t>
      </w:r>
    </w:p>
    <w:p w:rsidR="00F60D83" w:rsidRDefault="00F60D83" w:rsidP="0024013B">
      <w:pPr>
        <w:pStyle w:val="a5"/>
        <w:tabs>
          <w:tab w:val="clear" w:pos="418"/>
          <w:tab w:val="left" w:pos="1985"/>
        </w:tabs>
        <w:ind w:left="1610" w:right="1264" w:hanging="778"/>
      </w:pPr>
      <w:r>
        <w:rPr>
          <w:rFonts w:hint="eastAsia"/>
        </w:rPr>
        <w:tab/>
        <w:t>3.</w:t>
      </w:r>
      <w:r>
        <w:rPr>
          <w:rFonts w:hint="eastAsia"/>
        </w:rPr>
        <w:tab/>
      </w:r>
      <w:r>
        <w:rPr>
          <w:rFonts w:hint="eastAsia"/>
        </w:rPr>
        <w:t>根据第</w:t>
      </w:r>
      <w:r>
        <w:rPr>
          <w:rFonts w:hint="eastAsia"/>
        </w:rPr>
        <w:t>4</w:t>
      </w:r>
      <w:r>
        <w:rPr>
          <w:rFonts w:hint="eastAsia"/>
        </w:rPr>
        <w:t>条草案享有属事豁免的个人任期届满后，继续就任期之内以官方身份实施的行为享有豁免。</w:t>
      </w:r>
    </w:p>
  </w:footnote>
  <w:footnote w:id="391">
    <w:p w:rsidR="00F60D83" w:rsidRPr="00A21AC2" w:rsidRDefault="00F60D83" w:rsidP="003F1277">
      <w:pPr>
        <w:pStyle w:val="a5"/>
        <w:tabs>
          <w:tab w:val="clear" w:pos="418"/>
          <w:tab w:val="right" w:pos="1195"/>
          <w:tab w:val="left" w:pos="1264"/>
          <w:tab w:val="left" w:pos="1695"/>
          <w:tab w:val="left" w:pos="2126"/>
          <w:tab w:val="left" w:pos="2557"/>
        </w:tabs>
        <w:ind w:left="1264" w:right="1264" w:hanging="432"/>
        <w:rPr>
          <w:sz w:val="21"/>
          <w:szCs w:val="21"/>
          <w:lang w:val="fr-CH"/>
        </w:rPr>
      </w:pPr>
      <w:r>
        <w:rPr>
          <w:rStyle w:val="shorttext"/>
          <w:rFonts w:eastAsia="楷体" w:hint="eastAsia"/>
          <w:lang w:val="fr-CH"/>
        </w:rPr>
        <w:tab/>
      </w:r>
      <w:r w:rsidRPr="00262A30">
        <w:rPr>
          <w:rStyle w:val="a3"/>
          <w:rFonts w:eastAsia="楷体"/>
          <w:color w:val="0000FF"/>
        </w:rPr>
        <w:footnoteRef/>
      </w:r>
      <w:r>
        <w:rPr>
          <w:rStyle w:val="shorttext"/>
          <w:rFonts w:eastAsia="楷体" w:hint="eastAsia"/>
          <w:lang w:val="fr-CH"/>
        </w:rPr>
        <w:tab/>
      </w:r>
      <w:r w:rsidRPr="00053C49">
        <w:rPr>
          <w:rStyle w:val="shorttext"/>
          <w:rFonts w:eastAsia="楷体" w:hint="eastAsia"/>
          <w:lang w:val="fr-CH"/>
        </w:rPr>
        <w:t>2000</w:t>
      </w:r>
      <w:r w:rsidRPr="00053C49">
        <w:rPr>
          <w:rStyle w:val="shorttext"/>
          <w:rFonts w:eastAsia="楷体" w:hint="eastAsia"/>
        </w:rPr>
        <w:t>年</w:t>
      </w:r>
      <w:r w:rsidRPr="00053C49">
        <w:rPr>
          <w:rStyle w:val="shorttext"/>
          <w:rFonts w:eastAsia="楷体" w:hint="eastAsia"/>
          <w:lang w:val="fr-CH"/>
        </w:rPr>
        <w:t>4</w:t>
      </w:r>
      <w:r w:rsidRPr="00053C49">
        <w:rPr>
          <w:rStyle w:val="shorttext"/>
          <w:rFonts w:eastAsia="楷体" w:hint="eastAsia"/>
        </w:rPr>
        <w:t>月</w:t>
      </w:r>
      <w:r w:rsidRPr="00053C49">
        <w:rPr>
          <w:rStyle w:val="shorttext"/>
          <w:rFonts w:eastAsia="楷体" w:hint="eastAsia"/>
          <w:lang w:val="fr-CH"/>
        </w:rPr>
        <w:t>11</w:t>
      </w:r>
      <w:r w:rsidRPr="00053C49">
        <w:rPr>
          <w:rStyle w:val="shorttext"/>
          <w:rFonts w:eastAsia="楷体" w:hint="eastAsia"/>
        </w:rPr>
        <w:t>日“</w:t>
      </w:r>
      <w:r>
        <w:rPr>
          <w:rStyle w:val="shorttext"/>
          <w:rFonts w:eastAsia="楷体" w:hint="eastAsia"/>
          <w:lang w:val="fr-CH"/>
        </w:rPr>
        <w:t>逮捕证</w:t>
      </w:r>
      <w:r w:rsidRPr="00053C49">
        <w:rPr>
          <w:rStyle w:val="shorttext"/>
          <w:rFonts w:eastAsia="楷体" w:hint="eastAsia"/>
          <w:lang w:val="fr-CH"/>
        </w:rPr>
        <w:t>案”（</w:t>
      </w:r>
      <w:r w:rsidRPr="00053C49">
        <w:rPr>
          <w:rStyle w:val="shorttext"/>
          <w:rFonts w:eastAsia="楷体" w:hint="eastAsia"/>
        </w:rPr>
        <w:t>刚果民主共和国诉比利时</w:t>
      </w:r>
      <w:r w:rsidRPr="00053C49">
        <w:rPr>
          <w:rStyle w:val="shorttext"/>
          <w:rFonts w:eastAsia="楷体" w:hint="eastAsia"/>
          <w:lang w:val="fr-CH"/>
        </w:rPr>
        <w:t>）的</w:t>
      </w:r>
      <w:r w:rsidRPr="00053C49">
        <w:rPr>
          <w:rStyle w:val="shorttext"/>
          <w:rFonts w:eastAsia="楷体" w:hint="eastAsia"/>
        </w:rPr>
        <w:t>判决</w:t>
      </w:r>
      <w:r w:rsidRPr="00053C49">
        <w:rPr>
          <w:rStyle w:val="shorttext"/>
          <w:rFonts w:eastAsia="楷体" w:hint="eastAsia"/>
          <w:lang w:val="fr-CH"/>
        </w:rPr>
        <w:t>，</w:t>
      </w:r>
      <w:r>
        <w:rPr>
          <w:rStyle w:val="shorttext"/>
          <w:rFonts w:eastAsia="楷体" w:hint="eastAsia"/>
          <w:lang w:val="fr-CH"/>
        </w:rPr>
        <w:t>《</w:t>
      </w:r>
      <w:r w:rsidRPr="00053C49">
        <w:rPr>
          <w:rStyle w:val="shorttext"/>
          <w:rFonts w:eastAsia="楷体" w:hint="eastAsia"/>
          <w:lang w:val="fr-CH"/>
        </w:rPr>
        <w:t>2002</w:t>
      </w:r>
      <w:r>
        <w:rPr>
          <w:rStyle w:val="shorttext"/>
          <w:rFonts w:eastAsia="楷体" w:hint="eastAsia"/>
        </w:rPr>
        <w:t>年国际法院案例汇编》</w:t>
      </w:r>
      <w:r w:rsidRPr="00053C49">
        <w:rPr>
          <w:rStyle w:val="shorttext"/>
          <w:rFonts w:eastAsia="楷体" w:hint="eastAsia"/>
          <w:lang w:val="fr-CH"/>
        </w:rPr>
        <w:t>，</w:t>
      </w:r>
      <w:r>
        <w:rPr>
          <w:rStyle w:val="shorttext"/>
          <w:rFonts w:eastAsia="楷体" w:hint="eastAsia"/>
        </w:rPr>
        <w:t>第</w:t>
      </w:r>
      <w:r w:rsidRPr="00053C49">
        <w:rPr>
          <w:rStyle w:val="shorttext"/>
          <w:rFonts w:eastAsia="楷体"/>
        </w:rPr>
        <w:t>3</w:t>
      </w:r>
      <w:r>
        <w:rPr>
          <w:rStyle w:val="shorttext"/>
          <w:rFonts w:eastAsia="楷体" w:hint="eastAsia"/>
        </w:rPr>
        <w:t>页</w:t>
      </w:r>
      <w:r w:rsidRPr="00053C49">
        <w:rPr>
          <w:rStyle w:val="shorttext"/>
          <w:rFonts w:eastAsia="楷体" w:hint="eastAsia"/>
        </w:rPr>
        <w:t>。</w:t>
      </w:r>
    </w:p>
  </w:footnote>
  <w:footnote w:id="392">
    <w:p w:rsidR="00F60D83" w:rsidRPr="00364C80" w:rsidRDefault="00F60D83" w:rsidP="003F1277">
      <w:pPr>
        <w:pStyle w:val="a5"/>
        <w:tabs>
          <w:tab w:val="clear" w:pos="418"/>
          <w:tab w:val="right" w:pos="1195"/>
          <w:tab w:val="left" w:pos="1264"/>
          <w:tab w:val="left" w:pos="1695"/>
          <w:tab w:val="left" w:pos="2126"/>
          <w:tab w:val="left" w:pos="2557"/>
        </w:tabs>
        <w:ind w:left="1264" w:right="1264" w:hanging="432"/>
        <w:rPr>
          <w:rFonts w:eastAsia="楷体"/>
        </w:rPr>
      </w:pPr>
      <w:r>
        <w:rPr>
          <w:rStyle w:val="shorttext"/>
          <w:rFonts w:eastAsia="楷体" w:hint="eastAsia"/>
          <w:lang w:val="fr-CH"/>
        </w:rPr>
        <w:tab/>
      </w:r>
      <w:r w:rsidRPr="00262A30">
        <w:rPr>
          <w:rStyle w:val="a3"/>
          <w:rFonts w:eastAsia="楷体"/>
          <w:color w:val="0000FF"/>
        </w:rPr>
        <w:footnoteRef/>
      </w:r>
      <w:r>
        <w:rPr>
          <w:rStyle w:val="shorttext"/>
          <w:rFonts w:eastAsia="楷体" w:hint="eastAsia"/>
          <w:lang w:val="fr-CH"/>
        </w:rPr>
        <w:tab/>
      </w:r>
      <w:r>
        <w:rPr>
          <w:rStyle w:val="shorttext"/>
          <w:rFonts w:eastAsia="楷体" w:hint="eastAsia"/>
          <w:lang w:val="fr-CH"/>
        </w:rPr>
        <w:t>“</w:t>
      </w:r>
      <w:r w:rsidRPr="00A21AC2">
        <w:t>刑事事项互助的若干问题案</w:t>
      </w:r>
      <w:r>
        <w:rPr>
          <w:rFonts w:hint="eastAsia"/>
        </w:rPr>
        <w:t>”</w:t>
      </w:r>
      <w:r w:rsidRPr="00A21AC2">
        <w:t>(</w:t>
      </w:r>
      <w:r w:rsidRPr="00A21AC2">
        <w:t>吉布提诉法国</w:t>
      </w:r>
      <w:r w:rsidRPr="00A21AC2">
        <w:t>)</w:t>
      </w:r>
      <w:r>
        <w:rPr>
          <w:rFonts w:hint="eastAsia"/>
        </w:rPr>
        <w:t>的判决</w:t>
      </w:r>
      <w:r w:rsidRPr="00A21AC2">
        <w:rPr>
          <w:rStyle w:val="shorttext"/>
          <w:rFonts w:eastAsia="楷体" w:hint="eastAsia"/>
          <w:lang w:val="fr-CH"/>
        </w:rPr>
        <w:t>，</w:t>
      </w:r>
      <w:r>
        <w:rPr>
          <w:rStyle w:val="shorttext"/>
          <w:rFonts w:eastAsia="楷体" w:hint="eastAsia"/>
          <w:lang w:val="fr-CH"/>
        </w:rPr>
        <w:t>《</w:t>
      </w:r>
      <w:r w:rsidRPr="00A21AC2">
        <w:rPr>
          <w:rStyle w:val="shorttext"/>
          <w:rFonts w:eastAsia="楷体" w:hint="eastAsia"/>
          <w:lang w:val="fr-CH"/>
        </w:rPr>
        <w:t>2008</w:t>
      </w:r>
      <w:r>
        <w:rPr>
          <w:rStyle w:val="shorttext"/>
          <w:rFonts w:eastAsia="楷体" w:hint="eastAsia"/>
        </w:rPr>
        <w:t>年国际法院案例汇编》</w:t>
      </w:r>
      <w:r w:rsidRPr="00A21AC2">
        <w:rPr>
          <w:rStyle w:val="shorttext"/>
          <w:rFonts w:eastAsia="楷体" w:hint="eastAsia"/>
          <w:lang w:val="fr-CH"/>
        </w:rPr>
        <w:t>，</w:t>
      </w:r>
      <w:r w:rsidRPr="005A1839">
        <w:rPr>
          <w:rFonts w:hint="eastAsia"/>
        </w:rPr>
        <w:t>第</w:t>
      </w:r>
      <w:r w:rsidRPr="00A21AC2">
        <w:rPr>
          <w:lang w:val="fr-CH"/>
        </w:rPr>
        <w:t>177</w:t>
      </w:r>
      <w:r>
        <w:rPr>
          <w:rFonts w:hint="eastAsia"/>
          <w:lang w:val="fr-CH"/>
        </w:rPr>
        <w:t>页</w:t>
      </w:r>
      <w:r w:rsidRPr="00A21AC2">
        <w:rPr>
          <w:rStyle w:val="shorttext"/>
          <w:rFonts w:eastAsia="楷体" w:hint="eastAsia"/>
        </w:rPr>
        <w:t>。</w:t>
      </w:r>
    </w:p>
  </w:footnote>
  <w:footnote w:id="393">
    <w:p w:rsidR="00F60D83" w:rsidRPr="00037A8D" w:rsidRDefault="00F60D83" w:rsidP="003F1277">
      <w:pPr>
        <w:pStyle w:val="a5"/>
        <w:tabs>
          <w:tab w:val="clear" w:pos="418"/>
          <w:tab w:val="right" w:pos="1195"/>
          <w:tab w:val="left" w:pos="1264"/>
          <w:tab w:val="left" w:pos="1695"/>
          <w:tab w:val="left" w:pos="2126"/>
          <w:tab w:val="left" w:pos="2557"/>
        </w:tabs>
        <w:ind w:left="1264" w:right="1264" w:hanging="432"/>
      </w:pPr>
      <w:r>
        <w:rPr>
          <w:rFonts w:hint="eastAsia"/>
        </w:rPr>
        <w:tab/>
      </w:r>
      <w:r w:rsidRPr="00262A30">
        <w:rPr>
          <w:rStyle w:val="a3"/>
          <w:color w:val="0000FF"/>
        </w:rPr>
        <w:footnoteRef/>
      </w:r>
      <w:r>
        <w:rPr>
          <w:rFonts w:hint="eastAsia"/>
        </w:rPr>
        <w:tab/>
      </w:r>
      <w:r w:rsidRPr="00053C49">
        <w:rPr>
          <w:rStyle w:val="shorttext"/>
          <w:rFonts w:eastAsia="楷体" w:hint="eastAsia"/>
          <w:lang w:val="fr-CH"/>
        </w:rPr>
        <w:t>2000</w:t>
      </w:r>
      <w:r w:rsidRPr="00053C49">
        <w:rPr>
          <w:rStyle w:val="shorttext"/>
          <w:rFonts w:eastAsia="楷体" w:hint="eastAsia"/>
        </w:rPr>
        <w:t>年</w:t>
      </w:r>
      <w:r w:rsidRPr="00053C49">
        <w:rPr>
          <w:rStyle w:val="shorttext"/>
          <w:rFonts w:eastAsia="楷体" w:hint="eastAsia"/>
          <w:lang w:val="fr-CH"/>
        </w:rPr>
        <w:t>4</w:t>
      </w:r>
      <w:r w:rsidRPr="00053C49">
        <w:rPr>
          <w:rStyle w:val="shorttext"/>
          <w:rFonts w:eastAsia="楷体" w:hint="eastAsia"/>
        </w:rPr>
        <w:t>月</w:t>
      </w:r>
      <w:r w:rsidRPr="00053C49">
        <w:rPr>
          <w:rStyle w:val="shorttext"/>
          <w:rFonts w:eastAsia="楷体" w:hint="eastAsia"/>
          <w:lang w:val="fr-CH"/>
        </w:rPr>
        <w:t>11</w:t>
      </w:r>
      <w:r w:rsidRPr="00053C49">
        <w:rPr>
          <w:rStyle w:val="shorttext"/>
          <w:rFonts w:eastAsia="楷体" w:hint="eastAsia"/>
        </w:rPr>
        <w:t>日“</w:t>
      </w:r>
      <w:r>
        <w:rPr>
          <w:rStyle w:val="shorttext"/>
          <w:rFonts w:eastAsia="楷体" w:hint="eastAsia"/>
          <w:lang w:val="fr-CH"/>
        </w:rPr>
        <w:t>逮捕证</w:t>
      </w:r>
      <w:r w:rsidRPr="00053C49">
        <w:rPr>
          <w:rStyle w:val="shorttext"/>
          <w:rFonts w:eastAsia="楷体" w:hint="eastAsia"/>
          <w:lang w:val="fr-CH"/>
        </w:rPr>
        <w:t>案”（</w:t>
      </w:r>
      <w:r w:rsidRPr="00053C49">
        <w:rPr>
          <w:rStyle w:val="shorttext"/>
          <w:rFonts w:eastAsia="楷体" w:hint="eastAsia"/>
        </w:rPr>
        <w:t>刚果民主共和国诉比利时</w:t>
      </w:r>
      <w:r w:rsidRPr="00053C49">
        <w:rPr>
          <w:rStyle w:val="shorttext"/>
          <w:rFonts w:eastAsia="楷体" w:hint="eastAsia"/>
          <w:lang w:val="fr-CH"/>
        </w:rPr>
        <w:t>）的</w:t>
      </w:r>
      <w:r w:rsidRPr="00053C49">
        <w:rPr>
          <w:rStyle w:val="shorttext"/>
          <w:rFonts w:eastAsia="楷体" w:hint="eastAsia"/>
        </w:rPr>
        <w:t>判决</w:t>
      </w:r>
      <w:r w:rsidRPr="00053C49">
        <w:rPr>
          <w:rStyle w:val="shorttext"/>
          <w:rFonts w:eastAsia="楷体" w:hint="eastAsia"/>
          <w:lang w:val="fr-CH"/>
        </w:rPr>
        <w:t>，</w:t>
      </w:r>
      <w:r>
        <w:rPr>
          <w:rStyle w:val="shorttext"/>
          <w:rFonts w:eastAsia="楷体" w:hint="eastAsia"/>
          <w:lang w:val="fr-CH"/>
        </w:rPr>
        <w:t>《</w:t>
      </w:r>
      <w:r w:rsidRPr="00053C49">
        <w:rPr>
          <w:rStyle w:val="shorttext"/>
          <w:rFonts w:eastAsia="楷体" w:hint="eastAsia"/>
          <w:lang w:val="fr-CH"/>
        </w:rPr>
        <w:t>2002</w:t>
      </w:r>
      <w:r>
        <w:rPr>
          <w:rStyle w:val="shorttext"/>
          <w:rFonts w:eastAsia="楷体" w:hint="eastAsia"/>
        </w:rPr>
        <w:t>年国际法院案例汇编》</w:t>
      </w:r>
      <w:r w:rsidRPr="00053C49">
        <w:rPr>
          <w:rStyle w:val="shorttext"/>
          <w:rFonts w:eastAsia="楷体" w:hint="eastAsia"/>
          <w:lang w:val="fr-CH"/>
        </w:rPr>
        <w:t>，</w:t>
      </w:r>
      <w:r w:rsidRPr="00D713CB">
        <w:rPr>
          <w:rFonts w:hint="eastAsia"/>
          <w:noProof w:val="0"/>
          <w:szCs w:val="18"/>
        </w:rPr>
        <w:t>第</w:t>
      </w:r>
      <w:r w:rsidRPr="00D713CB">
        <w:rPr>
          <w:rFonts w:hint="eastAsia"/>
          <w:noProof w:val="0"/>
          <w:szCs w:val="18"/>
        </w:rPr>
        <w:t>2</w:t>
      </w:r>
      <w:r w:rsidRPr="00D713CB">
        <w:rPr>
          <w:rFonts w:hint="eastAsia"/>
          <w:noProof w:val="0"/>
          <w:szCs w:val="18"/>
        </w:rPr>
        <w:t>页起，见第</w:t>
      </w:r>
      <w:r w:rsidRPr="00D713CB">
        <w:rPr>
          <w:rFonts w:hint="eastAsia"/>
          <w:noProof w:val="0"/>
          <w:szCs w:val="18"/>
        </w:rPr>
        <w:t>89</w:t>
      </w:r>
      <w:r w:rsidRPr="00D713CB">
        <w:rPr>
          <w:rFonts w:hint="eastAsia"/>
          <w:noProof w:val="0"/>
          <w:szCs w:val="18"/>
        </w:rPr>
        <w:t>页，第</w:t>
      </w:r>
      <w:r w:rsidRPr="00D713CB">
        <w:rPr>
          <w:rFonts w:hint="eastAsia"/>
          <w:noProof w:val="0"/>
          <w:szCs w:val="18"/>
        </w:rPr>
        <w:t>85</w:t>
      </w:r>
      <w:r w:rsidRPr="00D713CB">
        <w:rPr>
          <w:rFonts w:hint="eastAsia"/>
          <w:noProof w:val="0"/>
          <w:szCs w:val="18"/>
        </w:rPr>
        <w:t>段。</w:t>
      </w:r>
    </w:p>
  </w:footnote>
  <w:footnote w:id="394">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特别报告员提出的案文如下：</w:t>
      </w:r>
    </w:p>
    <w:p w:rsidR="00F60D83" w:rsidRPr="00954933" w:rsidRDefault="00F60D83" w:rsidP="00135334">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准则草案1</w:t>
      </w:r>
    </w:p>
    <w:p w:rsidR="00F60D83" w:rsidRDefault="00F60D83" w:rsidP="00135334">
      <w:pPr>
        <w:pStyle w:val="a5"/>
        <w:tabs>
          <w:tab w:val="clear" w:pos="418"/>
          <w:tab w:val="left" w:pos="1695"/>
          <w:tab w:val="left" w:pos="2126"/>
          <w:tab w:val="left" w:pos="2557"/>
        </w:tabs>
        <w:ind w:left="1624" w:right="1264" w:firstLine="361"/>
      </w:pPr>
      <w:r>
        <w:rPr>
          <w:rFonts w:hint="eastAsia"/>
        </w:rPr>
        <w:t>如条约本身有相关规定或缔约方以某种其他方式已商定，国家和国际组织可暂时适用条约或其部分条款，前提是国家的国内法或国际组织的规则不禁止暂时适用。</w:t>
      </w:r>
    </w:p>
    <w:p w:rsidR="00F60D83" w:rsidRPr="00954933" w:rsidRDefault="00F60D83" w:rsidP="00135334">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w:t>
      </w:r>
      <w:r w:rsidRPr="00135334">
        <w:rPr>
          <w:rFonts w:hint="eastAsia"/>
        </w:rPr>
        <w:t>草案</w:t>
      </w:r>
      <w:r w:rsidRPr="00954933">
        <w:rPr>
          <w:rFonts w:ascii="黑体" w:eastAsia="黑体" w:hAnsi="黑体" w:hint="eastAsia"/>
        </w:rPr>
        <w:t>2</w:t>
      </w:r>
    </w:p>
    <w:p w:rsidR="00F60D83" w:rsidRDefault="00F60D83" w:rsidP="00135334">
      <w:pPr>
        <w:pStyle w:val="a5"/>
        <w:tabs>
          <w:tab w:val="clear" w:pos="418"/>
          <w:tab w:val="left" w:pos="1695"/>
          <w:tab w:val="left" w:pos="2126"/>
          <w:tab w:val="left" w:pos="2557"/>
        </w:tabs>
        <w:ind w:left="1624" w:right="1264" w:firstLine="361"/>
      </w:pPr>
      <w:r>
        <w:rPr>
          <w:rFonts w:hint="eastAsia"/>
        </w:rPr>
        <w:t>关于条约或其部分条款暂时适用的商定意见，可源于条约条款，亦可根据单独协定或利用国际会议通过决议等其他手段或根据国家或国际组织之间的其他安排予以确立。</w:t>
      </w:r>
    </w:p>
    <w:p w:rsidR="00F60D83" w:rsidRPr="00954933" w:rsidRDefault="00F60D83" w:rsidP="00135334">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准则草案3</w:t>
      </w:r>
    </w:p>
    <w:p w:rsidR="00F60D83" w:rsidRDefault="00F60D83" w:rsidP="00135334">
      <w:pPr>
        <w:pStyle w:val="a5"/>
        <w:tabs>
          <w:tab w:val="clear" w:pos="418"/>
          <w:tab w:val="left" w:pos="1695"/>
          <w:tab w:val="left" w:pos="2126"/>
          <w:tab w:val="left" w:pos="2557"/>
        </w:tabs>
        <w:ind w:left="1624" w:right="1264" w:firstLine="361"/>
      </w:pPr>
      <w:r>
        <w:rPr>
          <w:rFonts w:hint="eastAsia"/>
        </w:rPr>
        <w:t>考虑到条约条款或谈判国或谈判国际组织商定的条款，条约可从签署、批准、加入或接受之时或者从国家或国际组织商定的其他任何时间开始暂时适用。</w:t>
      </w:r>
    </w:p>
    <w:p w:rsidR="00F60D83" w:rsidRPr="00954933" w:rsidRDefault="00F60D83" w:rsidP="00135334">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w:t>
      </w:r>
      <w:r w:rsidRPr="00135334">
        <w:rPr>
          <w:rFonts w:hint="eastAsia"/>
        </w:rPr>
        <w:t>草案</w:t>
      </w:r>
      <w:r w:rsidRPr="00954933">
        <w:rPr>
          <w:rFonts w:ascii="黑体" w:eastAsia="黑体" w:hAnsi="黑体" w:hint="eastAsia"/>
        </w:rPr>
        <w:t>4</w:t>
      </w:r>
    </w:p>
    <w:p w:rsidR="00F60D83" w:rsidRDefault="00F60D83" w:rsidP="00135334">
      <w:pPr>
        <w:pStyle w:val="a5"/>
        <w:tabs>
          <w:tab w:val="clear" w:pos="418"/>
          <w:tab w:val="left" w:pos="1695"/>
          <w:tab w:val="left" w:pos="2126"/>
          <w:tab w:val="left" w:pos="2557"/>
        </w:tabs>
        <w:ind w:left="1624" w:right="1264" w:firstLine="361"/>
      </w:pPr>
      <w:r>
        <w:rPr>
          <w:rFonts w:hint="eastAsia"/>
        </w:rPr>
        <w:t>条约的暂时适用具有法律效果。</w:t>
      </w:r>
    </w:p>
    <w:p w:rsidR="00F60D83" w:rsidRPr="00954933" w:rsidRDefault="00F60D83" w:rsidP="00135334">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准则草案5</w:t>
      </w:r>
    </w:p>
    <w:p w:rsidR="00F60D83" w:rsidRDefault="00F60D83" w:rsidP="000838A5">
      <w:pPr>
        <w:pStyle w:val="a5"/>
        <w:tabs>
          <w:tab w:val="clear" w:pos="418"/>
          <w:tab w:val="left" w:pos="1695"/>
          <w:tab w:val="left" w:pos="2126"/>
          <w:tab w:val="left" w:pos="2557"/>
        </w:tabs>
        <w:ind w:left="1624" w:right="1264" w:firstLine="361"/>
      </w:pPr>
      <w:r>
        <w:rPr>
          <w:rFonts w:hint="eastAsia"/>
        </w:rPr>
        <w:t>因暂时适用条约或其部分条款而产生的义务一直延续至：</w:t>
      </w:r>
      <w:r>
        <w:rPr>
          <w:rFonts w:hint="eastAsia"/>
        </w:rPr>
        <w:t>(</w:t>
      </w:r>
      <w:r>
        <w:rPr>
          <w:rFonts w:hint="eastAsia"/>
        </w:rPr>
        <w:t>一</w:t>
      </w:r>
      <w:r>
        <w:rPr>
          <w:rFonts w:hint="eastAsia"/>
        </w:rPr>
        <w:t xml:space="preserve">) </w:t>
      </w:r>
      <w:r>
        <w:rPr>
          <w:rFonts w:hint="eastAsia"/>
        </w:rPr>
        <w:t>条约生效；或</w:t>
      </w:r>
      <w:r>
        <w:rPr>
          <w:rFonts w:hint="eastAsia"/>
        </w:rPr>
        <w:t>(</w:t>
      </w:r>
      <w:r>
        <w:rPr>
          <w:rFonts w:hint="eastAsia"/>
        </w:rPr>
        <w:t>二</w:t>
      </w:r>
      <w:r>
        <w:rPr>
          <w:rFonts w:hint="eastAsia"/>
        </w:rPr>
        <w:t xml:space="preserve">) </w:t>
      </w:r>
      <w:r>
        <w:rPr>
          <w:rFonts w:hint="eastAsia"/>
        </w:rPr>
        <w:t>酌情根据《维也纳条约法公约》第二十五条第二款或《关于国家和国际组织间或国际组织相互间条约法的维也纳公约》第二十五条第二款，暂时适用被终止。</w:t>
      </w:r>
    </w:p>
    <w:p w:rsidR="00F60D83" w:rsidRPr="00954933" w:rsidRDefault="00F60D83" w:rsidP="000838A5">
      <w:pPr>
        <w:pStyle w:val="a5"/>
        <w:tabs>
          <w:tab w:val="clear" w:pos="418"/>
          <w:tab w:val="left" w:pos="2126"/>
          <w:tab w:val="left" w:pos="2557"/>
        </w:tabs>
        <w:ind w:left="1610" w:right="1264" w:hanging="778"/>
        <w:rPr>
          <w:rFonts w:ascii="黑体" w:eastAsia="黑体" w:hAnsi="黑体"/>
        </w:rPr>
      </w:pPr>
      <w:r>
        <w:rPr>
          <w:rFonts w:hint="eastAsia"/>
        </w:rPr>
        <w:tab/>
      </w:r>
      <w:r w:rsidRPr="00954933">
        <w:rPr>
          <w:rFonts w:ascii="黑体" w:eastAsia="黑体" w:hAnsi="黑体" w:hint="eastAsia"/>
        </w:rPr>
        <w:t>准则草案6</w:t>
      </w:r>
    </w:p>
    <w:p w:rsidR="00F60D83" w:rsidRDefault="00F60D83" w:rsidP="000838A5">
      <w:pPr>
        <w:pStyle w:val="a5"/>
        <w:tabs>
          <w:tab w:val="clear" w:pos="418"/>
          <w:tab w:val="left" w:pos="1695"/>
          <w:tab w:val="left" w:pos="2126"/>
          <w:tab w:val="left" w:pos="2557"/>
        </w:tabs>
        <w:ind w:left="1624" w:right="1264" w:firstLine="361"/>
      </w:pPr>
      <w:r>
        <w:rPr>
          <w:rFonts w:hint="eastAsia"/>
        </w:rPr>
        <w:t>国家或国际组织如违反因暂时适用条约或其部分条款而产生的义务，即应承担国际责任。</w:t>
      </w:r>
    </w:p>
  </w:footnote>
  <w:footnote w:id="395">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954933">
        <w:rPr>
          <w:rFonts w:hint="eastAsia"/>
        </w:rPr>
        <w:t>网址为</w:t>
      </w:r>
      <w:r w:rsidRPr="00954933">
        <w:rPr>
          <w:rFonts w:hint="eastAsia"/>
        </w:rPr>
        <w:t>&lt;http://legal.un.org/ilc&gt;</w:t>
      </w:r>
      <w:r w:rsidRPr="00954933">
        <w:rPr>
          <w:rFonts w:hint="eastAsia"/>
        </w:rPr>
        <w:t>。</w:t>
      </w:r>
    </w:p>
  </w:footnote>
  <w:footnote w:id="396">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规划组成员如下：瓦科先生</w:t>
      </w:r>
      <w:r>
        <w:rPr>
          <w:rFonts w:hint="eastAsia"/>
        </w:rPr>
        <w:t>(</w:t>
      </w:r>
      <w:r>
        <w:rPr>
          <w:rFonts w:hint="eastAsia"/>
        </w:rPr>
        <w:t>主席</w:t>
      </w:r>
      <w:r>
        <w:rPr>
          <w:rFonts w:hint="eastAsia"/>
        </w:rPr>
        <w:t>)</w:t>
      </w:r>
      <w:r>
        <w:rPr>
          <w:rFonts w:hint="eastAsia"/>
        </w:rPr>
        <w:t>、卡弗利施先生、科米萨里奥·阿丰索先生、穆尔塔迪·苏莱曼·古伊德尔先生、埃斯科瓦尔·赫尔南德斯女士、福尔托先生、哈苏纳先生、哈穆德先生、黄先生、雅各布松女士、吉滴猜萨里先生、拉腊巴先生、麦克雷先生、村濑先生、墨菲先生、尼豪斯先生、诺尔特先生、朴先生、彼得里奇先生、斯图尔马先生、特拉迪先生、维斯努穆尔蒂先生、伍德先生、巴斯克斯－贝尔穆德斯先生</w:t>
      </w:r>
      <w:r>
        <w:rPr>
          <w:rFonts w:hint="eastAsia"/>
        </w:rPr>
        <w:t>(</w:t>
      </w:r>
      <w:r>
        <w:rPr>
          <w:rFonts w:hint="eastAsia"/>
        </w:rPr>
        <w:t>当然成员</w:t>
      </w:r>
      <w:r>
        <w:rPr>
          <w:rFonts w:hint="eastAsia"/>
        </w:rPr>
        <w:t>)</w:t>
      </w:r>
      <w:r>
        <w:rPr>
          <w:rFonts w:hint="eastAsia"/>
        </w:rPr>
        <w:t>。</w:t>
      </w:r>
    </w:p>
  </w:footnote>
  <w:footnote w:id="397">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《大会正式记录，第六十四届会议，补编第</w:t>
      </w:r>
      <w:r>
        <w:rPr>
          <w:rFonts w:hint="eastAsia"/>
        </w:rPr>
        <w:t>10</w:t>
      </w:r>
      <w:r>
        <w:rPr>
          <w:rFonts w:hint="eastAsia"/>
        </w:rPr>
        <w:t>号》</w:t>
      </w:r>
      <w:r>
        <w:rPr>
          <w:rFonts w:hint="eastAsia"/>
        </w:rPr>
        <w:t>(A/64/10)</w:t>
      </w:r>
      <w:r>
        <w:rPr>
          <w:rFonts w:hint="eastAsia"/>
        </w:rPr>
        <w:t>，第</w:t>
      </w:r>
      <w:r>
        <w:rPr>
          <w:rFonts w:hint="eastAsia"/>
        </w:rPr>
        <w:t>231</w:t>
      </w:r>
      <w:r>
        <w:rPr>
          <w:rFonts w:hint="eastAsia"/>
        </w:rPr>
        <w:t>段；同上，《第六十五届会议，补编第</w:t>
      </w:r>
      <w:r>
        <w:rPr>
          <w:rFonts w:hint="eastAsia"/>
        </w:rPr>
        <w:t>10</w:t>
      </w:r>
      <w:r>
        <w:rPr>
          <w:rFonts w:hint="eastAsia"/>
        </w:rPr>
        <w:t>号》</w:t>
      </w:r>
      <w:r>
        <w:rPr>
          <w:rFonts w:hint="eastAsia"/>
        </w:rPr>
        <w:t>(A/65/10)</w:t>
      </w:r>
      <w:r>
        <w:rPr>
          <w:rFonts w:hint="eastAsia"/>
        </w:rPr>
        <w:t>，第</w:t>
      </w:r>
      <w:r>
        <w:rPr>
          <w:rFonts w:hint="eastAsia"/>
        </w:rPr>
        <w:t>390</w:t>
      </w:r>
      <w:r>
        <w:rPr>
          <w:rFonts w:hint="eastAsia"/>
        </w:rPr>
        <w:t>至</w:t>
      </w:r>
      <w:r>
        <w:rPr>
          <w:rFonts w:hint="eastAsia"/>
        </w:rPr>
        <w:t>393</w:t>
      </w:r>
      <w:r>
        <w:rPr>
          <w:rFonts w:hint="eastAsia"/>
        </w:rPr>
        <w:t>段；同上，《第六十六届会议，补编第</w:t>
      </w:r>
      <w:r>
        <w:rPr>
          <w:rFonts w:hint="eastAsia"/>
        </w:rPr>
        <w:t>10</w:t>
      </w:r>
      <w:r>
        <w:rPr>
          <w:rFonts w:hint="eastAsia"/>
        </w:rPr>
        <w:t>号》</w:t>
      </w:r>
      <w:r>
        <w:rPr>
          <w:rFonts w:hint="eastAsia"/>
        </w:rPr>
        <w:t>(A/66/10)</w:t>
      </w:r>
      <w:r>
        <w:rPr>
          <w:rFonts w:hint="eastAsia"/>
        </w:rPr>
        <w:t>，第</w:t>
      </w:r>
      <w:r>
        <w:rPr>
          <w:rFonts w:hint="eastAsia"/>
        </w:rPr>
        <w:t>392</w:t>
      </w:r>
      <w:r>
        <w:rPr>
          <w:rFonts w:hint="eastAsia"/>
        </w:rPr>
        <w:t>至</w:t>
      </w:r>
      <w:r>
        <w:rPr>
          <w:rFonts w:hint="eastAsia"/>
        </w:rPr>
        <w:t>398</w:t>
      </w:r>
      <w:r>
        <w:rPr>
          <w:rFonts w:hint="eastAsia"/>
        </w:rPr>
        <w:t>段；同上，《第六十七届会议，补编第</w:t>
      </w:r>
      <w:r>
        <w:rPr>
          <w:rFonts w:hint="eastAsia"/>
        </w:rPr>
        <w:t>10</w:t>
      </w:r>
      <w:r>
        <w:rPr>
          <w:rFonts w:hint="eastAsia"/>
        </w:rPr>
        <w:t>号》</w:t>
      </w:r>
      <w:r>
        <w:rPr>
          <w:rFonts w:hint="eastAsia"/>
        </w:rPr>
        <w:t>(A/67/10)</w:t>
      </w:r>
      <w:r>
        <w:rPr>
          <w:rFonts w:hint="eastAsia"/>
        </w:rPr>
        <w:t>，第</w:t>
      </w:r>
      <w:r>
        <w:rPr>
          <w:rFonts w:hint="eastAsia"/>
        </w:rPr>
        <w:t>274</w:t>
      </w:r>
      <w:r>
        <w:rPr>
          <w:rFonts w:hint="eastAsia"/>
        </w:rPr>
        <w:t>至</w:t>
      </w:r>
      <w:r>
        <w:rPr>
          <w:rFonts w:hint="eastAsia"/>
        </w:rPr>
        <w:t>279</w:t>
      </w:r>
      <w:r>
        <w:rPr>
          <w:rFonts w:hint="eastAsia"/>
        </w:rPr>
        <w:t>段；同上，《第六十八届会议，补编第</w:t>
      </w:r>
      <w:r>
        <w:rPr>
          <w:rFonts w:hint="eastAsia"/>
        </w:rPr>
        <w:t>10</w:t>
      </w:r>
      <w:r>
        <w:rPr>
          <w:rFonts w:hint="eastAsia"/>
        </w:rPr>
        <w:t>号》</w:t>
      </w:r>
      <w:r>
        <w:rPr>
          <w:rFonts w:hint="eastAsia"/>
        </w:rPr>
        <w:t>(A/68/10)</w:t>
      </w:r>
      <w:r>
        <w:rPr>
          <w:rFonts w:hint="eastAsia"/>
        </w:rPr>
        <w:t>，第</w:t>
      </w:r>
      <w:r>
        <w:rPr>
          <w:rFonts w:hint="eastAsia"/>
        </w:rPr>
        <w:t>171</w:t>
      </w:r>
      <w:r>
        <w:rPr>
          <w:rFonts w:hint="eastAsia"/>
        </w:rPr>
        <w:t>至</w:t>
      </w:r>
      <w:r>
        <w:rPr>
          <w:rFonts w:hint="eastAsia"/>
        </w:rPr>
        <w:t>179</w:t>
      </w:r>
      <w:r>
        <w:rPr>
          <w:rFonts w:hint="eastAsia"/>
        </w:rPr>
        <w:t>段；同上，《第六十九届会议，补编第</w:t>
      </w:r>
      <w:r>
        <w:rPr>
          <w:rFonts w:hint="eastAsia"/>
        </w:rPr>
        <w:t>10</w:t>
      </w:r>
      <w:r>
        <w:rPr>
          <w:rFonts w:hint="eastAsia"/>
        </w:rPr>
        <w:t>号》</w:t>
      </w:r>
      <w:r>
        <w:rPr>
          <w:rFonts w:hint="eastAsia"/>
        </w:rPr>
        <w:t>(A/69/10)</w:t>
      </w:r>
      <w:r>
        <w:rPr>
          <w:rFonts w:hint="eastAsia"/>
        </w:rPr>
        <w:t>，第</w:t>
      </w:r>
      <w:r>
        <w:rPr>
          <w:rFonts w:hint="eastAsia"/>
        </w:rPr>
        <w:t>273</w:t>
      </w:r>
      <w:r>
        <w:rPr>
          <w:rFonts w:hint="eastAsia"/>
        </w:rPr>
        <w:t>至</w:t>
      </w:r>
      <w:r>
        <w:rPr>
          <w:rFonts w:hint="eastAsia"/>
        </w:rPr>
        <w:t>280</w:t>
      </w:r>
      <w:r>
        <w:rPr>
          <w:rFonts w:hint="eastAsia"/>
        </w:rPr>
        <w:t>段。</w:t>
      </w:r>
    </w:p>
  </w:footnote>
  <w:footnote w:id="398">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大会</w:t>
      </w:r>
      <w:r>
        <w:rPr>
          <w:rFonts w:hint="eastAsia"/>
        </w:rPr>
        <w:t>2012</w:t>
      </w:r>
      <w:r>
        <w:rPr>
          <w:rFonts w:hint="eastAsia"/>
        </w:rPr>
        <w:t>年</w:t>
      </w:r>
      <w:r>
        <w:rPr>
          <w:rFonts w:hint="eastAsia"/>
        </w:rPr>
        <w:t>11</w:t>
      </w:r>
      <w:r>
        <w:rPr>
          <w:rFonts w:hint="eastAsia"/>
        </w:rPr>
        <w:t>月</w:t>
      </w:r>
      <w:r>
        <w:rPr>
          <w:rFonts w:hint="eastAsia"/>
        </w:rPr>
        <w:t>30</w:t>
      </w:r>
      <w:r>
        <w:rPr>
          <w:rFonts w:hint="eastAsia"/>
        </w:rPr>
        <w:t>日第</w:t>
      </w:r>
      <w:r>
        <w:rPr>
          <w:rFonts w:hint="eastAsia"/>
        </w:rPr>
        <w:t>67/1</w:t>
      </w:r>
      <w:r>
        <w:rPr>
          <w:rFonts w:hint="eastAsia"/>
        </w:rPr>
        <w:t>号决议</w:t>
      </w:r>
      <w:r>
        <w:rPr>
          <w:rFonts w:hint="eastAsia"/>
        </w:rPr>
        <w:t>(</w:t>
      </w:r>
      <w:r>
        <w:rPr>
          <w:rFonts w:hint="eastAsia"/>
        </w:rPr>
        <w:t>《国内和国际的法治问题大会高级别会议宣言》</w:t>
      </w:r>
      <w:r>
        <w:rPr>
          <w:rFonts w:hint="eastAsia"/>
        </w:rPr>
        <w:t>)</w:t>
      </w:r>
      <w:r>
        <w:rPr>
          <w:rFonts w:hint="eastAsia"/>
        </w:rPr>
        <w:t>，</w:t>
      </w:r>
      <w:r>
        <w:rPr>
          <w:rFonts w:hint="eastAsia"/>
        </w:rPr>
        <w:t>A/RES/67/1</w:t>
      </w:r>
      <w:r>
        <w:rPr>
          <w:rFonts w:hint="eastAsia"/>
        </w:rPr>
        <w:t>号文件，第</w:t>
      </w:r>
      <w:r>
        <w:rPr>
          <w:rFonts w:hint="eastAsia"/>
        </w:rPr>
        <w:t>41</w:t>
      </w:r>
      <w:r>
        <w:rPr>
          <w:rFonts w:hint="eastAsia"/>
        </w:rPr>
        <w:t>段。</w:t>
      </w:r>
    </w:p>
  </w:footnote>
  <w:footnote w:id="399">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衡量联合国系统在冲突中和冲突后支持促进法治的效力的秘书长报告，</w:t>
      </w:r>
      <w:r>
        <w:rPr>
          <w:rFonts w:hint="eastAsia"/>
        </w:rPr>
        <w:t>S/2013/341, 2013</w:t>
      </w:r>
      <w:r>
        <w:rPr>
          <w:rFonts w:hint="eastAsia"/>
        </w:rPr>
        <w:t>年</w:t>
      </w:r>
      <w:r>
        <w:rPr>
          <w:rFonts w:hint="eastAsia"/>
        </w:rPr>
        <w:t>6</w:t>
      </w:r>
      <w:r>
        <w:rPr>
          <w:rFonts w:hint="eastAsia"/>
        </w:rPr>
        <w:t>月</w:t>
      </w:r>
      <w:r>
        <w:rPr>
          <w:rFonts w:hint="eastAsia"/>
        </w:rPr>
        <w:t>11</w:t>
      </w:r>
      <w:r>
        <w:rPr>
          <w:rFonts w:hint="eastAsia"/>
        </w:rPr>
        <w:t>日，第</w:t>
      </w:r>
      <w:r>
        <w:rPr>
          <w:rFonts w:hint="eastAsia"/>
        </w:rPr>
        <w:t>70</w:t>
      </w:r>
      <w:r>
        <w:rPr>
          <w:rFonts w:hint="eastAsia"/>
        </w:rPr>
        <w:t>段。</w:t>
      </w:r>
    </w:p>
  </w:footnote>
  <w:footnote w:id="400">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大会</w:t>
      </w:r>
      <w:r>
        <w:rPr>
          <w:rFonts w:hint="eastAsia"/>
        </w:rPr>
        <w:t>2014</w:t>
      </w:r>
      <w:r>
        <w:rPr>
          <w:rFonts w:hint="eastAsia"/>
        </w:rPr>
        <w:t>年</w:t>
      </w:r>
      <w:r>
        <w:rPr>
          <w:rFonts w:hint="eastAsia"/>
        </w:rPr>
        <w:t>12</w:t>
      </w:r>
      <w:r>
        <w:rPr>
          <w:rFonts w:hint="eastAsia"/>
        </w:rPr>
        <w:t>月</w:t>
      </w:r>
      <w:r>
        <w:rPr>
          <w:rFonts w:hint="eastAsia"/>
        </w:rPr>
        <w:t>10</w:t>
      </w:r>
      <w:r>
        <w:rPr>
          <w:rFonts w:hint="eastAsia"/>
        </w:rPr>
        <w:t>日第</w:t>
      </w:r>
      <w:r>
        <w:rPr>
          <w:rFonts w:hint="eastAsia"/>
        </w:rPr>
        <w:t>69/123</w:t>
      </w:r>
      <w:r>
        <w:rPr>
          <w:rFonts w:hint="eastAsia"/>
        </w:rPr>
        <w:t>号决议，第</w:t>
      </w:r>
      <w:r>
        <w:rPr>
          <w:rFonts w:hint="eastAsia"/>
        </w:rPr>
        <w:t>20</w:t>
      </w:r>
      <w:r>
        <w:rPr>
          <w:rFonts w:hint="eastAsia"/>
        </w:rPr>
        <w:t>段。</w:t>
      </w:r>
    </w:p>
  </w:footnote>
  <w:footnote w:id="401">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见《大会正式记录，第五十七届会议，补编第</w:t>
      </w:r>
      <w:r w:rsidRPr="00D55A10">
        <w:rPr>
          <w:rFonts w:hint="eastAsia"/>
        </w:rPr>
        <w:t>10</w:t>
      </w:r>
      <w:r w:rsidRPr="00D55A10">
        <w:rPr>
          <w:rFonts w:hint="eastAsia"/>
        </w:rPr>
        <w:t>号》</w:t>
      </w:r>
      <w:r w:rsidRPr="00D55A10">
        <w:rPr>
          <w:rFonts w:hint="eastAsia"/>
        </w:rPr>
        <w:t>(A/57/10)</w:t>
      </w:r>
      <w:r w:rsidRPr="00D55A10">
        <w:rPr>
          <w:rFonts w:hint="eastAsia"/>
        </w:rPr>
        <w:t>，第</w:t>
      </w:r>
      <w:r w:rsidRPr="00D55A10">
        <w:rPr>
          <w:rFonts w:hint="eastAsia"/>
        </w:rPr>
        <w:t>525</w:t>
      </w:r>
      <w:r w:rsidRPr="00D55A10">
        <w:rPr>
          <w:rFonts w:hint="eastAsia"/>
        </w:rPr>
        <w:t>至</w:t>
      </w:r>
      <w:r w:rsidRPr="00D55A10">
        <w:rPr>
          <w:rFonts w:hint="eastAsia"/>
        </w:rPr>
        <w:t>531</w:t>
      </w:r>
      <w:r w:rsidRPr="00D55A10">
        <w:rPr>
          <w:rFonts w:hint="eastAsia"/>
        </w:rPr>
        <w:t>段；同上，《第五十八届会议，补编第</w:t>
      </w:r>
      <w:r w:rsidRPr="00D55A10">
        <w:rPr>
          <w:rFonts w:hint="eastAsia"/>
        </w:rPr>
        <w:t>10</w:t>
      </w:r>
      <w:r w:rsidRPr="00D55A10">
        <w:rPr>
          <w:rFonts w:hint="eastAsia"/>
        </w:rPr>
        <w:t>号》</w:t>
      </w:r>
      <w:r w:rsidRPr="00D55A10">
        <w:rPr>
          <w:rFonts w:hint="eastAsia"/>
        </w:rPr>
        <w:t>(A/58/10)</w:t>
      </w:r>
      <w:r w:rsidRPr="00D55A10">
        <w:rPr>
          <w:rFonts w:hint="eastAsia"/>
        </w:rPr>
        <w:t>，第</w:t>
      </w:r>
      <w:r w:rsidRPr="00D55A10">
        <w:rPr>
          <w:rFonts w:hint="eastAsia"/>
        </w:rPr>
        <w:t>447</w:t>
      </w:r>
      <w:r w:rsidRPr="00D55A10">
        <w:rPr>
          <w:rFonts w:hint="eastAsia"/>
        </w:rPr>
        <w:t>段；同上，《第五十九届会议，补编第</w:t>
      </w:r>
      <w:r w:rsidRPr="00D55A10">
        <w:rPr>
          <w:rFonts w:hint="eastAsia"/>
        </w:rPr>
        <w:t>10</w:t>
      </w:r>
      <w:r w:rsidRPr="00D55A10">
        <w:rPr>
          <w:rFonts w:hint="eastAsia"/>
        </w:rPr>
        <w:t>号》</w:t>
      </w:r>
      <w:r w:rsidRPr="00D55A10">
        <w:rPr>
          <w:rFonts w:hint="eastAsia"/>
        </w:rPr>
        <w:t>(A/59/10)</w:t>
      </w:r>
      <w:r w:rsidRPr="00D55A10">
        <w:rPr>
          <w:rFonts w:hint="eastAsia"/>
        </w:rPr>
        <w:t>，第</w:t>
      </w:r>
      <w:r w:rsidRPr="00D55A10">
        <w:rPr>
          <w:rFonts w:hint="eastAsia"/>
        </w:rPr>
        <w:t>369</w:t>
      </w:r>
      <w:r w:rsidRPr="00D55A10">
        <w:rPr>
          <w:rFonts w:hint="eastAsia"/>
        </w:rPr>
        <w:t>段；同上，《第六十届会议，补编第</w:t>
      </w:r>
      <w:r w:rsidRPr="00D55A10">
        <w:rPr>
          <w:rFonts w:hint="eastAsia"/>
        </w:rPr>
        <w:t>10</w:t>
      </w:r>
      <w:r w:rsidRPr="00D55A10">
        <w:rPr>
          <w:rFonts w:hint="eastAsia"/>
        </w:rPr>
        <w:t>号》</w:t>
      </w:r>
      <w:r w:rsidRPr="00D55A10">
        <w:rPr>
          <w:rFonts w:hint="eastAsia"/>
        </w:rPr>
        <w:t>(A/60/10)</w:t>
      </w:r>
      <w:r w:rsidRPr="00D55A10">
        <w:rPr>
          <w:rFonts w:hint="eastAsia"/>
        </w:rPr>
        <w:t>，第</w:t>
      </w:r>
      <w:r w:rsidRPr="00D55A10">
        <w:rPr>
          <w:rFonts w:hint="eastAsia"/>
        </w:rPr>
        <w:t>501</w:t>
      </w:r>
      <w:r w:rsidRPr="00D55A10">
        <w:rPr>
          <w:rFonts w:hint="eastAsia"/>
        </w:rPr>
        <w:t>段；同上，《第六十一届会议，补编第</w:t>
      </w:r>
      <w:r w:rsidRPr="00D55A10">
        <w:rPr>
          <w:rFonts w:hint="eastAsia"/>
        </w:rPr>
        <w:t>10</w:t>
      </w:r>
      <w:r w:rsidRPr="00D55A10">
        <w:rPr>
          <w:rFonts w:hint="eastAsia"/>
        </w:rPr>
        <w:t>号》</w:t>
      </w:r>
      <w:r w:rsidRPr="00D55A10">
        <w:rPr>
          <w:rFonts w:hint="eastAsia"/>
        </w:rPr>
        <w:t>(A/61/10)</w:t>
      </w:r>
      <w:r w:rsidRPr="00D55A10">
        <w:rPr>
          <w:rFonts w:hint="eastAsia"/>
        </w:rPr>
        <w:t>，第</w:t>
      </w:r>
      <w:r w:rsidRPr="00D55A10">
        <w:rPr>
          <w:rFonts w:hint="eastAsia"/>
        </w:rPr>
        <w:t>269</w:t>
      </w:r>
      <w:r w:rsidRPr="00D55A10">
        <w:rPr>
          <w:rFonts w:hint="eastAsia"/>
        </w:rPr>
        <w:t>段；同上，《第六十二届会议，补编第</w:t>
      </w:r>
      <w:r w:rsidRPr="00D55A10">
        <w:rPr>
          <w:rFonts w:hint="eastAsia"/>
        </w:rPr>
        <w:t>10</w:t>
      </w:r>
      <w:r w:rsidRPr="00D55A10">
        <w:rPr>
          <w:rFonts w:hint="eastAsia"/>
        </w:rPr>
        <w:t>号》</w:t>
      </w:r>
      <w:r w:rsidRPr="00D55A10">
        <w:rPr>
          <w:rFonts w:hint="eastAsia"/>
        </w:rPr>
        <w:t>(A/62/10)</w:t>
      </w:r>
      <w:r w:rsidRPr="00D55A10">
        <w:rPr>
          <w:rFonts w:hint="eastAsia"/>
        </w:rPr>
        <w:t>，第</w:t>
      </w:r>
      <w:r w:rsidRPr="00D55A10">
        <w:rPr>
          <w:rFonts w:hint="eastAsia"/>
        </w:rPr>
        <w:t>379</w:t>
      </w:r>
      <w:r w:rsidRPr="00D55A10">
        <w:rPr>
          <w:rFonts w:hint="eastAsia"/>
        </w:rPr>
        <w:t>段；同上，《第六十三届会议，补编第</w:t>
      </w:r>
      <w:r w:rsidRPr="00D55A10">
        <w:rPr>
          <w:rFonts w:hint="eastAsia"/>
        </w:rPr>
        <w:t>10</w:t>
      </w:r>
      <w:r w:rsidRPr="00D55A10">
        <w:rPr>
          <w:rFonts w:hint="eastAsia"/>
        </w:rPr>
        <w:t>号》</w:t>
      </w:r>
      <w:r w:rsidRPr="00D55A10">
        <w:rPr>
          <w:rFonts w:hint="eastAsia"/>
        </w:rPr>
        <w:t>(A/63/10)</w:t>
      </w:r>
      <w:r w:rsidRPr="00D55A10">
        <w:rPr>
          <w:rFonts w:hint="eastAsia"/>
        </w:rPr>
        <w:t>，第</w:t>
      </w:r>
      <w:r w:rsidRPr="00D55A10">
        <w:rPr>
          <w:rFonts w:hint="eastAsia"/>
        </w:rPr>
        <w:t>358</w:t>
      </w:r>
      <w:r w:rsidRPr="00D55A10">
        <w:rPr>
          <w:rFonts w:hint="eastAsia"/>
        </w:rPr>
        <w:t>段；同上，《第六十四届会议，补编第</w:t>
      </w:r>
      <w:r w:rsidRPr="00D55A10">
        <w:rPr>
          <w:rFonts w:hint="eastAsia"/>
        </w:rPr>
        <w:t>10</w:t>
      </w:r>
      <w:r w:rsidRPr="00D55A10">
        <w:rPr>
          <w:rFonts w:hint="eastAsia"/>
        </w:rPr>
        <w:t>号》</w:t>
      </w:r>
      <w:r w:rsidRPr="00D55A10">
        <w:rPr>
          <w:rFonts w:hint="eastAsia"/>
        </w:rPr>
        <w:t>(A/64/10)</w:t>
      </w:r>
      <w:r w:rsidRPr="00D55A10">
        <w:rPr>
          <w:rFonts w:hint="eastAsia"/>
        </w:rPr>
        <w:t>，第</w:t>
      </w:r>
      <w:r w:rsidRPr="00D55A10">
        <w:rPr>
          <w:rFonts w:hint="eastAsia"/>
        </w:rPr>
        <w:t>240</w:t>
      </w:r>
      <w:r w:rsidRPr="00D55A10">
        <w:rPr>
          <w:rFonts w:hint="eastAsia"/>
        </w:rPr>
        <w:t>段；同上，《第六十五届会议，补编第</w:t>
      </w:r>
      <w:r w:rsidRPr="00D55A10">
        <w:rPr>
          <w:rFonts w:hint="eastAsia"/>
        </w:rPr>
        <w:t>10</w:t>
      </w:r>
      <w:r w:rsidRPr="00D55A10">
        <w:rPr>
          <w:rFonts w:hint="eastAsia"/>
        </w:rPr>
        <w:t>号》</w:t>
      </w:r>
      <w:r w:rsidRPr="00D55A10">
        <w:rPr>
          <w:rFonts w:hint="eastAsia"/>
        </w:rPr>
        <w:t>(A/65/10)</w:t>
      </w:r>
      <w:r w:rsidRPr="00D55A10">
        <w:rPr>
          <w:rFonts w:hint="eastAsia"/>
        </w:rPr>
        <w:t>，第</w:t>
      </w:r>
      <w:r w:rsidRPr="00D55A10">
        <w:rPr>
          <w:rFonts w:hint="eastAsia"/>
        </w:rPr>
        <w:t>396</w:t>
      </w:r>
      <w:r w:rsidRPr="00D55A10">
        <w:rPr>
          <w:rFonts w:hint="eastAsia"/>
        </w:rPr>
        <w:t>段和同上，《第六十六届会议，补编第</w:t>
      </w:r>
      <w:r w:rsidRPr="00D55A10">
        <w:rPr>
          <w:rFonts w:hint="eastAsia"/>
        </w:rPr>
        <w:t>10</w:t>
      </w:r>
      <w:r w:rsidRPr="00D55A10">
        <w:rPr>
          <w:rFonts w:hint="eastAsia"/>
        </w:rPr>
        <w:t>号》</w:t>
      </w:r>
      <w:r w:rsidRPr="00D55A10">
        <w:rPr>
          <w:rFonts w:hint="eastAsia"/>
        </w:rPr>
        <w:t>(A/66/10)</w:t>
      </w:r>
      <w:r w:rsidRPr="00D55A10">
        <w:rPr>
          <w:rFonts w:hint="eastAsia"/>
        </w:rPr>
        <w:t>，第</w:t>
      </w:r>
      <w:r w:rsidRPr="00D55A10">
        <w:rPr>
          <w:rFonts w:hint="eastAsia"/>
        </w:rPr>
        <w:t>399</w:t>
      </w:r>
      <w:r w:rsidRPr="00D55A10">
        <w:rPr>
          <w:rFonts w:hint="eastAsia"/>
        </w:rPr>
        <w:t>段；同上，《第六十七届会议，补编第</w:t>
      </w:r>
      <w:r w:rsidRPr="00D55A10">
        <w:rPr>
          <w:rFonts w:hint="eastAsia"/>
        </w:rPr>
        <w:t>10</w:t>
      </w:r>
      <w:r w:rsidRPr="00D55A10">
        <w:rPr>
          <w:rFonts w:hint="eastAsia"/>
        </w:rPr>
        <w:t>号》</w:t>
      </w:r>
      <w:r w:rsidRPr="00D55A10">
        <w:rPr>
          <w:rFonts w:hint="eastAsia"/>
        </w:rPr>
        <w:t>(A/67/10)</w:t>
      </w:r>
      <w:r w:rsidRPr="00D55A10">
        <w:rPr>
          <w:rFonts w:hint="eastAsia"/>
        </w:rPr>
        <w:t>，第</w:t>
      </w:r>
      <w:r w:rsidRPr="00D55A10">
        <w:rPr>
          <w:rFonts w:hint="eastAsia"/>
        </w:rPr>
        <w:t>280</w:t>
      </w:r>
      <w:r w:rsidRPr="00D55A10">
        <w:rPr>
          <w:rFonts w:hint="eastAsia"/>
        </w:rPr>
        <w:t>段；同上，《第六十八届会议，补编第</w:t>
      </w:r>
      <w:r w:rsidRPr="00D55A10">
        <w:rPr>
          <w:rFonts w:hint="eastAsia"/>
        </w:rPr>
        <w:t>10</w:t>
      </w:r>
      <w:r w:rsidRPr="00D55A10">
        <w:rPr>
          <w:rFonts w:hint="eastAsia"/>
        </w:rPr>
        <w:t>号》</w:t>
      </w:r>
      <w:r w:rsidRPr="00D55A10">
        <w:rPr>
          <w:rFonts w:hint="eastAsia"/>
        </w:rPr>
        <w:t>(A/68/10)</w:t>
      </w:r>
      <w:r w:rsidRPr="00D55A10">
        <w:rPr>
          <w:rFonts w:hint="eastAsia"/>
        </w:rPr>
        <w:t>，第</w:t>
      </w:r>
      <w:r w:rsidRPr="00D55A10">
        <w:rPr>
          <w:rFonts w:hint="eastAsia"/>
        </w:rPr>
        <w:t>181</w:t>
      </w:r>
      <w:r w:rsidRPr="00D55A10">
        <w:rPr>
          <w:rFonts w:hint="eastAsia"/>
        </w:rPr>
        <w:t>段；同上，《第六十九届会议，补编第</w:t>
      </w:r>
      <w:r w:rsidRPr="00D55A10">
        <w:rPr>
          <w:rFonts w:hint="eastAsia"/>
        </w:rPr>
        <w:t>10</w:t>
      </w:r>
      <w:r w:rsidRPr="00D55A10">
        <w:rPr>
          <w:rFonts w:hint="eastAsia"/>
        </w:rPr>
        <w:t>号》</w:t>
      </w:r>
      <w:r w:rsidRPr="00D55A10">
        <w:rPr>
          <w:rFonts w:hint="eastAsia"/>
        </w:rPr>
        <w:t>(A/69/10)</w:t>
      </w:r>
      <w:r w:rsidRPr="00D55A10">
        <w:rPr>
          <w:rFonts w:hint="eastAsia"/>
        </w:rPr>
        <w:t>，第</w:t>
      </w:r>
      <w:r w:rsidRPr="00D55A10">
        <w:rPr>
          <w:rFonts w:hint="eastAsia"/>
        </w:rPr>
        <w:t>281</w:t>
      </w:r>
      <w:r w:rsidRPr="00D55A10">
        <w:rPr>
          <w:rFonts w:hint="eastAsia"/>
        </w:rPr>
        <w:t>段。</w:t>
      </w:r>
    </w:p>
  </w:footnote>
  <w:footnote w:id="402">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见《大会正式记录，第六十二届会议，补编第</w:t>
      </w:r>
      <w:r w:rsidRPr="00D55A10">
        <w:rPr>
          <w:rFonts w:hint="eastAsia"/>
        </w:rPr>
        <w:t>10</w:t>
      </w:r>
      <w:r w:rsidRPr="00D55A10">
        <w:rPr>
          <w:rFonts w:hint="eastAsia"/>
        </w:rPr>
        <w:t>号》</w:t>
      </w:r>
      <w:r w:rsidRPr="00D55A10">
        <w:rPr>
          <w:rFonts w:hint="eastAsia"/>
        </w:rPr>
        <w:t>(A/62/10)</w:t>
      </w:r>
      <w:r w:rsidRPr="00D55A10">
        <w:rPr>
          <w:rFonts w:hint="eastAsia"/>
        </w:rPr>
        <w:t>，第</w:t>
      </w:r>
      <w:r w:rsidRPr="00D55A10">
        <w:rPr>
          <w:rFonts w:hint="eastAsia"/>
        </w:rPr>
        <w:t>387</w:t>
      </w:r>
      <w:r w:rsidRPr="00D55A10">
        <w:rPr>
          <w:rFonts w:hint="eastAsia"/>
        </w:rPr>
        <w:t>至</w:t>
      </w:r>
      <w:r w:rsidRPr="00D55A10">
        <w:rPr>
          <w:rFonts w:hint="eastAsia"/>
        </w:rPr>
        <w:t>395</w:t>
      </w:r>
      <w:r w:rsidRPr="00D55A10">
        <w:rPr>
          <w:rFonts w:hint="eastAsia"/>
        </w:rPr>
        <w:t>段。另见同上，《第六十八届会议，补编第</w:t>
      </w:r>
      <w:r w:rsidRPr="00D55A10">
        <w:rPr>
          <w:rFonts w:hint="eastAsia"/>
        </w:rPr>
        <w:t>10</w:t>
      </w:r>
      <w:r w:rsidRPr="00D55A10">
        <w:rPr>
          <w:rFonts w:hint="eastAsia"/>
        </w:rPr>
        <w:t>号》</w:t>
      </w:r>
      <w:r w:rsidRPr="00D55A10">
        <w:rPr>
          <w:rFonts w:hint="eastAsia"/>
        </w:rPr>
        <w:t>(A/68/10)</w:t>
      </w:r>
      <w:r w:rsidRPr="00D55A10">
        <w:rPr>
          <w:rFonts w:hint="eastAsia"/>
        </w:rPr>
        <w:t>，第</w:t>
      </w:r>
      <w:r w:rsidRPr="00D55A10">
        <w:rPr>
          <w:rFonts w:hint="eastAsia"/>
        </w:rPr>
        <w:t>185</w:t>
      </w:r>
      <w:r w:rsidRPr="00D55A10">
        <w:rPr>
          <w:rFonts w:hint="eastAsia"/>
        </w:rPr>
        <w:t>段。</w:t>
      </w:r>
    </w:p>
  </w:footnote>
  <w:footnote w:id="403">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网址是</w:t>
      </w:r>
      <w:r>
        <w:rPr>
          <w:rFonts w:hint="eastAsia"/>
        </w:rPr>
        <w:t>&lt;http://legal.un.org//ilc&gt;</w:t>
      </w:r>
      <w:r>
        <w:rPr>
          <w:rFonts w:hint="eastAsia"/>
        </w:rPr>
        <w:t>。</w:t>
      </w:r>
    </w:p>
  </w:footnote>
  <w:footnote w:id="404">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一般可查阅：</w:t>
      </w:r>
      <w:r>
        <w:rPr>
          <w:rFonts w:hint="eastAsia"/>
        </w:rPr>
        <w:t>&lt;http://www.un.org/law/lindex.htm&gt;</w:t>
      </w:r>
      <w:r>
        <w:rPr>
          <w:rFonts w:hint="eastAsia"/>
        </w:rPr>
        <w:t>。</w:t>
      </w:r>
    </w:p>
  </w:footnote>
  <w:footnote w:id="405">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Pr>
          <w:rFonts w:hint="eastAsia"/>
        </w:rPr>
        <w:t>发言载于该次会议的简要记录。</w:t>
      </w:r>
    </w:p>
  </w:footnote>
  <w:footnote w:id="406">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同上。</w:t>
      </w:r>
    </w:p>
  </w:footnote>
  <w:footnote w:id="407">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同上。</w:t>
      </w:r>
    </w:p>
  </w:footnote>
  <w:footnote w:id="408">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同上。</w:t>
      </w:r>
    </w:p>
  </w:footnote>
  <w:footnote w:id="409">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同上。</w:t>
      </w:r>
    </w:p>
  </w:footnote>
  <w:footnote w:id="410">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同上。</w:t>
      </w:r>
    </w:p>
  </w:footnote>
  <w:footnote w:id="411">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6B57A7">
        <w:rPr>
          <w:rFonts w:hint="eastAsia"/>
          <w:spacing w:val="2"/>
        </w:rPr>
        <w:t>红十字会副主席克里斯蒂娜·比尔利女士和委员会主席纳林德·辛格先生作了发言。格奥尔格·诺尔特先生介绍了</w:t>
      </w:r>
      <w:r w:rsidRPr="00D55A10">
        <w:rPr>
          <w:rFonts w:hint="eastAsia"/>
        </w:rPr>
        <w:t>“与条约解释相关的嗣后协定和嗣后惯例”，肖恩·墨菲先生介绍了“危害人类罪”，红十字会首席法务官兼法律司司长</w:t>
      </w:r>
      <w:r w:rsidRPr="00D55A10">
        <w:rPr>
          <w:rFonts w:hint="eastAsia"/>
        </w:rPr>
        <w:t>Knut Doermann</w:t>
      </w:r>
      <w:r w:rsidRPr="00D55A10">
        <w:rPr>
          <w:rFonts w:hint="eastAsia"/>
        </w:rPr>
        <w:t>博士介绍了“国际红十字和红新月运动第</w:t>
      </w:r>
      <w:r w:rsidRPr="00D55A10">
        <w:rPr>
          <w:rFonts w:hint="eastAsia"/>
        </w:rPr>
        <w:t>32</w:t>
      </w:r>
      <w:r w:rsidRPr="00D55A10">
        <w:rPr>
          <w:rFonts w:hint="eastAsia"/>
        </w:rPr>
        <w:t>届国际会议的筹备情况”，红十字会评注更新项目主任</w:t>
      </w:r>
      <w:r w:rsidRPr="00D55A10">
        <w:rPr>
          <w:rFonts w:hint="eastAsia"/>
        </w:rPr>
        <w:t>Jean-Marie Henckaerts</w:t>
      </w:r>
      <w:r w:rsidRPr="00D55A10">
        <w:rPr>
          <w:rFonts w:hint="eastAsia"/>
        </w:rPr>
        <w:t>博士介绍了“红十字会更新其对日内瓦四公约及附加议定书所作评注的情况”。</w:t>
      </w:r>
    </w:p>
  </w:footnote>
  <w:footnote w:id="412">
    <w:p w:rsidR="00F60D83" w:rsidRDefault="00F60D83" w:rsidP="003F1277">
      <w:pPr>
        <w:pStyle w:val="a5"/>
        <w:tabs>
          <w:tab w:val="clear" w:pos="418"/>
          <w:tab w:val="right" w:pos="1195"/>
          <w:tab w:val="left" w:pos="1264"/>
          <w:tab w:val="left" w:pos="1695"/>
          <w:tab w:val="left" w:pos="2126"/>
          <w:tab w:val="left" w:pos="2557"/>
        </w:tabs>
        <w:ind w:left="1264" w:right="1264" w:hanging="432"/>
      </w:pPr>
      <w:r>
        <w:tab/>
      </w:r>
      <w:r>
        <w:rPr>
          <w:rStyle w:val="a3"/>
        </w:rPr>
        <w:footnoteRef/>
      </w:r>
      <w:r>
        <w:tab/>
      </w:r>
      <w:r w:rsidRPr="00D55A10">
        <w:rPr>
          <w:rFonts w:hint="eastAsia"/>
        </w:rPr>
        <w:t>下列人员参加了讲习班：</w:t>
      </w:r>
      <w:r w:rsidRPr="00D55A10">
        <w:rPr>
          <w:rFonts w:hint="eastAsia"/>
        </w:rPr>
        <w:t>Kakanang Amaranand</w:t>
      </w:r>
      <w:r w:rsidRPr="00D55A10">
        <w:rPr>
          <w:rFonts w:hint="eastAsia"/>
        </w:rPr>
        <w:t>女士</w:t>
      </w:r>
      <w:r w:rsidRPr="00D55A10">
        <w:rPr>
          <w:rFonts w:hint="eastAsia"/>
        </w:rPr>
        <w:t>(</w:t>
      </w:r>
      <w:r w:rsidRPr="00D55A10">
        <w:rPr>
          <w:rFonts w:hint="eastAsia"/>
        </w:rPr>
        <w:t>泰国</w:t>
      </w:r>
      <w:r w:rsidRPr="00D55A10">
        <w:rPr>
          <w:rFonts w:hint="eastAsia"/>
        </w:rPr>
        <w:t>)</w:t>
      </w:r>
      <w:r w:rsidRPr="00D55A10">
        <w:rPr>
          <w:rFonts w:hint="eastAsia"/>
        </w:rPr>
        <w:t>、</w:t>
      </w:r>
      <w:r w:rsidRPr="00D55A10">
        <w:rPr>
          <w:rFonts w:hint="eastAsia"/>
        </w:rPr>
        <w:t>Hamedi Camara</w:t>
      </w:r>
      <w:r w:rsidRPr="00D55A10">
        <w:rPr>
          <w:rFonts w:hint="eastAsia"/>
        </w:rPr>
        <w:t>先生</w:t>
      </w:r>
      <w:r w:rsidRPr="00D55A10">
        <w:rPr>
          <w:rFonts w:hint="eastAsia"/>
        </w:rPr>
        <w:t>(</w:t>
      </w:r>
      <w:r w:rsidRPr="00D55A10">
        <w:rPr>
          <w:rFonts w:hint="eastAsia"/>
        </w:rPr>
        <w:t>毛里塔尼亚</w:t>
      </w:r>
      <w:r w:rsidRPr="00D55A10">
        <w:rPr>
          <w:rFonts w:hint="eastAsia"/>
        </w:rPr>
        <w:t>)</w:t>
      </w:r>
      <w:r w:rsidRPr="00D55A10">
        <w:rPr>
          <w:rFonts w:hint="eastAsia"/>
        </w:rPr>
        <w:t>、</w:t>
      </w:r>
      <w:r w:rsidRPr="00D55A10">
        <w:rPr>
          <w:rFonts w:hint="eastAsia"/>
        </w:rPr>
        <w:t>Eleen A. Cañas Vargas (</w:t>
      </w:r>
      <w:r w:rsidRPr="00D55A10">
        <w:rPr>
          <w:rFonts w:hint="eastAsia"/>
        </w:rPr>
        <w:t>哥斯达黎加</w:t>
      </w:r>
      <w:r w:rsidRPr="00D55A10">
        <w:rPr>
          <w:rFonts w:hint="eastAsia"/>
        </w:rPr>
        <w:t>)</w:t>
      </w:r>
      <w:r w:rsidRPr="00D55A10">
        <w:rPr>
          <w:rFonts w:hint="eastAsia"/>
        </w:rPr>
        <w:t>、</w:t>
      </w:r>
      <w:r w:rsidRPr="00D55A10">
        <w:rPr>
          <w:rFonts w:hint="eastAsia"/>
        </w:rPr>
        <w:t>Francis W. Changara (</w:t>
      </w:r>
      <w:r w:rsidRPr="00D55A10">
        <w:rPr>
          <w:rFonts w:hint="eastAsia"/>
        </w:rPr>
        <w:t>津巴布韦</w:t>
      </w:r>
      <w:r w:rsidRPr="00D55A10">
        <w:rPr>
          <w:rFonts w:hint="eastAsia"/>
        </w:rPr>
        <w:t>)</w:t>
      </w:r>
      <w:r w:rsidRPr="00D55A10">
        <w:rPr>
          <w:rFonts w:hint="eastAsia"/>
        </w:rPr>
        <w:t>、</w:t>
      </w:r>
      <w:r w:rsidRPr="00D55A10">
        <w:rPr>
          <w:rFonts w:hint="eastAsia"/>
        </w:rPr>
        <w:t>Namgay Dorji (</w:t>
      </w:r>
      <w:r w:rsidRPr="00D55A10">
        <w:rPr>
          <w:rFonts w:hint="eastAsia"/>
        </w:rPr>
        <w:t>不丹</w:t>
      </w:r>
      <w:r w:rsidRPr="00D55A10">
        <w:rPr>
          <w:rFonts w:hint="eastAsia"/>
        </w:rPr>
        <w:t>)</w:t>
      </w:r>
      <w:r w:rsidRPr="00D55A10">
        <w:rPr>
          <w:rFonts w:hint="eastAsia"/>
        </w:rPr>
        <w:t>、</w:t>
      </w:r>
      <w:r w:rsidRPr="00D55A10">
        <w:rPr>
          <w:rFonts w:hint="eastAsia"/>
        </w:rPr>
        <w:t>Fatoumata P. Doumbouya (</w:t>
      </w:r>
      <w:r w:rsidRPr="00D55A10">
        <w:rPr>
          <w:rFonts w:hint="eastAsia"/>
        </w:rPr>
        <w:t>几内亚</w:t>
      </w:r>
      <w:r w:rsidRPr="00D55A10">
        <w:rPr>
          <w:rFonts w:hint="eastAsia"/>
        </w:rPr>
        <w:t>)</w:t>
      </w:r>
      <w:r w:rsidRPr="00D55A10">
        <w:rPr>
          <w:rFonts w:hint="eastAsia"/>
        </w:rPr>
        <w:t>、</w:t>
      </w:r>
      <w:r w:rsidRPr="00D55A10">
        <w:rPr>
          <w:rFonts w:hint="eastAsia"/>
        </w:rPr>
        <w:t>Pilar Eugenio (</w:t>
      </w:r>
      <w:r w:rsidRPr="00D55A10">
        <w:rPr>
          <w:rFonts w:hint="eastAsia"/>
        </w:rPr>
        <w:t>阿根廷</w:t>
      </w:r>
      <w:r w:rsidRPr="00D55A10">
        <w:rPr>
          <w:rFonts w:hint="eastAsia"/>
        </w:rPr>
        <w:t>)</w:t>
      </w:r>
      <w:r w:rsidRPr="00D55A10">
        <w:rPr>
          <w:rFonts w:hint="eastAsia"/>
        </w:rPr>
        <w:t>、</w:t>
      </w:r>
      <w:r w:rsidRPr="00D55A10">
        <w:rPr>
          <w:rFonts w:hint="eastAsia"/>
        </w:rPr>
        <w:t>Soaad Hossam (</w:t>
      </w:r>
      <w:r w:rsidRPr="00D55A10">
        <w:rPr>
          <w:rFonts w:hint="eastAsia"/>
        </w:rPr>
        <w:t>埃及</w:t>
      </w:r>
      <w:r w:rsidRPr="00D55A10">
        <w:rPr>
          <w:rFonts w:hint="eastAsia"/>
        </w:rPr>
        <w:t>)</w:t>
      </w:r>
      <w:r w:rsidRPr="00D55A10">
        <w:rPr>
          <w:rFonts w:hint="eastAsia"/>
        </w:rPr>
        <w:t>、</w:t>
      </w:r>
      <w:r w:rsidRPr="00D55A10">
        <w:rPr>
          <w:rFonts w:hint="eastAsia"/>
        </w:rPr>
        <w:t>Gedeon Jean (</w:t>
      </w:r>
      <w:r w:rsidRPr="00D55A10">
        <w:rPr>
          <w:rFonts w:hint="eastAsia"/>
        </w:rPr>
        <w:t>海地</w:t>
      </w:r>
      <w:r w:rsidRPr="00D55A10">
        <w:rPr>
          <w:rFonts w:hint="eastAsia"/>
        </w:rPr>
        <w:t>)</w:t>
      </w:r>
      <w:r w:rsidRPr="00D55A10">
        <w:rPr>
          <w:rFonts w:hint="eastAsia"/>
        </w:rPr>
        <w:t>、</w:t>
      </w:r>
      <w:r w:rsidRPr="00D55A10">
        <w:rPr>
          <w:rFonts w:hint="eastAsia"/>
        </w:rPr>
        <w:t>Akino Kowashi (</w:t>
      </w:r>
      <w:r w:rsidRPr="00D55A10">
        <w:rPr>
          <w:rFonts w:hint="eastAsia"/>
        </w:rPr>
        <w:t>日本</w:t>
      </w:r>
      <w:r w:rsidRPr="00D55A10">
        <w:rPr>
          <w:rFonts w:hint="eastAsia"/>
        </w:rPr>
        <w:t>)</w:t>
      </w:r>
      <w:r w:rsidRPr="00D55A10">
        <w:rPr>
          <w:rFonts w:hint="eastAsia"/>
        </w:rPr>
        <w:t>、</w:t>
      </w:r>
      <w:r w:rsidRPr="00D55A10">
        <w:rPr>
          <w:rFonts w:hint="eastAsia"/>
        </w:rPr>
        <w:t>Gift Kweka (</w:t>
      </w:r>
      <w:r w:rsidRPr="00D55A10">
        <w:rPr>
          <w:rFonts w:hint="eastAsia"/>
        </w:rPr>
        <w:t>坦桑尼亚</w:t>
      </w:r>
      <w:r w:rsidRPr="00D55A10">
        <w:rPr>
          <w:rFonts w:hint="eastAsia"/>
        </w:rPr>
        <w:t>)</w:t>
      </w:r>
      <w:r w:rsidRPr="00D55A10">
        <w:rPr>
          <w:rFonts w:hint="eastAsia"/>
        </w:rPr>
        <w:t>、</w:t>
      </w:r>
      <w:r w:rsidRPr="00D55A10">
        <w:rPr>
          <w:rFonts w:hint="eastAsia"/>
        </w:rPr>
        <w:t>Lucia Leontiev (</w:t>
      </w:r>
      <w:r w:rsidRPr="00D55A10">
        <w:rPr>
          <w:rFonts w:hint="eastAsia"/>
        </w:rPr>
        <w:t>摩尔多瓦</w:t>
      </w:r>
      <w:r w:rsidRPr="00D55A10">
        <w:rPr>
          <w:rFonts w:hint="eastAsia"/>
        </w:rPr>
        <w:t>)</w:t>
      </w:r>
      <w:r w:rsidRPr="00D55A10">
        <w:rPr>
          <w:rFonts w:hint="eastAsia"/>
        </w:rPr>
        <w:t>、</w:t>
      </w:r>
      <w:r w:rsidRPr="00D55A10">
        <w:rPr>
          <w:rFonts w:hint="eastAsia"/>
        </w:rPr>
        <w:t>Matilda Mendy (</w:t>
      </w:r>
      <w:r w:rsidRPr="00D55A10">
        <w:rPr>
          <w:rFonts w:hint="eastAsia"/>
        </w:rPr>
        <w:t>冈比亚</w:t>
      </w:r>
      <w:r w:rsidRPr="00D55A10">
        <w:rPr>
          <w:rFonts w:hint="eastAsia"/>
        </w:rPr>
        <w:t>)</w:t>
      </w:r>
      <w:r w:rsidRPr="00D55A10">
        <w:rPr>
          <w:rFonts w:hint="eastAsia"/>
        </w:rPr>
        <w:t>、</w:t>
      </w:r>
      <w:r w:rsidRPr="00D55A10">
        <w:rPr>
          <w:rFonts w:hint="eastAsia"/>
        </w:rPr>
        <w:t>Momchil Milanov (</w:t>
      </w:r>
      <w:r w:rsidRPr="00D55A10">
        <w:rPr>
          <w:rFonts w:hint="eastAsia"/>
        </w:rPr>
        <w:t>保加利亚</w:t>
      </w:r>
      <w:r w:rsidRPr="00D55A10">
        <w:rPr>
          <w:rFonts w:hint="eastAsia"/>
        </w:rPr>
        <w:t>)</w:t>
      </w:r>
      <w:r w:rsidRPr="00D55A10">
        <w:rPr>
          <w:rFonts w:hint="eastAsia"/>
        </w:rPr>
        <w:t>、</w:t>
      </w:r>
      <w:r w:rsidRPr="00D55A10">
        <w:rPr>
          <w:rFonts w:hint="eastAsia"/>
        </w:rPr>
        <w:t>Quyen T.H. Nguyen (</w:t>
      </w:r>
      <w:r w:rsidRPr="00D55A10">
        <w:rPr>
          <w:rFonts w:hint="eastAsia"/>
        </w:rPr>
        <w:t>越南</w:t>
      </w:r>
      <w:r w:rsidRPr="00D55A10">
        <w:rPr>
          <w:rFonts w:hint="eastAsia"/>
        </w:rPr>
        <w:t>)</w:t>
      </w:r>
      <w:r w:rsidRPr="00D55A10">
        <w:rPr>
          <w:rFonts w:hint="eastAsia"/>
        </w:rPr>
        <w:t>、</w:t>
      </w:r>
      <w:r w:rsidRPr="00D55A10">
        <w:rPr>
          <w:rFonts w:hint="eastAsia"/>
        </w:rPr>
        <w:t>Elinathan Ohiomoba (</w:t>
      </w:r>
      <w:r w:rsidRPr="00D55A10">
        <w:rPr>
          <w:rFonts w:hint="eastAsia"/>
        </w:rPr>
        <w:t>美利坚合众国</w:t>
      </w:r>
      <w:r w:rsidRPr="00D55A10">
        <w:rPr>
          <w:rFonts w:hint="eastAsia"/>
        </w:rPr>
        <w:t>)</w:t>
      </w:r>
      <w:r w:rsidRPr="00D55A10">
        <w:rPr>
          <w:rFonts w:hint="eastAsia"/>
        </w:rPr>
        <w:t>、</w:t>
      </w:r>
      <w:r w:rsidRPr="00D55A10">
        <w:rPr>
          <w:rFonts w:hint="eastAsia"/>
        </w:rPr>
        <w:t>Francisco J. Pascual Vives (</w:t>
      </w:r>
      <w:r w:rsidRPr="00D55A10">
        <w:rPr>
          <w:rFonts w:hint="eastAsia"/>
        </w:rPr>
        <w:t>西班牙</w:t>
      </w:r>
      <w:r w:rsidRPr="00D55A10">
        <w:rPr>
          <w:rFonts w:hint="eastAsia"/>
        </w:rPr>
        <w:t>)</w:t>
      </w:r>
      <w:r w:rsidRPr="00D55A10">
        <w:rPr>
          <w:rFonts w:hint="eastAsia"/>
        </w:rPr>
        <w:t>、</w:t>
      </w:r>
      <w:r w:rsidRPr="00D55A10">
        <w:rPr>
          <w:rFonts w:hint="eastAsia"/>
        </w:rPr>
        <w:t>Ye Joon Rim (</w:t>
      </w:r>
      <w:r w:rsidRPr="00D55A10">
        <w:rPr>
          <w:rFonts w:hint="eastAsia"/>
        </w:rPr>
        <w:t>大韩民国</w:t>
      </w:r>
      <w:r w:rsidRPr="00D55A10">
        <w:rPr>
          <w:rFonts w:hint="eastAsia"/>
        </w:rPr>
        <w:t>)</w:t>
      </w:r>
      <w:r w:rsidRPr="00D55A10">
        <w:rPr>
          <w:rFonts w:hint="eastAsia"/>
        </w:rPr>
        <w:t>、</w:t>
      </w:r>
      <w:r w:rsidRPr="00D55A10">
        <w:rPr>
          <w:rFonts w:hint="eastAsia"/>
        </w:rPr>
        <w:t>Matteo Sarzo (</w:t>
      </w:r>
      <w:r w:rsidRPr="00D55A10">
        <w:rPr>
          <w:rFonts w:hint="eastAsia"/>
        </w:rPr>
        <w:t>意大利</w:t>
      </w:r>
      <w:r w:rsidRPr="00D55A10">
        <w:rPr>
          <w:rFonts w:hint="eastAsia"/>
        </w:rPr>
        <w:t>)</w:t>
      </w:r>
      <w:r w:rsidRPr="00D55A10">
        <w:rPr>
          <w:rFonts w:hint="eastAsia"/>
        </w:rPr>
        <w:t>、</w:t>
      </w:r>
      <w:r w:rsidRPr="00D55A10">
        <w:rPr>
          <w:rFonts w:hint="eastAsia"/>
        </w:rPr>
        <w:t>Cornelius V.N. Scholtz (</w:t>
      </w:r>
      <w:r w:rsidRPr="00D55A10">
        <w:rPr>
          <w:rFonts w:hint="eastAsia"/>
        </w:rPr>
        <w:t>南非</w:t>
      </w:r>
      <w:r w:rsidRPr="00D55A10">
        <w:rPr>
          <w:rFonts w:hint="eastAsia"/>
        </w:rPr>
        <w:t>)</w:t>
      </w:r>
      <w:r w:rsidRPr="00D55A10">
        <w:rPr>
          <w:rFonts w:hint="eastAsia"/>
        </w:rPr>
        <w:t>、</w:t>
      </w:r>
      <w:r w:rsidRPr="00D55A10">
        <w:rPr>
          <w:rFonts w:hint="eastAsia"/>
        </w:rPr>
        <w:t>Darcel G. Smith-Williamson (</w:t>
      </w:r>
      <w:r w:rsidRPr="00D55A10">
        <w:rPr>
          <w:rFonts w:hint="eastAsia"/>
        </w:rPr>
        <w:t>巴哈马</w:t>
      </w:r>
      <w:r w:rsidRPr="00D55A10">
        <w:rPr>
          <w:rFonts w:hint="eastAsia"/>
        </w:rPr>
        <w:t>)</w:t>
      </w:r>
      <w:r w:rsidRPr="00D55A10">
        <w:rPr>
          <w:rFonts w:hint="eastAsia"/>
        </w:rPr>
        <w:t>、</w:t>
      </w:r>
      <w:r w:rsidRPr="00D55A10">
        <w:rPr>
          <w:rFonts w:hint="eastAsia"/>
        </w:rPr>
        <w:t>Luka M. Tomazic (</w:t>
      </w:r>
      <w:r w:rsidRPr="00D55A10">
        <w:rPr>
          <w:rFonts w:hint="eastAsia"/>
        </w:rPr>
        <w:t>斯洛文尼亚</w:t>
      </w:r>
      <w:r w:rsidRPr="00D55A10">
        <w:rPr>
          <w:rFonts w:hint="eastAsia"/>
        </w:rPr>
        <w:t>)</w:t>
      </w:r>
      <w:r w:rsidRPr="00D55A10">
        <w:rPr>
          <w:rFonts w:hint="eastAsia"/>
        </w:rPr>
        <w:t>、</w:t>
      </w:r>
      <w:r w:rsidRPr="00D55A10">
        <w:rPr>
          <w:rFonts w:hint="eastAsia"/>
        </w:rPr>
        <w:t>Shuxi Yin (</w:t>
      </w:r>
      <w:r w:rsidRPr="00D55A10">
        <w:rPr>
          <w:rFonts w:hint="eastAsia"/>
        </w:rPr>
        <w:t>中国</w:t>
      </w:r>
      <w:r w:rsidRPr="00D55A10">
        <w:rPr>
          <w:rFonts w:hint="eastAsia"/>
        </w:rPr>
        <w:t>)</w:t>
      </w:r>
      <w:r w:rsidRPr="00D55A10">
        <w:rPr>
          <w:rFonts w:hint="eastAsia"/>
        </w:rPr>
        <w:t>、</w:t>
      </w:r>
      <w:r w:rsidRPr="00D55A10">
        <w:rPr>
          <w:rFonts w:hint="eastAsia"/>
        </w:rPr>
        <w:t>Franz J. Zubieta (</w:t>
      </w:r>
      <w:r w:rsidRPr="00D55A10">
        <w:rPr>
          <w:rFonts w:hint="eastAsia"/>
        </w:rPr>
        <w:t>多民族玻利维亚国</w:t>
      </w:r>
      <w:r w:rsidRPr="00D55A10">
        <w:rPr>
          <w:rFonts w:hint="eastAsia"/>
        </w:rPr>
        <w:t>)</w:t>
      </w:r>
      <w:r w:rsidRPr="00D55A10">
        <w:rPr>
          <w:rFonts w:hint="eastAsia"/>
        </w:rPr>
        <w:t>。由日内瓦大学国际法教授</w:t>
      </w:r>
      <w:r w:rsidRPr="00D55A10">
        <w:rPr>
          <w:rFonts w:hint="eastAsia"/>
        </w:rPr>
        <w:t>Makane Moïse Mbengue</w:t>
      </w:r>
      <w:r w:rsidRPr="00D55A10">
        <w:rPr>
          <w:rFonts w:hint="eastAsia"/>
        </w:rPr>
        <w:t>先生担任主席的甄选委员会于</w:t>
      </w:r>
      <w:r w:rsidRPr="00D55A10">
        <w:rPr>
          <w:rFonts w:hint="eastAsia"/>
        </w:rPr>
        <w:t>2015</w:t>
      </w:r>
      <w:r w:rsidRPr="00D55A10">
        <w:rPr>
          <w:rFonts w:hint="eastAsia"/>
        </w:rPr>
        <w:t>年</w:t>
      </w:r>
      <w:r w:rsidRPr="00D55A10">
        <w:rPr>
          <w:rFonts w:hint="eastAsia"/>
        </w:rPr>
        <w:t>4</w:t>
      </w:r>
      <w:r w:rsidRPr="00D55A10">
        <w:rPr>
          <w:rFonts w:hint="eastAsia"/>
        </w:rPr>
        <w:t>月</w:t>
      </w:r>
      <w:r w:rsidRPr="00D55A10">
        <w:rPr>
          <w:rFonts w:hint="eastAsia"/>
        </w:rPr>
        <w:t>7</w:t>
      </w:r>
      <w:r w:rsidRPr="00D55A10">
        <w:rPr>
          <w:rFonts w:hint="eastAsia"/>
        </w:rPr>
        <w:t>日举行会议，从</w:t>
      </w:r>
      <w:r w:rsidRPr="00D55A10">
        <w:rPr>
          <w:rFonts w:hint="eastAsia"/>
        </w:rPr>
        <w:t>102</w:t>
      </w:r>
      <w:r w:rsidRPr="00D55A10">
        <w:rPr>
          <w:rFonts w:hint="eastAsia"/>
        </w:rPr>
        <w:t>名申请人中录取了</w:t>
      </w:r>
      <w:r w:rsidRPr="00D55A10">
        <w:rPr>
          <w:rFonts w:hint="eastAsia"/>
        </w:rPr>
        <w:t>25</w:t>
      </w:r>
      <w:r w:rsidRPr="00D55A10">
        <w:rPr>
          <w:rFonts w:hint="eastAsia"/>
        </w:rPr>
        <w:t>人参加本届讲习班。一名被录取的候选人最后未能参加讲习班。</w:t>
      </w:r>
    </w:p>
  </w:footnote>
  <w:footnote w:id="41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hint="eastAsia"/>
          <w:szCs w:val="18"/>
        </w:rPr>
        <w:t>“</w:t>
      </w:r>
      <w:r w:rsidRPr="00953281">
        <w:rPr>
          <w:szCs w:val="18"/>
        </w:rPr>
        <w:t>最惠国条款</w:t>
      </w:r>
      <w:r w:rsidRPr="00953281">
        <w:rPr>
          <w:rFonts w:hint="eastAsia"/>
          <w:szCs w:val="18"/>
        </w:rPr>
        <w:t>”</w:t>
      </w:r>
      <w:r w:rsidRPr="00953281">
        <w:rPr>
          <w:szCs w:val="18"/>
        </w:rPr>
        <w:t>与</w:t>
      </w:r>
      <w:r w:rsidRPr="00953281">
        <w:rPr>
          <w:rFonts w:hint="eastAsia"/>
          <w:szCs w:val="18"/>
        </w:rPr>
        <w:t>“</w:t>
      </w:r>
      <w:r w:rsidRPr="00953281">
        <w:rPr>
          <w:szCs w:val="18"/>
        </w:rPr>
        <w:t>最惠国规定</w:t>
      </w:r>
      <w:r w:rsidRPr="00953281">
        <w:rPr>
          <w:rFonts w:hint="eastAsia"/>
          <w:szCs w:val="18"/>
        </w:rPr>
        <w:t>”</w:t>
      </w:r>
      <w:r w:rsidRPr="00953281">
        <w:rPr>
          <w:szCs w:val="18"/>
        </w:rPr>
        <w:t>一词在本报告中可以互换。</w:t>
      </w:r>
    </w:p>
  </w:footnote>
  <w:footnote w:id="41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研究组的一些成员认为应当对</w:t>
      </w:r>
      <w:r w:rsidRPr="00953281">
        <w:rPr>
          <w:szCs w:val="18"/>
        </w:rPr>
        <w:t>1978</w:t>
      </w:r>
      <w:r w:rsidRPr="00953281">
        <w:rPr>
          <w:szCs w:val="18"/>
        </w:rPr>
        <w:t>年条款草案进行修订。</w:t>
      </w:r>
    </w:p>
  </w:footnote>
  <w:footnote w:id="41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w:t>
      </w:r>
      <w:r w:rsidRPr="00953281">
        <w:rPr>
          <w:szCs w:val="18"/>
        </w:rPr>
        <w:t>1978</w:t>
      </w:r>
      <w:r w:rsidRPr="00953281">
        <w:rPr>
          <w:szCs w:val="18"/>
        </w:rPr>
        <w:t>年</w:t>
      </w:r>
      <w:r w:rsidRPr="00953281">
        <w:rPr>
          <w:rFonts w:hint="eastAsia"/>
          <w:szCs w:val="18"/>
        </w:rPr>
        <w:t>……</w:t>
      </w:r>
      <w:r w:rsidRPr="00953281">
        <w:rPr>
          <w:szCs w:val="18"/>
        </w:rPr>
        <w:t>年鉴》，第二卷</w:t>
      </w:r>
      <w:r w:rsidRPr="00953281">
        <w:rPr>
          <w:szCs w:val="18"/>
        </w:rPr>
        <w:t>(</w:t>
      </w:r>
      <w:r w:rsidRPr="00953281">
        <w:rPr>
          <w:szCs w:val="18"/>
        </w:rPr>
        <w:t>第二部分</w:t>
      </w:r>
      <w:r w:rsidRPr="00953281">
        <w:rPr>
          <w:szCs w:val="18"/>
        </w:rPr>
        <w:t>)</w:t>
      </w:r>
      <w:r w:rsidRPr="00953281">
        <w:rPr>
          <w:szCs w:val="18"/>
        </w:rPr>
        <w:t>，第</w:t>
      </w:r>
      <w:r w:rsidRPr="00953281">
        <w:rPr>
          <w:szCs w:val="18"/>
        </w:rPr>
        <w:t>16-72</w:t>
      </w:r>
      <w:r w:rsidRPr="00953281">
        <w:rPr>
          <w:szCs w:val="18"/>
        </w:rPr>
        <w:t>页。</w:t>
      </w:r>
    </w:p>
  </w:footnote>
  <w:footnote w:id="41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《大会正式记录，第六十三届会议，补编第</w:t>
      </w:r>
      <w:r w:rsidRPr="00953281">
        <w:rPr>
          <w:szCs w:val="18"/>
        </w:rPr>
        <w:t>10</w:t>
      </w:r>
      <w:r w:rsidRPr="00953281">
        <w:rPr>
          <w:szCs w:val="18"/>
        </w:rPr>
        <w:t>号》</w:t>
      </w:r>
      <w:r w:rsidRPr="00953281">
        <w:rPr>
          <w:szCs w:val="18"/>
        </w:rPr>
        <w:t>(A/63/10)</w:t>
      </w:r>
      <w:r w:rsidRPr="00953281">
        <w:rPr>
          <w:szCs w:val="18"/>
        </w:rPr>
        <w:t>，第</w:t>
      </w:r>
      <w:r w:rsidRPr="00953281">
        <w:rPr>
          <w:szCs w:val="18"/>
        </w:rPr>
        <w:t>351-352</w:t>
      </w:r>
      <w:r w:rsidRPr="00953281">
        <w:rPr>
          <w:szCs w:val="18"/>
        </w:rPr>
        <w:t>段。另见，</w:t>
      </w:r>
      <w:r w:rsidRPr="00A3609D">
        <w:rPr>
          <w:rFonts w:ascii="楷体_GB2312" w:eastAsia="楷体_GB2312"/>
          <w:szCs w:val="18"/>
        </w:rPr>
        <w:t>同上</w:t>
      </w:r>
      <w:r w:rsidRPr="00953281">
        <w:rPr>
          <w:szCs w:val="18"/>
        </w:rPr>
        <w:t>，《第六十四届会议，补编第</w:t>
      </w:r>
      <w:r w:rsidRPr="00953281">
        <w:rPr>
          <w:szCs w:val="18"/>
        </w:rPr>
        <w:t>10</w:t>
      </w:r>
      <w:r w:rsidRPr="00953281">
        <w:rPr>
          <w:szCs w:val="18"/>
        </w:rPr>
        <w:t>号》</w:t>
      </w:r>
      <w:r w:rsidRPr="00953281">
        <w:rPr>
          <w:szCs w:val="18"/>
        </w:rPr>
        <w:t>(A/64/10)</w:t>
      </w:r>
      <w:r w:rsidRPr="00953281">
        <w:rPr>
          <w:szCs w:val="18"/>
        </w:rPr>
        <w:t>，第</w:t>
      </w:r>
      <w:r w:rsidRPr="00953281">
        <w:rPr>
          <w:szCs w:val="18"/>
        </w:rPr>
        <w:t>211-216</w:t>
      </w:r>
      <w:r w:rsidRPr="00953281">
        <w:rPr>
          <w:szCs w:val="18"/>
        </w:rPr>
        <w:t>段；</w:t>
      </w:r>
      <w:r w:rsidRPr="00A3609D">
        <w:rPr>
          <w:rFonts w:ascii="楷体_GB2312" w:eastAsia="楷体_GB2312"/>
          <w:szCs w:val="18"/>
        </w:rPr>
        <w:t>同上</w:t>
      </w:r>
      <w:r w:rsidRPr="00953281">
        <w:rPr>
          <w:szCs w:val="18"/>
        </w:rPr>
        <w:t>，《第六十五届会议，补编第</w:t>
      </w:r>
      <w:r w:rsidRPr="00953281">
        <w:rPr>
          <w:szCs w:val="18"/>
        </w:rPr>
        <w:t>10</w:t>
      </w:r>
      <w:r w:rsidRPr="00953281">
        <w:rPr>
          <w:szCs w:val="18"/>
        </w:rPr>
        <w:t>号</w:t>
      </w:r>
      <w:r w:rsidRPr="00953281">
        <w:rPr>
          <w:szCs w:val="18"/>
        </w:rPr>
        <w:t>)(A/65/10)</w:t>
      </w:r>
      <w:r w:rsidRPr="00953281">
        <w:rPr>
          <w:szCs w:val="18"/>
        </w:rPr>
        <w:t>，第</w:t>
      </w:r>
      <w:r w:rsidRPr="00953281">
        <w:rPr>
          <w:szCs w:val="18"/>
        </w:rPr>
        <w:t>359-373</w:t>
      </w:r>
      <w:r w:rsidRPr="00953281">
        <w:rPr>
          <w:szCs w:val="18"/>
        </w:rPr>
        <w:t>段；</w:t>
      </w:r>
      <w:r w:rsidRPr="00A3609D">
        <w:rPr>
          <w:rFonts w:ascii="楷体_GB2312" w:eastAsia="楷体_GB2312"/>
          <w:szCs w:val="18"/>
        </w:rPr>
        <w:t>同上</w:t>
      </w:r>
      <w:r w:rsidRPr="00953281">
        <w:rPr>
          <w:szCs w:val="18"/>
        </w:rPr>
        <w:t>，《第六十六届会议，补编第</w:t>
      </w:r>
      <w:r w:rsidRPr="00953281">
        <w:rPr>
          <w:szCs w:val="18"/>
        </w:rPr>
        <w:t>10</w:t>
      </w:r>
      <w:r w:rsidRPr="00953281">
        <w:rPr>
          <w:szCs w:val="18"/>
        </w:rPr>
        <w:t>号</w:t>
      </w:r>
      <w:r w:rsidRPr="00953281">
        <w:rPr>
          <w:szCs w:val="18"/>
        </w:rPr>
        <w:t>)(A/66/10)</w:t>
      </w:r>
      <w:r w:rsidRPr="00953281">
        <w:rPr>
          <w:szCs w:val="18"/>
        </w:rPr>
        <w:t>，第</w:t>
      </w:r>
      <w:r w:rsidRPr="00953281">
        <w:rPr>
          <w:szCs w:val="18"/>
        </w:rPr>
        <w:t>349-363</w:t>
      </w:r>
      <w:r w:rsidRPr="00953281">
        <w:rPr>
          <w:szCs w:val="18"/>
        </w:rPr>
        <w:t>段。</w:t>
      </w:r>
    </w:p>
  </w:footnote>
  <w:footnote w:id="41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，《第六十四届会议，补编第</w:t>
      </w:r>
      <w:r w:rsidRPr="00953281">
        <w:rPr>
          <w:szCs w:val="18"/>
        </w:rPr>
        <w:t>10</w:t>
      </w:r>
      <w:r w:rsidRPr="00953281">
        <w:rPr>
          <w:szCs w:val="18"/>
        </w:rPr>
        <w:t>号》</w:t>
      </w:r>
      <w:r w:rsidRPr="00953281">
        <w:rPr>
          <w:szCs w:val="18"/>
        </w:rPr>
        <w:t>(A/64/10)</w:t>
      </w:r>
      <w:r w:rsidRPr="00953281">
        <w:rPr>
          <w:szCs w:val="18"/>
        </w:rPr>
        <w:t>，第</w:t>
      </w:r>
      <w:r w:rsidRPr="00953281">
        <w:rPr>
          <w:szCs w:val="18"/>
        </w:rPr>
        <w:t>216</w:t>
      </w:r>
      <w:r w:rsidRPr="00953281">
        <w:rPr>
          <w:szCs w:val="18"/>
        </w:rPr>
        <w:t>段。</w:t>
      </w:r>
    </w:p>
  </w:footnote>
  <w:footnote w:id="41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研究组审议了以下工作文件：</w:t>
      </w:r>
      <w:r w:rsidRPr="00953281">
        <w:rPr>
          <w:szCs w:val="18"/>
        </w:rPr>
        <w:t>(a)</w:t>
      </w:r>
      <w:r w:rsidRPr="00953281">
        <w:rPr>
          <w:szCs w:val="18"/>
        </w:rPr>
        <w:t>《对</w:t>
      </w:r>
      <w:r w:rsidRPr="00953281">
        <w:rPr>
          <w:szCs w:val="18"/>
        </w:rPr>
        <w:t>1978</w:t>
      </w:r>
      <w:r w:rsidRPr="00953281">
        <w:rPr>
          <w:szCs w:val="18"/>
        </w:rPr>
        <w:t>年最惠国条款草案的审查》</w:t>
      </w:r>
      <w:r w:rsidRPr="00953281">
        <w:rPr>
          <w:szCs w:val="18"/>
        </w:rPr>
        <w:t>(</w:t>
      </w:r>
      <w:r w:rsidRPr="00953281">
        <w:rPr>
          <w:szCs w:val="18"/>
        </w:rPr>
        <w:t>村濑信也先生</w:t>
      </w:r>
      <w:r w:rsidRPr="00953281">
        <w:rPr>
          <w:szCs w:val="18"/>
        </w:rPr>
        <w:t>)</w:t>
      </w:r>
      <w:r w:rsidRPr="00953281">
        <w:rPr>
          <w:szCs w:val="18"/>
        </w:rPr>
        <w:t>；</w:t>
      </w:r>
      <w:r w:rsidRPr="00953281">
        <w:rPr>
          <w:szCs w:val="18"/>
        </w:rPr>
        <w:t>(b)</w:t>
      </w:r>
      <w:r w:rsidRPr="00953281">
        <w:rPr>
          <w:szCs w:val="18"/>
        </w:rPr>
        <w:t>《关贸总协定和世贸组织中的最惠国条款》</w:t>
      </w:r>
      <w:r w:rsidRPr="00953281">
        <w:rPr>
          <w:szCs w:val="18"/>
        </w:rPr>
        <w:t>(</w:t>
      </w:r>
      <w:r w:rsidRPr="00953281">
        <w:rPr>
          <w:szCs w:val="18"/>
        </w:rPr>
        <w:t>麦克雷先生</w:t>
      </w:r>
      <w:r w:rsidRPr="00953281">
        <w:rPr>
          <w:szCs w:val="18"/>
        </w:rPr>
        <w:t>)</w:t>
      </w:r>
      <w:r w:rsidRPr="00953281">
        <w:rPr>
          <w:szCs w:val="18"/>
        </w:rPr>
        <w:t>；</w:t>
      </w:r>
      <w:r w:rsidRPr="00953281">
        <w:rPr>
          <w:szCs w:val="18"/>
        </w:rPr>
        <w:t>(c)</w:t>
      </w:r>
      <w:r w:rsidRPr="00953281">
        <w:rPr>
          <w:szCs w:val="18"/>
        </w:rPr>
        <w:t>《最惠国条款与马菲基尼案》</w:t>
      </w:r>
      <w:r w:rsidRPr="00953281">
        <w:rPr>
          <w:szCs w:val="18"/>
        </w:rPr>
        <w:t>(</w:t>
      </w:r>
      <w:r w:rsidRPr="00953281">
        <w:rPr>
          <w:szCs w:val="18"/>
        </w:rPr>
        <w:t>佩雷拉先生</w:t>
      </w:r>
      <w:r w:rsidRPr="00953281">
        <w:rPr>
          <w:szCs w:val="18"/>
        </w:rPr>
        <w:t>)</w:t>
      </w:r>
      <w:r w:rsidRPr="00953281">
        <w:rPr>
          <w:szCs w:val="18"/>
        </w:rPr>
        <w:t>；</w:t>
      </w:r>
      <w:r w:rsidRPr="00953281">
        <w:rPr>
          <w:szCs w:val="18"/>
        </w:rPr>
        <w:t>(d)</w:t>
      </w:r>
      <w:r w:rsidRPr="00953281">
        <w:rPr>
          <w:szCs w:val="18"/>
        </w:rPr>
        <w:t>《经合组织关于最惠国问题的工作》</w:t>
      </w:r>
      <w:r w:rsidRPr="00953281">
        <w:rPr>
          <w:szCs w:val="18"/>
        </w:rPr>
        <w:t>(</w:t>
      </w:r>
      <w:r w:rsidRPr="00953281">
        <w:rPr>
          <w:szCs w:val="18"/>
        </w:rPr>
        <w:t>哈穆德先生</w:t>
      </w:r>
      <w:r w:rsidRPr="00953281">
        <w:rPr>
          <w:szCs w:val="18"/>
        </w:rPr>
        <w:t>)</w:t>
      </w:r>
      <w:r w:rsidRPr="00953281">
        <w:rPr>
          <w:szCs w:val="18"/>
        </w:rPr>
        <w:t>；</w:t>
      </w:r>
      <w:r w:rsidRPr="00953281">
        <w:rPr>
          <w:szCs w:val="18"/>
        </w:rPr>
        <w:t>(e)</w:t>
      </w:r>
      <w:r w:rsidRPr="00953281">
        <w:rPr>
          <w:szCs w:val="18"/>
        </w:rPr>
        <w:t>《贸发会议关于最惠国问题的工作》</w:t>
      </w:r>
      <w:r w:rsidRPr="00953281">
        <w:rPr>
          <w:szCs w:val="18"/>
        </w:rPr>
        <w:t>(</w:t>
      </w:r>
      <w:r w:rsidRPr="00953281">
        <w:rPr>
          <w:szCs w:val="18"/>
        </w:rPr>
        <w:t>瓦钱尼先生</w:t>
      </w:r>
      <w:r w:rsidRPr="00953281">
        <w:rPr>
          <w:szCs w:val="18"/>
        </w:rPr>
        <w:t>)</w:t>
      </w:r>
      <w:r w:rsidRPr="00953281">
        <w:rPr>
          <w:szCs w:val="18"/>
        </w:rPr>
        <w:t>；</w:t>
      </w:r>
      <w:r w:rsidRPr="00953281">
        <w:rPr>
          <w:szCs w:val="18"/>
        </w:rPr>
        <w:t>(f)</w:t>
      </w:r>
      <w:r w:rsidRPr="00953281">
        <w:rPr>
          <w:szCs w:val="18"/>
        </w:rPr>
        <w:t>《投资协定中最惠国条款的解释和适用》</w:t>
      </w:r>
      <w:r w:rsidRPr="00953281">
        <w:rPr>
          <w:szCs w:val="18"/>
        </w:rPr>
        <w:t>(</w:t>
      </w:r>
      <w:r w:rsidRPr="00953281">
        <w:rPr>
          <w:szCs w:val="18"/>
        </w:rPr>
        <w:t>麦克雷先生</w:t>
      </w:r>
      <w:r w:rsidRPr="00953281">
        <w:rPr>
          <w:szCs w:val="18"/>
        </w:rPr>
        <w:t>)</w:t>
      </w:r>
      <w:r w:rsidRPr="00953281">
        <w:rPr>
          <w:szCs w:val="18"/>
        </w:rPr>
        <w:t>；</w:t>
      </w:r>
      <w:r w:rsidRPr="00953281">
        <w:rPr>
          <w:szCs w:val="18"/>
        </w:rPr>
        <w:t>(g)</w:t>
      </w:r>
      <w:r w:rsidRPr="00953281">
        <w:rPr>
          <w:szCs w:val="18"/>
        </w:rPr>
        <w:t>《投资仲裁庭对最惠国条款的解释》</w:t>
      </w:r>
      <w:r w:rsidRPr="00953281">
        <w:rPr>
          <w:szCs w:val="18"/>
        </w:rPr>
        <w:t>(</w:t>
      </w:r>
      <w:r w:rsidRPr="00953281">
        <w:rPr>
          <w:szCs w:val="18"/>
        </w:rPr>
        <w:t>麦克雷先生</w:t>
      </w:r>
      <w:r w:rsidRPr="00953281">
        <w:rPr>
          <w:szCs w:val="18"/>
        </w:rPr>
        <w:t>)(</w:t>
      </w:r>
      <w:r w:rsidRPr="00953281">
        <w:rPr>
          <w:szCs w:val="18"/>
        </w:rPr>
        <w:t>该工作文件是题为</w:t>
      </w:r>
      <w:r w:rsidRPr="00953281">
        <w:rPr>
          <w:rFonts w:hint="eastAsia"/>
          <w:szCs w:val="18"/>
        </w:rPr>
        <w:t>“</w:t>
      </w:r>
      <w:r w:rsidRPr="00953281">
        <w:rPr>
          <w:szCs w:val="18"/>
        </w:rPr>
        <w:t>投资协定中最惠国条款的解释和适用</w:t>
      </w:r>
      <w:r w:rsidRPr="00953281">
        <w:rPr>
          <w:rFonts w:hint="eastAsia"/>
          <w:szCs w:val="18"/>
        </w:rPr>
        <w:t>”</w:t>
      </w:r>
      <w:r w:rsidRPr="00953281">
        <w:rPr>
          <w:szCs w:val="18"/>
        </w:rPr>
        <w:t>的工作文件的重新编排本</w:t>
      </w:r>
      <w:r w:rsidRPr="00953281">
        <w:rPr>
          <w:szCs w:val="18"/>
        </w:rPr>
        <w:t>)</w:t>
      </w:r>
      <w:r w:rsidRPr="00953281">
        <w:rPr>
          <w:szCs w:val="18"/>
        </w:rPr>
        <w:t>；</w:t>
      </w:r>
      <w:r w:rsidRPr="00953281">
        <w:rPr>
          <w:szCs w:val="18"/>
        </w:rPr>
        <w:t>(h)</w:t>
      </w:r>
      <w:r w:rsidRPr="00953281">
        <w:rPr>
          <w:szCs w:val="18"/>
        </w:rPr>
        <w:t>《投资仲裁庭的混合性质对最惠国条款适用于程序规定的影响》</w:t>
      </w:r>
      <w:r w:rsidRPr="00953281">
        <w:rPr>
          <w:szCs w:val="18"/>
        </w:rPr>
        <w:t>(</w:t>
      </w:r>
      <w:r w:rsidRPr="00953281">
        <w:rPr>
          <w:szCs w:val="18"/>
        </w:rPr>
        <w:t>福尔托先生</w:t>
      </w:r>
      <w:r w:rsidRPr="00953281">
        <w:rPr>
          <w:szCs w:val="18"/>
        </w:rPr>
        <w:t>)</w:t>
      </w:r>
      <w:r w:rsidRPr="00953281">
        <w:rPr>
          <w:szCs w:val="18"/>
        </w:rPr>
        <w:t>；</w:t>
      </w:r>
      <w:r w:rsidRPr="00953281">
        <w:rPr>
          <w:szCs w:val="18"/>
        </w:rPr>
        <w:t>(i)</w:t>
      </w:r>
      <w:r w:rsidRPr="00953281">
        <w:rPr>
          <w:szCs w:val="18"/>
        </w:rPr>
        <w:t>《混合法庭所用的双边投资协定：投资争端解决办法的法律性质》</w:t>
      </w:r>
      <w:r w:rsidRPr="00953281">
        <w:rPr>
          <w:szCs w:val="18"/>
        </w:rPr>
        <w:t>(</w:t>
      </w:r>
      <w:r w:rsidRPr="00953281">
        <w:rPr>
          <w:szCs w:val="18"/>
        </w:rPr>
        <w:t>村濑信也先生</w:t>
      </w:r>
      <w:r w:rsidRPr="00953281">
        <w:rPr>
          <w:szCs w:val="18"/>
        </w:rPr>
        <w:t>)</w:t>
      </w:r>
      <w:r w:rsidRPr="00953281">
        <w:rPr>
          <w:szCs w:val="18"/>
        </w:rPr>
        <w:t>；</w:t>
      </w:r>
      <w:r w:rsidRPr="00953281">
        <w:rPr>
          <w:szCs w:val="18"/>
        </w:rPr>
        <w:t>(j)</w:t>
      </w:r>
      <w:r w:rsidRPr="00953281">
        <w:rPr>
          <w:szCs w:val="18"/>
        </w:rPr>
        <w:t>《最惠国条款用语调查及与马菲基尼有关的判例》</w:t>
      </w:r>
      <w:r w:rsidRPr="00953281">
        <w:rPr>
          <w:szCs w:val="18"/>
        </w:rPr>
        <w:t>(</w:t>
      </w:r>
      <w:r w:rsidRPr="00953281">
        <w:rPr>
          <w:szCs w:val="18"/>
        </w:rPr>
        <w:t>哈穆德先生</w:t>
      </w:r>
      <w:r w:rsidRPr="00953281">
        <w:rPr>
          <w:szCs w:val="18"/>
        </w:rPr>
        <w:t>)</w:t>
      </w:r>
      <w:r w:rsidRPr="00953281">
        <w:rPr>
          <w:szCs w:val="18"/>
        </w:rPr>
        <w:t>。研究组还收到了以下文件：</w:t>
      </w:r>
      <w:r w:rsidRPr="00953281">
        <w:rPr>
          <w:szCs w:val="18"/>
        </w:rPr>
        <w:t>(a)</w:t>
      </w:r>
      <w:r w:rsidRPr="00953281">
        <w:rPr>
          <w:szCs w:val="18"/>
        </w:rPr>
        <w:t>《最惠国条款规定目录》</w:t>
      </w:r>
      <w:r w:rsidRPr="00953281">
        <w:rPr>
          <w:szCs w:val="18"/>
        </w:rPr>
        <w:t>(</w:t>
      </w:r>
      <w:r w:rsidRPr="00953281">
        <w:rPr>
          <w:szCs w:val="18"/>
        </w:rPr>
        <w:t>麦克雷先生和佩雷拉先生编写</w:t>
      </w:r>
      <w:r w:rsidRPr="00953281">
        <w:rPr>
          <w:szCs w:val="18"/>
        </w:rPr>
        <w:t>)</w:t>
      </w:r>
      <w:r w:rsidRPr="00953281">
        <w:rPr>
          <w:szCs w:val="18"/>
        </w:rPr>
        <w:t>；</w:t>
      </w:r>
      <w:r w:rsidRPr="00953281">
        <w:rPr>
          <w:szCs w:val="18"/>
        </w:rPr>
        <w:t xml:space="preserve">(b) </w:t>
      </w:r>
      <w:r w:rsidRPr="00953281">
        <w:rPr>
          <w:szCs w:val="18"/>
        </w:rPr>
        <w:t>一份表格形式的非正式文件，其中列有涉及最惠国条款的投资案件中的仲裁员和律师，以及所解释的最惠国条款类型；</w:t>
      </w:r>
      <w:r w:rsidRPr="00953281">
        <w:rPr>
          <w:szCs w:val="18"/>
        </w:rPr>
        <w:t xml:space="preserve">(c) </w:t>
      </w:r>
      <w:r w:rsidRPr="00953281">
        <w:rPr>
          <w:szCs w:val="18"/>
        </w:rPr>
        <w:t>一份关于马菲基尼案之后最惠国条款范本的非正式工作文件，其中研究了各国对马菲基尼案裁决的反应；</w:t>
      </w:r>
      <w:r w:rsidRPr="00953281">
        <w:rPr>
          <w:szCs w:val="18"/>
        </w:rPr>
        <w:t xml:space="preserve">(d) </w:t>
      </w:r>
      <w:r w:rsidRPr="00953281">
        <w:rPr>
          <w:szCs w:val="18"/>
        </w:rPr>
        <w:t>一份概述总部协议中类似于最惠国条款的用语的非正式工作文件，总部协议赋予各国驻某一组织代表与驻东道国的外交官相同的特权和豁免；</w:t>
      </w:r>
      <w:r w:rsidRPr="00953281">
        <w:rPr>
          <w:szCs w:val="18"/>
        </w:rPr>
        <w:t xml:space="preserve">(e) </w:t>
      </w:r>
      <w:r w:rsidRPr="00953281">
        <w:rPr>
          <w:szCs w:val="18"/>
        </w:rPr>
        <w:t>一份关于外交条约中的最惠国条款的非正式工作文件；</w:t>
      </w:r>
      <w:r w:rsidRPr="00953281">
        <w:rPr>
          <w:szCs w:val="18"/>
        </w:rPr>
        <w:t xml:space="preserve">(f) </w:t>
      </w:r>
      <w:r w:rsidRPr="00953281">
        <w:rPr>
          <w:szCs w:val="18"/>
        </w:rPr>
        <w:t>一份关于航海协议与最惠国条款的非正式工作文件；</w:t>
      </w:r>
      <w:r w:rsidRPr="00953281">
        <w:rPr>
          <w:szCs w:val="18"/>
        </w:rPr>
        <w:t xml:space="preserve">(g) </w:t>
      </w:r>
      <w:r w:rsidRPr="00953281">
        <w:rPr>
          <w:szCs w:val="18"/>
        </w:rPr>
        <w:t>一份关于</w:t>
      </w:r>
      <w:r w:rsidRPr="00953281">
        <w:rPr>
          <w:rFonts w:hint="eastAsia"/>
          <w:szCs w:val="18"/>
        </w:rPr>
        <w:t>“</w:t>
      </w:r>
      <w:r w:rsidRPr="00953281">
        <w:rPr>
          <w:szCs w:val="18"/>
        </w:rPr>
        <w:t>双边税务条约与最惠国条款</w:t>
      </w:r>
      <w:r w:rsidRPr="00953281">
        <w:rPr>
          <w:rFonts w:hint="eastAsia"/>
          <w:szCs w:val="18"/>
        </w:rPr>
        <w:t>”</w:t>
      </w:r>
      <w:r w:rsidRPr="00953281">
        <w:rPr>
          <w:szCs w:val="18"/>
        </w:rPr>
        <w:t>的非正式工作文件。</w:t>
      </w:r>
    </w:p>
  </w:footnote>
  <w:footnote w:id="41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例如，见</w:t>
      </w:r>
      <w:r w:rsidRPr="00953281">
        <w:rPr>
          <w:szCs w:val="18"/>
          <w:lang w:val="en-CA"/>
        </w:rPr>
        <w:t>A/C.6/65/SR.2</w:t>
      </w:r>
      <w:r>
        <w:rPr>
          <w:rFonts w:hint="eastAsia"/>
          <w:szCs w:val="18"/>
          <w:lang w:val="en-CA"/>
        </w:rPr>
        <w:t>5</w:t>
      </w:r>
      <w:r w:rsidRPr="00953281">
        <w:rPr>
          <w:szCs w:val="18"/>
          <w:lang w:val="en-CA"/>
        </w:rPr>
        <w:t>,</w:t>
      </w:r>
      <w:r w:rsidRPr="00953281">
        <w:rPr>
          <w:rFonts w:hint="eastAsia"/>
          <w:szCs w:val="18"/>
          <w:lang w:val="en-CA"/>
        </w:rPr>
        <w:t xml:space="preserve"> </w:t>
      </w:r>
      <w:r w:rsidRPr="00953281">
        <w:rPr>
          <w:szCs w:val="18"/>
          <w:lang w:val="en-CA"/>
        </w:rPr>
        <w:t>第</w:t>
      </w:r>
      <w:r w:rsidRPr="00953281">
        <w:rPr>
          <w:szCs w:val="18"/>
        </w:rPr>
        <w:t>75</w:t>
      </w:r>
      <w:r w:rsidRPr="00953281">
        <w:rPr>
          <w:szCs w:val="18"/>
        </w:rPr>
        <w:t>段</w:t>
      </w:r>
      <w:r w:rsidRPr="00953281">
        <w:rPr>
          <w:szCs w:val="18"/>
        </w:rPr>
        <w:t>(</w:t>
      </w:r>
      <w:r w:rsidRPr="00953281">
        <w:rPr>
          <w:szCs w:val="18"/>
        </w:rPr>
        <w:t>葡萄牙</w:t>
      </w:r>
      <w:r w:rsidRPr="00953281">
        <w:rPr>
          <w:szCs w:val="18"/>
        </w:rPr>
        <w:t>)</w:t>
      </w:r>
      <w:r w:rsidRPr="00953281">
        <w:rPr>
          <w:szCs w:val="18"/>
        </w:rPr>
        <w:t>；</w:t>
      </w:r>
      <w:r w:rsidRPr="00953281">
        <w:rPr>
          <w:szCs w:val="18"/>
        </w:rPr>
        <w:t>A/C.6/66/SR.2</w:t>
      </w:r>
      <w:r>
        <w:rPr>
          <w:rFonts w:hint="eastAsia"/>
          <w:szCs w:val="18"/>
        </w:rPr>
        <w:t>7</w:t>
      </w:r>
      <w:r w:rsidRPr="00953281">
        <w:rPr>
          <w:szCs w:val="18"/>
        </w:rPr>
        <w:t xml:space="preserve">, </w:t>
      </w:r>
      <w:r w:rsidRPr="00953281">
        <w:rPr>
          <w:szCs w:val="18"/>
        </w:rPr>
        <w:t>第</w:t>
      </w:r>
      <w:r w:rsidRPr="00953281">
        <w:rPr>
          <w:szCs w:val="18"/>
          <w:lang w:val="en-CA"/>
        </w:rPr>
        <w:t>49</w:t>
      </w:r>
      <w:r w:rsidRPr="00953281">
        <w:rPr>
          <w:szCs w:val="18"/>
          <w:lang w:val="en-CA"/>
        </w:rPr>
        <w:t>段</w:t>
      </w:r>
      <w:r w:rsidRPr="00953281">
        <w:rPr>
          <w:szCs w:val="18"/>
          <w:lang w:val="en-CA"/>
        </w:rPr>
        <w:t>(</w:t>
      </w:r>
      <w:r w:rsidRPr="00953281">
        <w:rPr>
          <w:szCs w:val="18"/>
          <w:lang w:val="en-CA"/>
        </w:rPr>
        <w:t>伊朗伊斯兰共和国</w:t>
      </w:r>
      <w:r w:rsidRPr="00953281">
        <w:rPr>
          <w:szCs w:val="18"/>
          <w:lang w:val="en-CA"/>
        </w:rPr>
        <w:t>)</w:t>
      </w:r>
      <w:r w:rsidRPr="00953281">
        <w:rPr>
          <w:szCs w:val="18"/>
          <w:lang w:val="en-CA"/>
        </w:rPr>
        <w:t>；</w:t>
      </w:r>
      <w:r w:rsidRPr="00953281">
        <w:rPr>
          <w:szCs w:val="18"/>
          <w:lang w:val="en-CA"/>
        </w:rPr>
        <w:t xml:space="preserve">A/C.6/67/SR.23, </w:t>
      </w:r>
      <w:r w:rsidRPr="00953281">
        <w:rPr>
          <w:szCs w:val="18"/>
          <w:lang w:val="en-CA"/>
        </w:rPr>
        <w:t>第</w:t>
      </w:r>
      <w:r w:rsidRPr="00953281">
        <w:rPr>
          <w:szCs w:val="18"/>
          <w:lang w:val="en-CA"/>
        </w:rPr>
        <w:t>27</w:t>
      </w:r>
      <w:r w:rsidRPr="00953281">
        <w:rPr>
          <w:szCs w:val="18"/>
          <w:lang w:val="en-CA"/>
        </w:rPr>
        <w:t>段</w:t>
      </w:r>
      <w:r w:rsidRPr="00953281">
        <w:rPr>
          <w:szCs w:val="18"/>
          <w:lang w:val="en-CA"/>
        </w:rPr>
        <w:t>(</w:t>
      </w:r>
      <w:r w:rsidRPr="00953281">
        <w:rPr>
          <w:szCs w:val="18"/>
          <w:lang w:val="en-CA"/>
        </w:rPr>
        <w:t>伊朗伊斯兰共和国</w:t>
      </w:r>
      <w:r w:rsidRPr="00953281">
        <w:rPr>
          <w:szCs w:val="18"/>
          <w:lang w:val="en-CA"/>
        </w:rPr>
        <w:t>)</w:t>
      </w:r>
      <w:r w:rsidRPr="00953281">
        <w:rPr>
          <w:szCs w:val="18"/>
          <w:lang w:val="en-CA"/>
        </w:rPr>
        <w:t>。</w:t>
      </w:r>
    </w:p>
  </w:footnote>
  <w:footnote w:id="42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例如，见</w:t>
      </w:r>
      <w:r w:rsidRPr="00953281">
        <w:rPr>
          <w:szCs w:val="18"/>
          <w:lang w:val="en-CA"/>
        </w:rPr>
        <w:t xml:space="preserve">A/C.6/64/SR.23, </w:t>
      </w:r>
      <w:r w:rsidRPr="00953281">
        <w:rPr>
          <w:szCs w:val="18"/>
          <w:lang w:val="en-CA"/>
        </w:rPr>
        <w:t>第</w:t>
      </w:r>
      <w:r w:rsidRPr="00953281">
        <w:rPr>
          <w:szCs w:val="18"/>
          <w:lang w:val="en-CA"/>
        </w:rPr>
        <w:t>52</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r w:rsidRPr="00953281">
        <w:rPr>
          <w:szCs w:val="18"/>
          <w:lang w:val="en-CA"/>
        </w:rPr>
        <w:t xml:space="preserve">A/C.6/64/SR.23, </w:t>
      </w:r>
      <w:r w:rsidRPr="00953281">
        <w:rPr>
          <w:szCs w:val="18"/>
          <w:lang w:val="en-CA"/>
        </w:rPr>
        <w:t>第</w:t>
      </w:r>
      <w:r w:rsidRPr="00953281">
        <w:rPr>
          <w:szCs w:val="18"/>
          <w:lang w:val="en-CA"/>
        </w:rPr>
        <w:t>31</w:t>
      </w:r>
      <w:r w:rsidRPr="00953281">
        <w:rPr>
          <w:szCs w:val="18"/>
          <w:lang w:val="en-CA"/>
        </w:rPr>
        <w:t>段</w:t>
      </w:r>
      <w:r w:rsidRPr="00953281">
        <w:rPr>
          <w:szCs w:val="18"/>
          <w:lang w:val="en-CA"/>
        </w:rPr>
        <w:t>(</w:t>
      </w:r>
      <w:r w:rsidRPr="00953281">
        <w:rPr>
          <w:szCs w:val="18"/>
          <w:lang w:val="en-CA"/>
        </w:rPr>
        <w:t>日本</w:t>
      </w:r>
      <w:r w:rsidRPr="00953281">
        <w:rPr>
          <w:szCs w:val="18"/>
          <w:lang w:val="en-CA"/>
        </w:rPr>
        <w:t>)</w:t>
      </w:r>
      <w:r w:rsidRPr="00953281">
        <w:rPr>
          <w:szCs w:val="18"/>
          <w:lang w:val="en-CA"/>
        </w:rPr>
        <w:t>；</w:t>
      </w:r>
      <w:r w:rsidRPr="00953281">
        <w:rPr>
          <w:szCs w:val="18"/>
          <w:lang w:val="en-CA"/>
        </w:rPr>
        <w:t xml:space="preserve">A/C.6/65/SR.26, </w:t>
      </w:r>
      <w:r w:rsidRPr="00953281">
        <w:rPr>
          <w:szCs w:val="18"/>
          <w:lang w:val="en-CA"/>
        </w:rPr>
        <w:t>第</w:t>
      </w:r>
      <w:r w:rsidRPr="00953281">
        <w:rPr>
          <w:szCs w:val="18"/>
          <w:lang w:val="en-CA"/>
        </w:rPr>
        <w:t>17</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r w:rsidRPr="00953281">
        <w:rPr>
          <w:szCs w:val="18"/>
          <w:lang w:val="en-CA"/>
        </w:rPr>
        <w:t xml:space="preserve">A/C.6/66/SR.27, </w:t>
      </w:r>
      <w:r w:rsidRPr="00953281">
        <w:rPr>
          <w:szCs w:val="18"/>
          <w:lang w:val="en-CA"/>
        </w:rPr>
        <w:t>第</w:t>
      </w:r>
      <w:r w:rsidRPr="00953281">
        <w:rPr>
          <w:szCs w:val="18"/>
          <w:lang w:val="en-CA"/>
        </w:rPr>
        <w:t>94</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r w:rsidRPr="00953281">
        <w:rPr>
          <w:szCs w:val="18"/>
          <w:lang w:val="en-CA"/>
        </w:rPr>
        <w:t xml:space="preserve">A/C.6/67/SR.21, </w:t>
      </w:r>
      <w:r w:rsidRPr="00953281">
        <w:rPr>
          <w:szCs w:val="18"/>
          <w:lang w:val="en-CA"/>
        </w:rPr>
        <w:t>第</w:t>
      </w:r>
      <w:r w:rsidRPr="00953281">
        <w:rPr>
          <w:szCs w:val="18"/>
          <w:lang w:val="en-CA"/>
        </w:rPr>
        <w:t>103</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p>
  </w:footnote>
  <w:footnote w:id="42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例如，见</w:t>
      </w:r>
      <w:r w:rsidRPr="00953281">
        <w:rPr>
          <w:szCs w:val="18"/>
          <w:lang w:val="en-CA"/>
        </w:rPr>
        <w:t xml:space="preserve">A/C.6/64/SR.23, </w:t>
      </w:r>
      <w:r w:rsidRPr="00953281">
        <w:rPr>
          <w:szCs w:val="18"/>
          <w:lang w:val="en-CA"/>
        </w:rPr>
        <w:t>第</w:t>
      </w:r>
      <w:r w:rsidRPr="00953281">
        <w:rPr>
          <w:szCs w:val="18"/>
          <w:lang w:val="en-CA"/>
        </w:rPr>
        <w:t>52</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r w:rsidRPr="00953281">
        <w:rPr>
          <w:szCs w:val="18"/>
          <w:lang w:val="en-CA"/>
        </w:rPr>
        <w:t xml:space="preserve">A/C.6/65/SR.25, </w:t>
      </w:r>
      <w:r w:rsidRPr="00953281">
        <w:rPr>
          <w:szCs w:val="18"/>
          <w:lang w:val="en-CA"/>
        </w:rPr>
        <w:t>第</w:t>
      </w:r>
      <w:r w:rsidRPr="00953281">
        <w:rPr>
          <w:szCs w:val="18"/>
          <w:lang w:val="en-CA"/>
        </w:rPr>
        <w:t>82</w:t>
      </w:r>
      <w:r w:rsidRPr="00953281">
        <w:rPr>
          <w:szCs w:val="18"/>
          <w:lang w:val="en-CA"/>
        </w:rPr>
        <w:t>段</w:t>
      </w:r>
      <w:r w:rsidRPr="00953281">
        <w:rPr>
          <w:szCs w:val="18"/>
          <w:lang w:val="en-CA"/>
        </w:rPr>
        <w:t>(</w:t>
      </w:r>
      <w:r w:rsidRPr="00953281">
        <w:rPr>
          <w:szCs w:val="18"/>
          <w:lang w:val="en-CA"/>
        </w:rPr>
        <w:t>联合王国</w:t>
      </w:r>
      <w:r w:rsidRPr="00953281">
        <w:rPr>
          <w:szCs w:val="18"/>
          <w:lang w:val="en-CA"/>
        </w:rPr>
        <w:t>)</w:t>
      </w:r>
      <w:r w:rsidRPr="00953281">
        <w:rPr>
          <w:szCs w:val="18"/>
          <w:lang w:val="en-CA"/>
        </w:rPr>
        <w:t>；</w:t>
      </w:r>
      <w:r w:rsidRPr="00953281">
        <w:rPr>
          <w:szCs w:val="18"/>
          <w:lang w:val="en-CA"/>
        </w:rPr>
        <w:t xml:space="preserve">A/C.6/65/SR.26, </w:t>
      </w:r>
      <w:r w:rsidRPr="00953281">
        <w:rPr>
          <w:szCs w:val="18"/>
          <w:lang w:val="en-CA"/>
        </w:rPr>
        <w:t>第</w:t>
      </w:r>
      <w:r w:rsidRPr="00953281">
        <w:rPr>
          <w:szCs w:val="18"/>
          <w:lang w:val="en-CA"/>
        </w:rPr>
        <w:t>17</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r w:rsidRPr="00953281">
        <w:rPr>
          <w:szCs w:val="18"/>
          <w:lang w:val="en-CA"/>
        </w:rPr>
        <w:t xml:space="preserve">A/C.6/69/SR.25, </w:t>
      </w:r>
      <w:r w:rsidRPr="00953281">
        <w:rPr>
          <w:szCs w:val="18"/>
          <w:lang w:val="en-CA"/>
        </w:rPr>
        <w:t>第</w:t>
      </w:r>
      <w:r w:rsidRPr="00953281">
        <w:rPr>
          <w:szCs w:val="18"/>
          <w:lang w:val="en-CA"/>
        </w:rPr>
        <w:t>115</w:t>
      </w:r>
      <w:r w:rsidRPr="00953281">
        <w:rPr>
          <w:szCs w:val="18"/>
          <w:lang w:val="en-CA"/>
        </w:rPr>
        <w:t>段</w:t>
      </w:r>
      <w:r w:rsidRPr="00953281">
        <w:rPr>
          <w:szCs w:val="18"/>
          <w:lang w:val="en-CA"/>
        </w:rPr>
        <w:t>(</w:t>
      </w:r>
      <w:r w:rsidRPr="00953281">
        <w:rPr>
          <w:szCs w:val="18"/>
          <w:lang w:val="en-CA"/>
        </w:rPr>
        <w:t>奥地利</w:t>
      </w:r>
      <w:r w:rsidRPr="00953281">
        <w:rPr>
          <w:szCs w:val="18"/>
          <w:lang w:val="en-CA"/>
        </w:rPr>
        <w:t>)</w:t>
      </w:r>
      <w:r w:rsidRPr="00953281">
        <w:rPr>
          <w:szCs w:val="18"/>
          <w:lang w:val="en-CA"/>
        </w:rPr>
        <w:t>；</w:t>
      </w:r>
      <w:r w:rsidRPr="00953281">
        <w:rPr>
          <w:szCs w:val="18"/>
          <w:lang w:val="en-CA"/>
        </w:rPr>
        <w:t>A/C.6/69/SR.26,</w:t>
      </w:r>
      <w:r w:rsidRPr="00953281">
        <w:rPr>
          <w:rFonts w:hint="eastAsia"/>
          <w:szCs w:val="18"/>
          <w:lang w:val="en-CA"/>
        </w:rPr>
        <w:t xml:space="preserve"> </w:t>
      </w:r>
      <w:r w:rsidRPr="00953281">
        <w:rPr>
          <w:szCs w:val="18"/>
          <w:lang w:val="en-CA"/>
        </w:rPr>
        <w:t>第</w:t>
      </w:r>
      <w:r w:rsidRPr="00953281">
        <w:rPr>
          <w:szCs w:val="18"/>
          <w:lang w:val="en-CA"/>
        </w:rPr>
        <w:t>18</w:t>
      </w:r>
      <w:r w:rsidRPr="00953281">
        <w:rPr>
          <w:szCs w:val="18"/>
          <w:lang w:val="en-CA"/>
        </w:rPr>
        <w:t>段</w:t>
      </w:r>
      <w:r w:rsidRPr="00953281">
        <w:rPr>
          <w:szCs w:val="18"/>
          <w:lang w:val="en-CA"/>
        </w:rPr>
        <w:t>(</w:t>
      </w:r>
      <w:r w:rsidRPr="00953281">
        <w:rPr>
          <w:szCs w:val="18"/>
          <w:lang w:val="en-CA"/>
        </w:rPr>
        <w:t>联合王国</w:t>
      </w:r>
      <w:r w:rsidRPr="00953281">
        <w:rPr>
          <w:szCs w:val="18"/>
          <w:lang w:val="en-CA"/>
        </w:rPr>
        <w:t>)</w:t>
      </w:r>
      <w:r w:rsidRPr="00953281">
        <w:rPr>
          <w:szCs w:val="18"/>
          <w:lang w:val="en-CA"/>
        </w:rPr>
        <w:t>；</w:t>
      </w:r>
      <w:r w:rsidRPr="00953281">
        <w:rPr>
          <w:szCs w:val="18"/>
          <w:lang w:val="en-CA"/>
        </w:rPr>
        <w:t xml:space="preserve">A/C.6/69/SR.27, </w:t>
      </w:r>
      <w:r w:rsidRPr="00953281">
        <w:rPr>
          <w:szCs w:val="18"/>
          <w:lang w:val="en-CA"/>
        </w:rPr>
        <w:t>第</w:t>
      </w:r>
      <w:r w:rsidRPr="00953281">
        <w:rPr>
          <w:szCs w:val="18"/>
          <w:lang w:val="en-CA"/>
        </w:rPr>
        <w:t>26</w:t>
      </w:r>
      <w:r w:rsidRPr="00953281">
        <w:rPr>
          <w:szCs w:val="18"/>
          <w:lang w:val="en-CA"/>
        </w:rPr>
        <w:t>段</w:t>
      </w:r>
      <w:r w:rsidRPr="00953281">
        <w:rPr>
          <w:szCs w:val="18"/>
          <w:lang w:val="en-CA"/>
        </w:rPr>
        <w:t>(</w:t>
      </w:r>
      <w:r w:rsidRPr="00953281">
        <w:rPr>
          <w:szCs w:val="18"/>
          <w:lang w:val="en-CA"/>
        </w:rPr>
        <w:t>美利坚合众国</w:t>
      </w:r>
      <w:r w:rsidRPr="00953281">
        <w:rPr>
          <w:szCs w:val="18"/>
          <w:lang w:val="en-CA"/>
        </w:rPr>
        <w:t>)</w:t>
      </w:r>
      <w:r w:rsidRPr="00953281">
        <w:rPr>
          <w:szCs w:val="18"/>
          <w:lang w:val="en-CA"/>
        </w:rPr>
        <w:t>。</w:t>
      </w:r>
    </w:p>
  </w:footnote>
  <w:footnote w:id="42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例如，见</w:t>
      </w:r>
      <w:r w:rsidRPr="00953281">
        <w:rPr>
          <w:szCs w:val="18"/>
          <w:lang w:val="en-CA"/>
        </w:rPr>
        <w:t>A/C.6/64/SR.18,</w:t>
      </w:r>
      <w:r w:rsidRPr="00953281">
        <w:rPr>
          <w:rFonts w:hint="eastAsia"/>
          <w:szCs w:val="18"/>
          <w:lang w:val="en-CA"/>
        </w:rPr>
        <w:t xml:space="preserve"> </w:t>
      </w:r>
      <w:r w:rsidRPr="00953281">
        <w:rPr>
          <w:szCs w:val="18"/>
          <w:lang w:val="en-CA"/>
        </w:rPr>
        <w:t>第</w:t>
      </w:r>
      <w:r w:rsidRPr="00953281">
        <w:rPr>
          <w:szCs w:val="18"/>
          <w:lang w:val="en-CA"/>
        </w:rPr>
        <w:t>66</w:t>
      </w:r>
      <w:r w:rsidRPr="00953281">
        <w:rPr>
          <w:szCs w:val="18"/>
          <w:lang w:val="en-CA"/>
        </w:rPr>
        <w:t>段</w:t>
      </w:r>
      <w:r w:rsidRPr="00953281">
        <w:rPr>
          <w:szCs w:val="18"/>
          <w:lang w:val="en-CA"/>
        </w:rPr>
        <w:t>(</w:t>
      </w:r>
      <w:r w:rsidRPr="00953281">
        <w:rPr>
          <w:szCs w:val="18"/>
          <w:lang w:val="en-CA"/>
        </w:rPr>
        <w:t>匈牙利</w:t>
      </w:r>
      <w:r w:rsidRPr="00953281">
        <w:rPr>
          <w:szCs w:val="18"/>
          <w:lang w:val="en-CA"/>
        </w:rPr>
        <w:t>)</w:t>
      </w:r>
      <w:r w:rsidRPr="00953281">
        <w:rPr>
          <w:szCs w:val="18"/>
          <w:lang w:val="en-CA"/>
        </w:rPr>
        <w:t>；</w:t>
      </w:r>
      <w:r w:rsidRPr="00953281">
        <w:rPr>
          <w:szCs w:val="18"/>
          <w:lang w:val="en-CA"/>
        </w:rPr>
        <w:t>A/C.6/64/SR.22,</w:t>
      </w:r>
      <w:r w:rsidRPr="00953281">
        <w:rPr>
          <w:rFonts w:hint="eastAsia"/>
          <w:szCs w:val="18"/>
          <w:lang w:val="en-CA"/>
        </w:rPr>
        <w:t xml:space="preserve"> </w:t>
      </w:r>
      <w:r w:rsidRPr="00953281">
        <w:rPr>
          <w:szCs w:val="18"/>
          <w:lang w:val="en-CA"/>
        </w:rPr>
        <w:t>第</w:t>
      </w:r>
      <w:r w:rsidRPr="00953281">
        <w:rPr>
          <w:szCs w:val="18"/>
          <w:lang w:val="en-CA"/>
        </w:rPr>
        <w:t>75</w:t>
      </w:r>
      <w:r w:rsidRPr="00953281">
        <w:rPr>
          <w:szCs w:val="18"/>
          <w:lang w:val="en-CA"/>
        </w:rPr>
        <w:t>段</w:t>
      </w:r>
      <w:r w:rsidRPr="00953281">
        <w:rPr>
          <w:szCs w:val="18"/>
          <w:lang w:val="en-CA"/>
        </w:rPr>
        <w:t>(</w:t>
      </w:r>
      <w:r w:rsidRPr="00953281">
        <w:rPr>
          <w:szCs w:val="18"/>
          <w:lang w:val="en-CA"/>
        </w:rPr>
        <w:t>新西兰</w:t>
      </w:r>
      <w:r w:rsidRPr="00953281">
        <w:rPr>
          <w:szCs w:val="18"/>
          <w:lang w:val="en-CA"/>
        </w:rPr>
        <w:t>)</w:t>
      </w:r>
      <w:r w:rsidRPr="00953281">
        <w:rPr>
          <w:szCs w:val="18"/>
          <w:lang w:val="en-CA"/>
        </w:rPr>
        <w:t>；</w:t>
      </w:r>
      <w:r w:rsidRPr="00953281">
        <w:rPr>
          <w:szCs w:val="18"/>
          <w:lang w:val="en-CA"/>
        </w:rPr>
        <w:t>A/C.6/65/SR.26,</w:t>
      </w:r>
      <w:r w:rsidRPr="00953281">
        <w:rPr>
          <w:szCs w:val="18"/>
          <w:lang w:val="en-CA"/>
        </w:rPr>
        <w:t>第</w:t>
      </w:r>
      <w:r w:rsidRPr="00953281">
        <w:rPr>
          <w:szCs w:val="18"/>
          <w:lang w:val="en-CA"/>
        </w:rPr>
        <w:t>45</w:t>
      </w:r>
      <w:r w:rsidRPr="00953281">
        <w:rPr>
          <w:szCs w:val="18"/>
          <w:lang w:val="en-CA"/>
        </w:rPr>
        <w:t>段</w:t>
      </w:r>
      <w:r w:rsidRPr="00953281">
        <w:rPr>
          <w:szCs w:val="18"/>
          <w:lang w:val="en-CA"/>
        </w:rPr>
        <w:t>(</w:t>
      </w:r>
      <w:r w:rsidRPr="00953281">
        <w:rPr>
          <w:szCs w:val="18"/>
          <w:lang w:val="en-CA"/>
        </w:rPr>
        <w:t>斯里兰卡</w:t>
      </w:r>
      <w:r w:rsidRPr="00953281">
        <w:rPr>
          <w:szCs w:val="18"/>
          <w:lang w:val="en-CA"/>
        </w:rPr>
        <w:t>)</w:t>
      </w:r>
      <w:r w:rsidRPr="00953281">
        <w:rPr>
          <w:szCs w:val="18"/>
          <w:lang w:val="en-CA"/>
        </w:rPr>
        <w:t>；</w:t>
      </w:r>
      <w:r w:rsidRPr="00953281">
        <w:rPr>
          <w:szCs w:val="18"/>
          <w:lang w:val="en-CA"/>
        </w:rPr>
        <w:t>A/C.6/66/SR.27,</w:t>
      </w:r>
      <w:r w:rsidRPr="00953281">
        <w:rPr>
          <w:rFonts w:hint="eastAsia"/>
          <w:szCs w:val="18"/>
          <w:lang w:val="en-CA"/>
        </w:rPr>
        <w:t xml:space="preserve"> </w:t>
      </w:r>
      <w:r w:rsidRPr="00953281">
        <w:rPr>
          <w:szCs w:val="18"/>
          <w:lang w:val="en-CA"/>
        </w:rPr>
        <w:t>第</w:t>
      </w:r>
      <w:r w:rsidRPr="00953281">
        <w:rPr>
          <w:szCs w:val="18"/>
          <w:lang w:val="en-CA"/>
        </w:rPr>
        <w:t>28</w:t>
      </w:r>
      <w:r w:rsidRPr="00953281">
        <w:rPr>
          <w:szCs w:val="18"/>
          <w:lang w:val="en-CA"/>
        </w:rPr>
        <w:t>段</w:t>
      </w:r>
      <w:r w:rsidRPr="00953281">
        <w:rPr>
          <w:szCs w:val="18"/>
          <w:lang w:val="en-CA"/>
        </w:rPr>
        <w:t>(</w:t>
      </w:r>
      <w:r w:rsidRPr="00953281">
        <w:rPr>
          <w:szCs w:val="18"/>
          <w:lang w:val="en-CA"/>
        </w:rPr>
        <w:t>斯里兰卡</w:t>
      </w:r>
      <w:r w:rsidRPr="00953281">
        <w:rPr>
          <w:szCs w:val="18"/>
          <w:lang w:val="en-CA"/>
        </w:rPr>
        <w:t>)</w:t>
      </w:r>
      <w:r w:rsidRPr="00953281">
        <w:rPr>
          <w:szCs w:val="18"/>
          <w:lang w:val="en-CA"/>
        </w:rPr>
        <w:t>；</w:t>
      </w:r>
      <w:r w:rsidRPr="00953281">
        <w:rPr>
          <w:szCs w:val="18"/>
          <w:lang w:val="en-CA"/>
        </w:rPr>
        <w:t>A/C.6/66/SR.27,</w:t>
      </w:r>
      <w:r w:rsidRPr="00953281">
        <w:rPr>
          <w:rFonts w:hint="eastAsia"/>
          <w:szCs w:val="18"/>
          <w:lang w:val="en-CA"/>
        </w:rPr>
        <w:t xml:space="preserve"> </w:t>
      </w:r>
      <w:r w:rsidRPr="00953281">
        <w:rPr>
          <w:szCs w:val="18"/>
          <w:lang w:val="en-CA"/>
        </w:rPr>
        <w:t>第</w:t>
      </w:r>
      <w:r w:rsidRPr="00953281">
        <w:rPr>
          <w:szCs w:val="18"/>
          <w:lang w:val="en-CA"/>
        </w:rPr>
        <w:t>69</w:t>
      </w:r>
      <w:r w:rsidRPr="00953281">
        <w:rPr>
          <w:szCs w:val="18"/>
          <w:lang w:val="en-CA"/>
        </w:rPr>
        <w:t>段</w:t>
      </w:r>
      <w:r w:rsidRPr="00953281">
        <w:rPr>
          <w:szCs w:val="18"/>
          <w:lang w:val="en-CA"/>
        </w:rPr>
        <w:t>(</w:t>
      </w:r>
      <w:r w:rsidRPr="00953281">
        <w:rPr>
          <w:szCs w:val="18"/>
          <w:lang w:val="en-CA"/>
        </w:rPr>
        <w:t>俄罗斯联邦</w:t>
      </w:r>
      <w:r w:rsidRPr="00953281">
        <w:rPr>
          <w:szCs w:val="18"/>
          <w:lang w:val="en-CA"/>
        </w:rPr>
        <w:t>)</w:t>
      </w:r>
      <w:r w:rsidRPr="00953281">
        <w:rPr>
          <w:szCs w:val="18"/>
          <w:lang w:val="en-CA"/>
        </w:rPr>
        <w:t>；</w:t>
      </w:r>
      <w:r w:rsidRPr="00953281">
        <w:rPr>
          <w:szCs w:val="18"/>
          <w:lang w:val="en-CA"/>
        </w:rPr>
        <w:t>A/C.6/66/SR.27,</w:t>
      </w:r>
      <w:r w:rsidRPr="00953281">
        <w:rPr>
          <w:rFonts w:hint="eastAsia"/>
          <w:szCs w:val="18"/>
          <w:lang w:val="en-CA"/>
        </w:rPr>
        <w:t xml:space="preserve"> </w:t>
      </w:r>
      <w:r w:rsidRPr="00953281">
        <w:rPr>
          <w:szCs w:val="18"/>
          <w:lang w:val="en-CA"/>
        </w:rPr>
        <w:t>第</w:t>
      </w:r>
      <w:r w:rsidRPr="00953281">
        <w:rPr>
          <w:szCs w:val="18"/>
          <w:lang w:val="en-CA"/>
        </w:rPr>
        <w:t>78</w:t>
      </w:r>
      <w:r w:rsidRPr="00953281">
        <w:rPr>
          <w:szCs w:val="18"/>
          <w:lang w:val="en-CA"/>
        </w:rPr>
        <w:t>段</w:t>
      </w:r>
      <w:r w:rsidRPr="00953281">
        <w:rPr>
          <w:szCs w:val="18"/>
          <w:lang w:val="en-CA"/>
        </w:rPr>
        <w:t>(</w:t>
      </w:r>
      <w:r w:rsidRPr="00953281">
        <w:rPr>
          <w:szCs w:val="18"/>
          <w:lang w:val="en-CA"/>
        </w:rPr>
        <w:t>葡萄牙</w:t>
      </w:r>
      <w:r w:rsidRPr="00953281">
        <w:rPr>
          <w:szCs w:val="18"/>
          <w:lang w:val="en-CA"/>
        </w:rPr>
        <w:t>)</w:t>
      </w:r>
      <w:r w:rsidRPr="00953281">
        <w:rPr>
          <w:szCs w:val="18"/>
          <w:lang w:val="en-CA"/>
        </w:rPr>
        <w:t>；</w:t>
      </w:r>
      <w:r w:rsidRPr="00953281">
        <w:rPr>
          <w:szCs w:val="18"/>
          <w:lang w:val="en-CA"/>
        </w:rPr>
        <w:t>A/C.6/66/SR.27,</w:t>
      </w:r>
      <w:r w:rsidRPr="00953281">
        <w:rPr>
          <w:rFonts w:hint="eastAsia"/>
          <w:szCs w:val="18"/>
          <w:lang w:val="en-CA"/>
        </w:rPr>
        <w:t xml:space="preserve"> </w:t>
      </w:r>
      <w:r w:rsidRPr="00953281">
        <w:rPr>
          <w:szCs w:val="18"/>
          <w:lang w:val="en-CA"/>
        </w:rPr>
        <w:t>第</w:t>
      </w:r>
      <w:r w:rsidRPr="00953281">
        <w:rPr>
          <w:szCs w:val="18"/>
          <w:lang w:val="en-CA"/>
        </w:rPr>
        <w:t>89</w:t>
      </w:r>
      <w:r w:rsidRPr="00953281">
        <w:rPr>
          <w:szCs w:val="18"/>
          <w:lang w:val="en-CA"/>
        </w:rPr>
        <w:t>段</w:t>
      </w:r>
      <w:r w:rsidRPr="00953281">
        <w:rPr>
          <w:szCs w:val="18"/>
          <w:lang w:val="en-CA"/>
        </w:rPr>
        <w:t>(</w:t>
      </w:r>
      <w:r w:rsidRPr="00953281">
        <w:rPr>
          <w:szCs w:val="18"/>
          <w:lang w:val="en-CA"/>
        </w:rPr>
        <w:t>越南</w:t>
      </w:r>
      <w:r w:rsidRPr="00953281">
        <w:rPr>
          <w:szCs w:val="18"/>
          <w:lang w:val="en-CA"/>
        </w:rPr>
        <w:t>)</w:t>
      </w:r>
      <w:r w:rsidRPr="00953281">
        <w:rPr>
          <w:szCs w:val="18"/>
          <w:lang w:val="en-CA"/>
        </w:rPr>
        <w:t>；</w:t>
      </w:r>
      <w:r w:rsidRPr="00953281">
        <w:rPr>
          <w:szCs w:val="18"/>
          <w:lang w:val="en-CA"/>
        </w:rPr>
        <w:t>A/C.6/66/SR.28,</w:t>
      </w:r>
      <w:r w:rsidRPr="00953281">
        <w:rPr>
          <w:rFonts w:hint="eastAsia"/>
          <w:szCs w:val="18"/>
          <w:lang w:val="en-CA"/>
        </w:rPr>
        <w:t xml:space="preserve"> </w:t>
      </w:r>
      <w:r w:rsidRPr="00953281">
        <w:rPr>
          <w:szCs w:val="18"/>
          <w:lang w:val="en-CA"/>
        </w:rPr>
        <w:t>第</w:t>
      </w:r>
      <w:r w:rsidRPr="00953281">
        <w:rPr>
          <w:szCs w:val="18"/>
        </w:rPr>
        <w:t>21</w:t>
      </w:r>
      <w:r w:rsidRPr="00953281">
        <w:rPr>
          <w:szCs w:val="18"/>
        </w:rPr>
        <w:t>段</w:t>
      </w:r>
      <w:r w:rsidRPr="00953281">
        <w:rPr>
          <w:szCs w:val="18"/>
        </w:rPr>
        <w:t>(</w:t>
      </w:r>
      <w:r w:rsidRPr="00953281">
        <w:rPr>
          <w:szCs w:val="18"/>
        </w:rPr>
        <w:t>加拿大</w:t>
      </w:r>
      <w:r w:rsidRPr="00953281">
        <w:rPr>
          <w:szCs w:val="18"/>
        </w:rPr>
        <w:t>)</w:t>
      </w:r>
      <w:r w:rsidRPr="00953281">
        <w:rPr>
          <w:szCs w:val="18"/>
        </w:rPr>
        <w:t>；</w:t>
      </w:r>
      <w:r w:rsidRPr="00953281">
        <w:rPr>
          <w:szCs w:val="18"/>
        </w:rPr>
        <w:t>A/C.6/67/SR.20,</w:t>
      </w:r>
      <w:r w:rsidRPr="00953281">
        <w:rPr>
          <w:rFonts w:hint="eastAsia"/>
          <w:szCs w:val="18"/>
        </w:rPr>
        <w:t xml:space="preserve"> </w:t>
      </w:r>
      <w:r w:rsidRPr="00953281">
        <w:rPr>
          <w:szCs w:val="18"/>
        </w:rPr>
        <w:t>第</w:t>
      </w:r>
      <w:r w:rsidRPr="00953281">
        <w:rPr>
          <w:szCs w:val="18"/>
        </w:rPr>
        <w:t>109</w:t>
      </w:r>
      <w:r w:rsidRPr="00953281">
        <w:rPr>
          <w:szCs w:val="18"/>
        </w:rPr>
        <w:t>段</w:t>
      </w:r>
      <w:r w:rsidRPr="00953281">
        <w:rPr>
          <w:szCs w:val="18"/>
        </w:rPr>
        <w:t>(</w:t>
      </w:r>
      <w:r w:rsidRPr="00953281">
        <w:rPr>
          <w:szCs w:val="18"/>
        </w:rPr>
        <w:t>加拿大</w:t>
      </w:r>
      <w:r w:rsidRPr="00953281">
        <w:rPr>
          <w:szCs w:val="18"/>
        </w:rPr>
        <w:t>)</w:t>
      </w:r>
      <w:r w:rsidRPr="00953281">
        <w:rPr>
          <w:szCs w:val="18"/>
        </w:rPr>
        <w:t>；</w:t>
      </w:r>
      <w:r w:rsidRPr="00953281">
        <w:rPr>
          <w:szCs w:val="18"/>
        </w:rPr>
        <w:t>A/C.6/69/SR.25,</w:t>
      </w:r>
      <w:r w:rsidRPr="00953281">
        <w:rPr>
          <w:rFonts w:hint="eastAsia"/>
          <w:szCs w:val="18"/>
        </w:rPr>
        <w:t xml:space="preserve"> </w:t>
      </w:r>
      <w:r w:rsidRPr="00953281">
        <w:rPr>
          <w:szCs w:val="18"/>
        </w:rPr>
        <w:t>第</w:t>
      </w:r>
      <w:r w:rsidRPr="00953281">
        <w:rPr>
          <w:szCs w:val="18"/>
          <w:lang w:val="en-CA"/>
        </w:rPr>
        <w:t>21</w:t>
      </w:r>
      <w:r w:rsidRPr="00953281">
        <w:rPr>
          <w:szCs w:val="18"/>
          <w:lang w:val="en-CA"/>
        </w:rPr>
        <w:t>段</w:t>
      </w:r>
      <w:r w:rsidRPr="00953281">
        <w:rPr>
          <w:szCs w:val="18"/>
          <w:lang w:val="en-CA"/>
        </w:rPr>
        <w:t>(</w:t>
      </w:r>
      <w:r w:rsidRPr="00953281">
        <w:rPr>
          <w:szCs w:val="18"/>
          <w:lang w:val="en-CA"/>
        </w:rPr>
        <w:t>越南</w:t>
      </w:r>
      <w:r w:rsidRPr="00953281">
        <w:rPr>
          <w:szCs w:val="18"/>
          <w:lang w:val="en-CA"/>
        </w:rPr>
        <w:t>)</w:t>
      </w:r>
      <w:r w:rsidRPr="00953281">
        <w:rPr>
          <w:szCs w:val="18"/>
          <w:lang w:val="en-CA"/>
        </w:rPr>
        <w:t>；</w:t>
      </w:r>
      <w:r w:rsidRPr="00953281">
        <w:rPr>
          <w:szCs w:val="18"/>
          <w:lang w:val="en-CA"/>
        </w:rPr>
        <w:t>A/C.6/69/SR.26,</w:t>
      </w:r>
      <w:r w:rsidRPr="00953281">
        <w:rPr>
          <w:rFonts w:hint="eastAsia"/>
          <w:szCs w:val="18"/>
          <w:lang w:val="en-CA"/>
        </w:rPr>
        <w:t xml:space="preserve"> </w:t>
      </w:r>
      <w:r w:rsidRPr="00953281">
        <w:rPr>
          <w:szCs w:val="18"/>
          <w:lang w:val="en-CA"/>
        </w:rPr>
        <w:t>第</w:t>
      </w:r>
      <w:r w:rsidRPr="00953281">
        <w:rPr>
          <w:szCs w:val="18"/>
          <w:lang w:val="en-CA"/>
        </w:rPr>
        <w:t>69</w:t>
      </w:r>
      <w:r w:rsidRPr="00953281">
        <w:rPr>
          <w:szCs w:val="18"/>
          <w:lang w:val="en-CA"/>
        </w:rPr>
        <w:t>段</w:t>
      </w:r>
      <w:r w:rsidRPr="00953281">
        <w:rPr>
          <w:szCs w:val="18"/>
          <w:lang w:val="en-CA"/>
        </w:rPr>
        <w:t>(</w:t>
      </w:r>
      <w:r w:rsidRPr="00953281">
        <w:rPr>
          <w:szCs w:val="18"/>
          <w:lang w:val="en-CA"/>
        </w:rPr>
        <w:t>新加坡</w:t>
      </w:r>
      <w:r w:rsidRPr="00953281">
        <w:rPr>
          <w:szCs w:val="18"/>
          <w:lang w:val="en-CA"/>
        </w:rPr>
        <w:t>)</w:t>
      </w:r>
      <w:r w:rsidRPr="00953281">
        <w:rPr>
          <w:szCs w:val="18"/>
          <w:lang w:val="en-CA"/>
        </w:rPr>
        <w:t>；</w:t>
      </w:r>
      <w:r w:rsidRPr="00953281">
        <w:rPr>
          <w:szCs w:val="18"/>
          <w:lang w:val="en-CA"/>
        </w:rPr>
        <w:t>A/C.6/69/SR.26,</w:t>
      </w:r>
      <w:r w:rsidRPr="00953281">
        <w:rPr>
          <w:rFonts w:hint="eastAsia"/>
          <w:szCs w:val="18"/>
          <w:lang w:val="en-CA"/>
        </w:rPr>
        <w:t xml:space="preserve"> </w:t>
      </w:r>
      <w:r w:rsidRPr="00953281">
        <w:rPr>
          <w:szCs w:val="18"/>
          <w:lang w:val="en-CA"/>
        </w:rPr>
        <w:t>第</w:t>
      </w:r>
      <w:r w:rsidRPr="00953281">
        <w:rPr>
          <w:szCs w:val="18"/>
          <w:lang w:val="en-CA"/>
        </w:rPr>
        <w:t>73</w:t>
      </w:r>
      <w:r w:rsidRPr="00953281">
        <w:rPr>
          <w:szCs w:val="18"/>
          <w:lang w:val="en-CA"/>
        </w:rPr>
        <w:t>段</w:t>
      </w:r>
      <w:r w:rsidRPr="00953281">
        <w:rPr>
          <w:szCs w:val="18"/>
          <w:lang w:val="en-CA"/>
        </w:rPr>
        <w:t>(</w:t>
      </w:r>
      <w:r w:rsidRPr="00953281">
        <w:rPr>
          <w:szCs w:val="18"/>
          <w:lang w:val="en-CA"/>
        </w:rPr>
        <w:t>澳大利亚</w:t>
      </w:r>
      <w:r w:rsidRPr="00953281">
        <w:rPr>
          <w:szCs w:val="18"/>
          <w:lang w:val="en-CA"/>
        </w:rPr>
        <w:t>)</w:t>
      </w:r>
      <w:r w:rsidRPr="00953281">
        <w:rPr>
          <w:szCs w:val="18"/>
          <w:lang w:val="en-CA"/>
        </w:rPr>
        <w:t>；</w:t>
      </w:r>
      <w:r w:rsidRPr="00953281">
        <w:rPr>
          <w:szCs w:val="18"/>
          <w:lang w:val="en-CA"/>
        </w:rPr>
        <w:t>A/C.6/69/SR.27,</w:t>
      </w:r>
      <w:r w:rsidRPr="00953281">
        <w:rPr>
          <w:rFonts w:hint="eastAsia"/>
          <w:szCs w:val="18"/>
          <w:lang w:val="en-CA"/>
        </w:rPr>
        <w:t xml:space="preserve"> </w:t>
      </w:r>
      <w:r w:rsidRPr="00953281">
        <w:rPr>
          <w:szCs w:val="18"/>
          <w:lang w:val="en-CA"/>
        </w:rPr>
        <w:t>第</w:t>
      </w:r>
      <w:r w:rsidRPr="00953281">
        <w:rPr>
          <w:szCs w:val="18"/>
          <w:lang w:val="en-CA"/>
        </w:rPr>
        <w:t>76</w:t>
      </w:r>
      <w:r w:rsidRPr="00953281">
        <w:rPr>
          <w:szCs w:val="18"/>
          <w:lang w:val="en-CA"/>
        </w:rPr>
        <w:t>段</w:t>
      </w:r>
      <w:r w:rsidRPr="00953281">
        <w:rPr>
          <w:szCs w:val="18"/>
          <w:lang w:val="en-CA"/>
        </w:rPr>
        <w:t>(</w:t>
      </w:r>
      <w:r w:rsidRPr="00953281">
        <w:rPr>
          <w:szCs w:val="18"/>
          <w:lang w:val="en-CA"/>
        </w:rPr>
        <w:t>大韩民国</w:t>
      </w:r>
      <w:r w:rsidRPr="00953281">
        <w:rPr>
          <w:szCs w:val="18"/>
          <w:lang w:val="en-CA"/>
        </w:rPr>
        <w:t>)</w:t>
      </w:r>
      <w:r w:rsidRPr="00953281">
        <w:rPr>
          <w:szCs w:val="18"/>
          <w:lang w:val="en-CA"/>
        </w:rPr>
        <w:t>。</w:t>
      </w:r>
    </w:p>
  </w:footnote>
  <w:footnote w:id="42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联合国</w:t>
      </w:r>
      <w:r w:rsidRPr="00953281">
        <w:rPr>
          <w:rFonts w:hint="eastAsia"/>
          <w:szCs w:val="18"/>
        </w:rPr>
        <w:t>，</w:t>
      </w:r>
      <w:r w:rsidRPr="00953281">
        <w:rPr>
          <w:szCs w:val="18"/>
        </w:rPr>
        <w:t>《国际法委员会的工作》，第八版，第一卷</w:t>
      </w:r>
      <w:r w:rsidRPr="00953281">
        <w:rPr>
          <w:szCs w:val="18"/>
        </w:rPr>
        <w:t>(2012</w:t>
      </w:r>
      <w:r w:rsidRPr="00953281">
        <w:rPr>
          <w:szCs w:val="18"/>
        </w:rPr>
        <w:t>年</w:t>
      </w:r>
      <w:r w:rsidRPr="00953281">
        <w:rPr>
          <w:szCs w:val="18"/>
        </w:rPr>
        <w:t>)</w:t>
      </w:r>
      <w:r w:rsidRPr="00953281">
        <w:rPr>
          <w:szCs w:val="18"/>
        </w:rPr>
        <w:t>，联合国出售品编号</w:t>
      </w:r>
      <w:r w:rsidRPr="00953281">
        <w:rPr>
          <w:szCs w:val="18"/>
        </w:rPr>
        <w:t>E.12.V.2 (ISBN 978-92-1-133720-4)</w:t>
      </w:r>
      <w:r w:rsidRPr="00953281">
        <w:rPr>
          <w:szCs w:val="18"/>
        </w:rPr>
        <w:t>，</w:t>
      </w:r>
      <w:r w:rsidRPr="00953281">
        <w:rPr>
          <w:szCs w:val="18"/>
          <w:lang w:val="en-CA"/>
        </w:rPr>
        <w:t>第</w:t>
      </w:r>
      <w:r w:rsidRPr="00953281">
        <w:rPr>
          <w:rFonts w:eastAsia="MS Mincho"/>
          <w:szCs w:val="18"/>
          <w:lang w:val="en-CA" w:eastAsia="ja-JP"/>
        </w:rPr>
        <w:t>171</w:t>
      </w:r>
      <w:r w:rsidRPr="00953281">
        <w:rPr>
          <w:szCs w:val="18"/>
          <w:lang w:val="en-CA"/>
        </w:rPr>
        <w:t>页。</w:t>
      </w:r>
    </w:p>
  </w:footnote>
  <w:footnote w:id="42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w:t>
      </w:r>
      <w:r w:rsidRPr="00953281">
        <w:rPr>
          <w:szCs w:val="18"/>
        </w:rPr>
        <w:t>172</w:t>
      </w:r>
      <w:r w:rsidRPr="00953281">
        <w:rPr>
          <w:szCs w:val="18"/>
        </w:rPr>
        <w:t>页。</w:t>
      </w:r>
    </w:p>
  </w:footnote>
  <w:footnote w:id="42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村濑信也先生，</w:t>
      </w:r>
      <w:r w:rsidRPr="00953281">
        <w:rPr>
          <w:szCs w:val="18"/>
        </w:rPr>
        <w:t>Kokusaiho no Keizaiteki Kiso (Tokyo</w:t>
      </w:r>
      <w:r w:rsidRPr="00953281">
        <w:rPr>
          <w:szCs w:val="18"/>
        </w:rPr>
        <w:t>：</w:t>
      </w:r>
      <w:r w:rsidRPr="00953281">
        <w:rPr>
          <w:szCs w:val="18"/>
        </w:rPr>
        <w:t>Yuhikaku, 2001)</w:t>
      </w:r>
      <w:r w:rsidRPr="00953281">
        <w:rPr>
          <w:szCs w:val="18"/>
        </w:rPr>
        <w:t>，第</w:t>
      </w:r>
      <w:r w:rsidRPr="00953281">
        <w:rPr>
          <w:szCs w:val="18"/>
        </w:rPr>
        <w:t>14-201</w:t>
      </w:r>
      <w:r w:rsidRPr="00953281">
        <w:rPr>
          <w:szCs w:val="18"/>
        </w:rPr>
        <w:t>页</w:t>
      </w:r>
      <w:r w:rsidRPr="00953281">
        <w:rPr>
          <w:szCs w:val="18"/>
        </w:rPr>
        <w:t>[</w:t>
      </w:r>
      <w:r w:rsidRPr="00953281">
        <w:rPr>
          <w:szCs w:val="18"/>
        </w:rPr>
        <w:t>日文</w:t>
      </w:r>
      <w:r w:rsidRPr="00953281">
        <w:rPr>
          <w:szCs w:val="18"/>
        </w:rPr>
        <w:t>]</w:t>
      </w:r>
      <w:r w:rsidRPr="00953281">
        <w:rPr>
          <w:szCs w:val="18"/>
        </w:rPr>
        <w:t>；村濑信也先生</w:t>
      </w:r>
      <w:r w:rsidRPr="00953281">
        <w:rPr>
          <w:rFonts w:hint="eastAsia"/>
          <w:szCs w:val="18"/>
        </w:rPr>
        <w:t>,</w:t>
      </w:r>
      <w:r w:rsidRPr="00953281">
        <w:rPr>
          <w:rFonts w:hint="eastAsia"/>
          <w:szCs w:val="18"/>
        </w:rPr>
        <w:t>“</w:t>
      </w:r>
      <w:r w:rsidRPr="00953281">
        <w:rPr>
          <w:szCs w:val="18"/>
        </w:rPr>
        <w:t>The Most-Favored-Nation Treatment in Japan’s Treaty Practice 1854-1905</w:t>
      </w:r>
      <w:r w:rsidRPr="00953281">
        <w:rPr>
          <w:rFonts w:hint="eastAsia"/>
          <w:szCs w:val="18"/>
        </w:rPr>
        <w:t>”</w:t>
      </w:r>
      <w:r w:rsidRPr="00953281">
        <w:rPr>
          <w:szCs w:val="18"/>
        </w:rPr>
        <w:t>，</w:t>
      </w:r>
      <w:r w:rsidRPr="00953281">
        <w:rPr>
          <w:rFonts w:hint="eastAsia"/>
          <w:szCs w:val="18"/>
        </w:rPr>
        <w:t>《美国国际法杂志》，</w:t>
      </w:r>
      <w:r w:rsidRPr="00953281">
        <w:rPr>
          <w:szCs w:val="18"/>
        </w:rPr>
        <w:t xml:space="preserve"> </w:t>
      </w:r>
      <w:r w:rsidRPr="00953281">
        <w:rPr>
          <w:szCs w:val="18"/>
        </w:rPr>
        <w:t>第</w:t>
      </w:r>
      <w:r w:rsidRPr="00953281">
        <w:rPr>
          <w:szCs w:val="18"/>
        </w:rPr>
        <w:t>70</w:t>
      </w:r>
      <w:r w:rsidRPr="00953281">
        <w:rPr>
          <w:szCs w:val="18"/>
        </w:rPr>
        <w:t>卷</w:t>
      </w:r>
      <w:r w:rsidRPr="00953281">
        <w:rPr>
          <w:szCs w:val="18"/>
        </w:rPr>
        <w:t>(1976</w:t>
      </w:r>
      <w:r w:rsidRPr="00953281">
        <w:rPr>
          <w:szCs w:val="18"/>
        </w:rPr>
        <w:t>年</w:t>
      </w:r>
      <w:r w:rsidRPr="00953281">
        <w:rPr>
          <w:szCs w:val="18"/>
        </w:rPr>
        <w:t>)</w:t>
      </w:r>
      <w:r w:rsidRPr="00953281">
        <w:rPr>
          <w:szCs w:val="18"/>
        </w:rPr>
        <w:t>，第</w:t>
      </w:r>
      <w:r w:rsidRPr="00953281">
        <w:rPr>
          <w:szCs w:val="18"/>
        </w:rPr>
        <w:t>273-297</w:t>
      </w:r>
      <w:r w:rsidRPr="00953281">
        <w:rPr>
          <w:szCs w:val="18"/>
        </w:rPr>
        <w:t>页。</w:t>
      </w:r>
    </w:p>
  </w:footnote>
  <w:footnote w:id="42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例如，见</w:t>
      </w:r>
      <w:r w:rsidRPr="00953281">
        <w:rPr>
          <w:szCs w:val="18"/>
        </w:rPr>
        <w:t>1978</w:t>
      </w:r>
      <w:r w:rsidRPr="00953281">
        <w:rPr>
          <w:szCs w:val="18"/>
        </w:rPr>
        <w:t>年条款草案第</w:t>
      </w:r>
      <w:r w:rsidRPr="00953281">
        <w:rPr>
          <w:szCs w:val="18"/>
        </w:rPr>
        <w:t>5</w:t>
      </w:r>
      <w:r w:rsidRPr="00953281">
        <w:rPr>
          <w:szCs w:val="18"/>
        </w:rPr>
        <w:t>条草案</w:t>
      </w:r>
      <w:r w:rsidRPr="00953281">
        <w:rPr>
          <w:rFonts w:hint="eastAsia"/>
          <w:szCs w:val="18"/>
        </w:rPr>
        <w:t>，</w:t>
      </w:r>
      <w:r w:rsidRPr="00953281">
        <w:rPr>
          <w:szCs w:val="18"/>
        </w:rPr>
        <w:t>《</w:t>
      </w:r>
      <w:r w:rsidRPr="00953281">
        <w:rPr>
          <w:szCs w:val="18"/>
        </w:rPr>
        <w:t>1978</w:t>
      </w:r>
      <w:r w:rsidRPr="00953281">
        <w:rPr>
          <w:szCs w:val="18"/>
        </w:rPr>
        <w:t>年</w:t>
      </w:r>
      <w:r w:rsidRPr="00953281">
        <w:rPr>
          <w:rFonts w:hint="eastAsia"/>
          <w:szCs w:val="18"/>
        </w:rPr>
        <w:t>……</w:t>
      </w:r>
      <w:r w:rsidRPr="00953281">
        <w:rPr>
          <w:szCs w:val="18"/>
        </w:rPr>
        <w:t>年鉴》，第二卷，第二部分，第</w:t>
      </w:r>
      <w:r w:rsidRPr="00953281">
        <w:rPr>
          <w:szCs w:val="18"/>
        </w:rPr>
        <w:t>21</w:t>
      </w:r>
      <w:r w:rsidRPr="00953281">
        <w:rPr>
          <w:szCs w:val="18"/>
        </w:rPr>
        <w:t>页。</w:t>
      </w:r>
    </w:p>
  </w:footnote>
  <w:footnote w:id="42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卢森堡在条款草案一读时指出这一困难：</w:t>
      </w:r>
      <w:r w:rsidRPr="00953281">
        <w:rPr>
          <w:rFonts w:hint="eastAsia"/>
          <w:szCs w:val="18"/>
        </w:rPr>
        <w:t>“</w:t>
      </w:r>
      <w:r w:rsidRPr="00953281">
        <w:rPr>
          <w:szCs w:val="18"/>
        </w:rPr>
        <w:t>表述的范围方面存在问题</w:t>
      </w:r>
      <w:r w:rsidRPr="00953281">
        <w:rPr>
          <w:rFonts w:hint="eastAsia"/>
          <w:szCs w:val="18"/>
        </w:rPr>
        <w:t>……</w:t>
      </w:r>
      <w:r w:rsidRPr="00953281">
        <w:rPr>
          <w:szCs w:val="18"/>
        </w:rPr>
        <w:t>其中提到与特定国家有</w:t>
      </w:r>
      <w:r w:rsidRPr="00953281">
        <w:rPr>
          <w:rFonts w:asciiTheme="minorEastAsia" w:eastAsiaTheme="minorEastAsia" w:hAnsiTheme="minorEastAsia"/>
          <w:szCs w:val="18"/>
        </w:rPr>
        <w:t>‘确定关系’的‘人’或‘事’。</w:t>
      </w:r>
      <w:r w:rsidRPr="00953281">
        <w:rPr>
          <w:szCs w:val="18"/>
        </w:rPr>
        <w:t>这里是指什么人？</w:t>
      </w:r>
      <w:r w:rsidRPr="00953281">
        <w:rPr>
          <w:rFonts w:hint="eastAsia"/>
          <w:szCs w:val="18"/>
        </w:rPr>
        <w:t>就</w:t>
      </w:r>
      <w:r w:rsidRPr="00953281">
        <w:rPr>
          <w:szCs w:val="18"/>
        </w:rPr>
        <w:t>自然人而言，情况可能比较明确，但是如果是经济实体，不论是否企业，就不那么明确。</w:t>
      </w:r>
      <w:r w:rsidRPr="00953281">
        <w:rPr>
          <w:rFonts w:asciiTheme="minorEastAsia" w:eastAsiaTheme="minorEastAsia" w:hAnsiTheme="minorEastAsia"/>
          <w:szCs w:val="18"/>
        </w:rPr>
        <w:t>‘事’</w:t>
      </w:r>
      <w:r w:rsidRPr="00953281">
        <w:rPr>
          <w:szCs w:val="18"/>
        </w:rPr>
        <w:t>单指有形物品，还是也包括无形商品，例如提供服务或商业、工业或知识产权？最后，特别是在经济实体或无形商品的情况下，应当如何理解与国家的</w:t>
      </w:r>
      <w:r w:rsidRPr="00953281">
        <w:rPr>
          <w:rFonts w:asciiTheme="minorEastAsia" w:eastAsiaTheme="minorEastAsia" w:hAnsiTheme="minorEastAsia"/>
          <w:szCs w:val="18"/>
        </w:rPr>
        <w:t>‘确定关系’</w:t>
      </w:r>
      <w:r w:rsidRPr="00953281">
        <w:rPr>
          <w:szCs w:val="18"/>
        </w:rPr>
        <w:t>这一表述？</w:t>
      </w:r>
      <w:r w:rsidRPr="00953281">
        <w:rPr>
          <w:rFonts w:hint="eastAsia"/>
          <w:szCs w:val="18"/>
        </w:rPr>
        <w:t>”</w:t>
      </w:r>
      <w:r w:rsidRPr="00A3609D">
        <w:rPr>
          <w:rFonts w:ascii="楷体_GB2312" w:eastAsia="楷体_GB2312"/>
          <w:szCs w:val="18"/>
        </w:rPr>
        <w:t>同上</w:t>
      </w:r>
      <w:r w:rsidRPr="00953281">
        <w:rPr>
          <w:szCs w:val="18"/>
        </w:rPr>
        <w:t>，第</w:t>
      </w:r>
      <w:r w:rsidRPr="00953281">
        <w:rPr>
          <w:szCs w:val="18"/>
        </w:rPr>
        <w:t>167</w:t>
      </w:r>
      <w:r w:rsidRPr="00953281">
        <w:rPr>
          <w:szCs w:val="18"/>
        </w:rPr>
        <w:t>页。</w:t>
      </w:r>
    </w:p>
  </w:footnote>
  <w:footnote w:id="42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w:t>
      </w:r>
      <w:r w:rsidRPr="00953281">
        <w:rPr>
          <w:szCs w:val="18"/>
        </w:rPr>
        <w:t>24-25</w:t>
      </w:r>
      <w:r w:rsidRPr="00953281">
        <w:rPr>
          <w:szCs w:val="18"/>
        </w:rPr>
        <w:t>页</w:t>
      </w:r>
      <w:r w:rsidRPr="00953281">
        <w:rPr>
          <w:rFonts w:hint="eastAsia"/>
          <w:szCs w:val="18"/>
        </w:rPr>
        <w:t>(</w:t>
      </w:r>
      <w:r w:rsidRPr="00953281">
        <w:rPr>
          <w:szCs w:val="18"/>
        </w:rPr>
        <w:t>第</w:t>
      </w:r>
      <w:r w:rsidRPr="00953281">
        <w:rPr>
          <w:szCs w:val="18"/>
        </w:rPr>
        <w:t>7</w:t>
      </w:r>
      <w:r w:rsidRPr="00953281">
        <w:rPr>
          <w:szCs w:val="18"/>
        </w:rPr>
        <w:t>和第</w:t>
      </w:r>
      <w:r w:rsidRPr="00953281">
        <w:rPr>
          <w:szCs w:val="18"/>
        </w:rPr>
        <w:t>8</w:t>
      </w:r>
      <w:r w:rsidRPr="00953281">
        <w:rPr>
          <w:szCs w:val="18"/>
        </w:rPr>
        <w:t>条草案</w:t>
      </w:r>
      <w:r w:rsidRPr="00953281">
        <w:rPr>
          <w:rFonts w:hint="eastAsia"/>
          <w:szCs w:val="18"/>
        </w:rPr>
        <w:t>)</w:t>
      </w:r>
      <w:r w:rsidRPr="00953281">
        <w:rPr>
          <w:szCs w:val="18"/>
        </w:rPr>
        <w:t>。</w:t>
      </w:r>
    </w:p>
  </w:footnote>
  <w:footnote w:id="42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1E66AC">
        <w:rPr>
          <w:rFonts w:ascii="楷体_GB2312" w:eastAsia="楷体_GB2312"/>
          <w:szCs w:val="18"/>
        </w:rPr>
        <w:t>英国</w:t>
      </w:r>
      <w:r w:rsidRPr="001E66AC">
        <w:rPr>
          <w:rFonts w:ascii="楷体_GB2312" w:eastAsia="楷体_GB2312" w:hint="eastAsia"/>
          <w:szCs w:val="18"/>
        </w:rPr>
        <w:t>－</w:t>
      </w:r>
      <w:r w:rsidRPr="001E66AC">
        <w:rPr>
          <w:rFonts w:ascii="楷体_GB2312" w:eastAsia="楷体_GB2312"/>
          <w:szCs w:val="18"/>
        </w:rPr>
        <w:t>伊朗石油公司案</w:t>
      </w:r>
      <w:r w:rsidRPr="00953281">
        <w:rPr>
          <w:szCs w:val="18"/>
        </w:rPr>
        <w:t>(</w:t>
      </w:r>
      <w:r w:rsidRPr="001E66AC">
        <w:rPr>
          <w:rFonts w:ascii="楷体_GB2312" w:eastAsia="楷体_GB2312"/>
          <w:szCs w:val="18"/>
        </w:rPr>
        <w:t>联合王国诉伊朗</w:t>
      </w:r>
      <w:r w:rsidRPr="00953281">
        <w:rPr>
          <w:szCs w:val="18"/>
        </w:rPr>
        <w:t>)</w:t>
      </w:r>
      <w:r w:rsidRPr="00953281">
        <w:rPr>
          <w:szCs w:val="18"/>
        </w:rPr>
        <w:t>，初步反对意见，判决</w:t>
      </w:r>
      <w:r w:rsidRPr="00953281">
        <w:rPr>
          <w:rFonts w:hint="eastAsia"/>
          <w:szCs w:val="18"/>
        </w:rPr>
        <w:t>,</w:t>
      </w:r>
      <w:r>
        <w:rPr>
          <w:rFonts w:hint="eastAsia"/>
          <w:szCs w:val="18"/>
        </w:rPr>
        <w:t xml:space="preserve"> </w:t>
      </w:r>
      <w:r w:rsidRPr="00953281">
        <w:rPr>
          <w:szCs w:val="18"/>
        </w:rPr>
        <w:t>《</w:t>
      </w:r>
      <w:r w:rsidRPr="00953281">
        <w:rPr>
          <w:szCs w:val="18"/>
        </w:rPr>
        <w:t>1952</w:t>
      </w:r>
      <w:r w:rsidRPr="00953281">
        <w:rPr>
          <w:szCs w:val="18"/>
        </w:rPr>
        <w:t>年国际法院案例汇编》，第</w:t>
      </w:r>
      <w:r w:rsidRPr="00953281">
        <w:rPr>
          <w:szCs w:val="18"/>
        </w:rPr>
        <w:t>109-110</w:t>
      </w:r>
      <w:r w:rsidRPr="00953281">
        <w:rPr>
          <w:szCs w:val="18"/>
        </w:rPr>
        <w:t>页。</w:t>
      </w:r>
    </w:p>
  </w:footnote>
  <w:footnote w:id="43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w:t>
      </w:r>
      <w:r w:rsidRPr="00953281">
        <w:rPr>
          <w:szCs w:val="18"/>
        </w:rPr>
        <w:t>1978</w:t>
      </w:r>
      <w:r w:rsidRPr="00953281">
        <w:rPr>
          <w:rFonts w:hint="eastAsia"/>
          <w:szCs w:val="18"/>
        </w:rPr>
        <w:t>年……</w:t>
      </w:r>
      <w:r w:rsidRPr="00953281">
        <w:rPr>
          <w:szCs w:val="18"/>
        </w:rPr>
        <w:t>年鉴》，第二卷，第二部分，第</w:t>
      </w:r>
      <w:r w:rsidRPr="00953281">
        <w:rPr>
          <w:szCs w:val="18"/>
        </w:rPr>
        <w:t>27</w:t>
      </w:r>
      <w:r w:rsidRPr="00953281">
        <w:rPr>
          <w:szCs w:val="18"/>
        </w:rPr>
        <w:t>页</w:t>
      </w:r>
      <w:r w:rsidRPr="00953281">
        <w:rPr>
          <w:rFonts w:hint="eastAsia"/>
          <w:szCs w:val="18"/>
        </w:rPr>
        <w:t>(</w:t>
      </w:r>
      <w:r w:rsidRPr="00953281">
        <w:rPr>
          <w:szCs w:val="18"/>
        </w:rPr>
        <w:t>特别见第</w:t>
      </w:r>
      <w:r w:rsidRPr="00953281">
        <w:rPr>
          <w:szCs w:val="18"/>
        </w:rPr>
        <w:t>10</w:t>
      </w:r>
      <w:r w:rsidRPr="00953281">
        <w:rPr>
          <w:szCs w:val="18"/>
        </w:rPr>
        <w:t>条草案第</w:t>
      </w:r>
      <w:r w:rsidRPr="00953281">
        <w:rPr>
          <w:szCs w:val="18"/>
        </w:rPr>
        <w:t>2</w:t>
      </w:r>
      <w:r w:rsidRPr="00953281">
        <w:rPr>
          <w:szCs w:val="18"/>
        </w:rPr>
        <w:t>款</w:t>
      </w:r>
      <w:r w:rsidRPr="00953281">
        <w:rPr>
          <w:rFonts w:hint="eastAsia"/>
          <w:szCs w:val="18"/>
        </w:rPr>
        <w:t>)</w:t>
      </w:r>
      <w:r w:rsidRPr="00953281">
        <w:rPr>
          <w:szCs w:val="18"/>
        </w:rPr>
        <w:t>。</w:t>
      </w:r>
    </w:p>
  </w:footnote>
  <w:footnote w:id="43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A/C.6/33/SR.37,</w:t>
      </w:r>
      <w:r w:rsidRPr="00953281">
        <w:rPr>
          <w:rFonts w:hint="eastAsia"/>
          <w:szCs w:val="18"/>
        </w:rPr>
        <w:t xml:space="preserve"> </w:t>
      </w:r>
      <w:r w:rsidRPr="00953281">
        <w:rPr>
          <w:szCs w:val="18"/>
          <w:lang w:val="en-CA"/>
        </w:rPr>
        <w:t>第</w:t>
      </w:r>
      <w:r w:rsidRPr="00953281">
        <w:rPr>
          <w:szCs w:val="18"/>
        </w:rPr>
        <w:t>52</w:t>
      </w:r>
      <w:r w:rsidRPr="00953281">
        <w:rPr>
          <w:szCs w:val="18"/>
          <w:lang w:val="en-CA"/>
        </w:rPr>
        <w:t>段</w:t>
      </w:r>
      <w:r w:rsidRPr="00953281">
        <w:rPr>
          <w:szCs w:val="18"/>
        </w:rPr>
        <w:t>(</w:t>
      </w:r>
      <w:r w:rsidRPr="00953281">
        <w:rPr>
          <w:szCs w:val="18"/>
          <w:lang w:val="es-ES"/>
        </w:rPr>
        <w:t>加拿大</w:t>
      </w:r>
      <w:r w:rsidRPr="00953281">
        <w:rPr>
          <w:szCs w:val="18"/>
        </w:rPr>
        <w:t>)</w:t>
      </w:r>
      <w:r w:rsidRPr="00953281">
        <w:rPr>
          <w:szCs w:val="18"/>
          <w:lang w:val="es-ES"/>
        </w:rPr>
        <w:t>。</w:t>
      </w:r>
    </w:p>
  </w:footnote>
  <w:footnote w:id="43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lang w:val="en-CA"/>
        </w:rPr>
        <w:t>A/C.6/33/SR.</w:t>
      </w:r>
      <w:r w:rsidRPr="00953281">
        <w:rPr>
          <w:bCs/>
          <w:szCs w:val="18"/>
          <w:lang w:val="en-CA"/>
        </w:rPr>
        <w:t>46,</w:t>
      </w:r>
      <w:r w:rsidRPr="00953281">
        <w:rPr>
          <w:rFonts w:hint="eastAsia"/>
          <w:bCs/>
          <w:szCs w:val="18"/>
          <w:lang w:val="en-CA"/>
        </w:rPr>
        <w:t xml:space="preserve"> </w:t>
      </w:r>
      <w:r w:rsidRPr="00953281">
        <w:rPr>
          <w:szCs w:val="18"/>
          <w:lang w:val="en-CA"/>
        </w:rPr>
        <w:t>第</w:t>
      </w:r>
      <w:r w:rsidRPr="00953281">
        <w:rPr>
          <w:bCs/>
          <w:szCs w:val="18"/>
          <w:lang w:val="en-CA"/>
        </w:rPr>
        <w:t>2</w:t>
      </w:r>
      <w:r w:rsidRPr="00953281">
        <w:rPr>
          <w:szCs w:val="18"/>
        </w:rPr>
        <w:t>段</w:t>
      </w:r>
      <w:r w:rsidRPr="00953281">
        <w:rPr>
          <w:szCs w:val="18"/>
        </w:rPr>
        <w:t>(</w:t>
      </w:r>
      <w:r w:rsidRPr="00953281">
        <w:rPr>
          <w:szCs w:val="18"/>
        </w:rPr>
        <w:t>丹麦</w:t>
      </w:r>
      <w:r w:rsidRPr="00953281">
        <w:rPr>
          <w:szCs w:val="18"/>
        </w:rPr>
        <w:t>)</w:t>
      </w:r>
      <w:r w:rsidRPr="00953281">
        <w:rPr>
          <w:szCs w:val="18"/>
        </w:rPr>
        <w:t>；</w:t>
      </w:r>
      <w:r w:rsidRPr="00953281">
        <w:rPr>
          <w:szCs w:val="18"/>
        </w:rPr>
        <w:t>A/</w:t>
      </w:r>
      <w:r w:rsidRPr="00953281">
        <w:rPr>
          <w:szCs w:val="18"/>
          <w:lang w:val="en-CA"/>
        </w:rPr>
        <w:t xml:space="preserve">C.6/33/SR. </w:t>
      </w:r>
      <w:r w:rsidRPr="00953281">
        <w:rPr>
          <w:bCs/>
          <w:szCs w:val="18"/>
          <w:lang w:val="en-CA"/>
        </w:rPr>
        <w:t>37,</w:t>
      </w:r>
      <w:r w:rsidRPr="00953281">
        <w:rPr>
          <w:rFonts w:hint="eastAsia"/>
          <w:bCs/>
          <w:szCs w:val="18"/>
          <w:lang w:val="en-CA"/>
        </w:rPr>
        <w:t xml:space="preserve"> </w:t>
      </w:r>
      <w:r w:rsidRPr="00953281">
        <w:rPr>
          <w:szCs w:val="18"/>
          <w:lang w:val="en-CA"/>
        </w:rPr>
        <w:t>第</w:t>
      </w:r>
      <w:r w:rsidRPr="00953281">
        <w:rPr>
          <w:bCs/>
          <w:szCs w:val="18"/>
          <w:lang w:val="en-CA"/>
        </w:rPr>
        <w:t>11</w:t>
      </w:r>
      <w:r w:rsidRPr="00953281">
        <w:rPr>
          <w:szCs w:val="18"/>
          <w:lang w:val="en-CA"/>
        </w:rPr>
        <w:t>段</w:t>
      </w:r>
      <w:r w:rsidRPr="00953281">
        <w:rPr>
          <w:szCs w:val="18"/>
        </w:rPr>
        <w:t>(</w:t>
      </w:r>
      <w:r w:rsidRPr="00953281">
        <w:rPr>
          <w:szCs w:val="18"/>
        </w:rPr>
        <w:t>联合王国</w:t>
      </w:r>
      <w:r w:rsidRPr="00953281">
        <w:rPr>
          <w:szCs w:val="18"/>
        </w:rPr>
        <w:t>)</w:t>
      </w:r>
      <w:r w:rsidRPr="00953281">
        <w:rPr>
          <w:szCs w:val="18"/>
        </w:rPr>
        <w:t>。</w:t>
      </w:r>
    </w:p>
  </w:footnote>
  <w:footnote w:id="43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szCs w:val="18"/>
          <w:lang w:val="en-CA" w:eastAsia="ja-JP"/>
        </w:rPr>
        <w:t>A/C.6/33/SR.37,</w:t>
      </w:r>
      <w:r w:rsidRPr="00953281">
        <w:rPr>
          <w:rFonts w:hint="eastAsia"/>
          <w:szCs w:val="18"/>
          <w:lang w:val="en-CA"/>
        </w:rPr>
        <w:t xml:space="preserve"> </w:t>
      </w:r>
      <w:r w:rsidRPr="00953281">
        <w:rPr>
          <w:szCs w:val="18"/>
          <w:lang w:val="en-CA"/>
        </w:rPr>
        <w:t>第</w:t>
      </w:r>
      <w:r w:rsidRPr="00953281">
        <w:rPr>
          <w:szCs w:val="18"/>
          <w:lang w:eastAsia="ja-JP"/>
        </w:rPr>
        <w:t>24</w:t>
      </w:r>
      <w:r w:rsidRPr="00953281">
        <w:rPr>
          <w:szCs w:val="18"/>
        </w:rPr>
        <w:t>段</w:t>
      </w:r>
      <w:r w:rsidRPr="00953281">
        <w:rPr>
          <w:szCs w:val="18"/>
          <w:lang w:eastAsia="ja-JP"/>
        </w:rPr>
        <w:t>(</w:t>
      </w:r>
      <w:r w:rsidRPr="00953281">
        <w:rPr>
          <w:szCs w:val="18"/>
          <w:lang w:eastAsia="ja-JP"/>
        </w:rPr>
        <w:t>利比</w:t>
      </w:r>
      <w:r w:rsidRPr="00107EB9">
        <w:rPr>
          <w:spacing w:val="2"/>
          <w:szCs w:val="18"/>
          <w:lang w:eastAsia="ja-JP"/>
        </w:rPr>
        <w:t>里亚</w:t>
      </w:r>
      <w:r w:rsidRPr="00107EB9">
        <w:rPr>
          <w:spacing w:val="2"/>
          <w:szCs w:val="18"/>
          <w:lang w:eastAsia="ja-JP"/>
        </w:rPr>
        <w:t>)</w:t>
      </w:r>
      <w:r w:rsidRPr="00107EB9">
        <w:rPr>
          <w:spacing w:val="2"/>
          <w:szCs w:val="18"/>
          <w:lang w:eastAsia="ja-JP"/>
        </w:rPr>
        <w:t>；</w:t>
      </w:r>
      <w:r w:rsidRPr="00953281">
        <w:rPr>
          <w:szCs w:val="18"/>
        </w:rPr>
        <w:t>A/C.6/</w:t>
      </w:r>
      <w:r w:rsidRPr="00953281">
        <w:rPr>
          <w:szCs w:val="18"/>
          <w:lang w:val="en-CA" w:eastAsia="ja-JP"/>
        </w:rPr>
        <w:t>33/</w:t>
      </w:r>
      <w:r w:rsidRPr="00953281">
        <w:rPr>
          <w:szCs w:val="18"/>
        </w:rPr>
        <w:t>SR.41,</w:t>
      </w:r>
      <w:r>
        <w:rPr>
          <w:rFonts w:hint="eastAsia"/>
          <w:szCs w:val="18"/>
        </w:rPr>
        <w:t xml:space="preserve"> </w:t>
      </w:r>
      <w:r w:rsidRPr="00953281">
        <w:rPr>
          <w:szCs w:val="18"/>
        </w:rPr>
        <w:t>第</w:t>
      </w:r>
      <w:r w:rsidRPr="00953281">
        <w:rPr>
          <w:szCs w:val="18"/>
          <w:lang w:val="en-CA"/>
        </w:rPr>
        <w:t>43</w:t>
      </w:r>
      <w:r w:rsidRPr="00953281">
        <w:rPr>
          <w:szCs w:val="18"/>
          <w:lang w:val="en-CA"/>
        </w:rPr>
        <w:t>段</w:t>
      </w:r>
      <w:r w:rsidRPr="00953281">
        <w:rPr>
          <w:szCs w:val="18"/>
          <w:lang w:val="en-CA"/>
        </w:rPr>
        <w:t>(</w:t>
      </w:r>
      <w:r w:rsidRPr="00953281">
        <w:rPr>
          <w:szCs w:val="18"/>
          <w:lang w:val="es-ES"/>
        </w:rPr>
        <w:t>厄瓜多尔</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SR.43,</w:t>
      </w:r>
      <w:r w:rsidRPr="00953281">
        <w:rPr>
          <w:rFonts w:hint="eastAsia"/>
          <w:szCs w:val="18"/>
          <w:lang w:val="en-CA"/>
        </w:rPr>
        <w:t xml:space="preserve"> </w:t>
      </w:r>
      <w:r w:rsidRPr="00953281">
        <w:rPr>
          <w:szCs w:val="18"/>
          <w:lang w:val="en-CA"/>
        </w:rPr>
        <w:t>第</w:t>
      </w:r>
      <w:r w:rsidRPr="00953281">
        <w:rPr>
          <w:szCs w:val="18"/>
          <w:lang w:val="en-CA"/>
        </w:rPr>
        <w:t>23</w:t>
      </w:r>
      <w:r w:rsidRPr="00953281">
        <w:rPr>
          <w:szCs w:val="18"/>
          <w:lang w:val="en-CA"/>
        </w:rPr>
        <w:t>段</w:t>
      </w:r>
      <w:r w:rsidRPr="00953281">
        <w:rPr>
          <w:szCs w:val="18"/>
          <w:lang w:val="en-CA"/>
        </w:rPr>
        <w:t>(</w:t>
      </w:r>
      <w:r w:rsidRPr="00953281">
        <w:rPr>
          <w:szCs w:val="18"/>
          <w:lang w:val="en-CA"/>
        </w:rPr>
        <w:t>加纳</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SR.45,</w:t>
      </w:r>
      <w:r w:rsidRPr="00953281">
        <w:rPr>
          <w:rFonts w:hint="eastAsia"/>
          <w:szCs w:val="18"/>
          <w:lang w:val="en-CA"/>
        </w:rPr>
        <w:t xml:space="preserve"> </w:t>
      </w:r>
      <w:r w:rsidRPr="00953281">
        <w:rPr>
          <w:szCs w:val="18"/>
          <w:lang w:val="en-CA"/>
        </w:rPr>
        <w:t>第</w:t>
      </w:r>
      <w:r w:rsidRPr="00953281">
        <w:rPr>
          <w:szCs w:val="18"/>
          <w:lang w:val="en-CA"/>
        </w:rPr>
        <w:t>21-26</w:t>
      </w:r>
      <w:r w:rsidRPr="00953281">
        <w:rPr>
          <w:szCs w:val="18"/>
          <w:lang w:val="en-CA"/>
        </w:rPr>
        <w:t>段</w:t>
      </w:r>
      <w:r w:rsidRPr="00953281">
        <w:rPr>
          <w:szCs w:val="18"/>
          <w:lang w:val="en-CA"/>
        </w:rPr>
        <w:t>(</w:t>
      </w:r>
      <w:r w:rsidRPr="00953281">
        <w:rPr>
          <w:szCs w:val="18"/>
          <w:lang w:val="en-CA"/>
        </w:rPr>
        <w:t>斯威士兰</w:t>
      </w:r>
      <w:r w:rsidRPr="00953281">
        <w:rPr>
          <w:szCs w:val="18"/>
          <w:lang w:val="en-CA"/>
        </w:rPr>
        <w:t>)</w:t>
      </w:r>
      <w:r w:rsidRPr="00953281">
        <w:rPr>
          <w:szCs w:val="18"/>
          <w:lang w:val="en-CA"/>
        </w:rPr>
        <w:t>。欧洲经济共同体认为条款草案本应明确处理不同经济状况的国家间的关系：</w:t>
      </w:r>
      <w:r w:rsidRPr="00953281">
        <w:rPr>
          <w:szCs w:val="18"/>
          <w:lang w:val="en-CA"/>
        </w:rPr>
        <w:t>A/C.6/33/SR.32,</w:t>
      </w:r>
      <w:r w:rsidRPr="00953281">
        <w:rPr>
          <w:rFonts w:hint="eastAsia"/>
          <w:szCs w:val="18"/>
          <w:lang w:val="en-CA"/>
        </w:rPr>
        <w:t xml:space="preserve"> </w:t>
      </w:r>
      <w:r w:rsidRPr="00953281">
        <w:rPr>
          <w:szCs w:val="18"/>
          <w:lang w:val="en-CA"/>
        </w:rPr>
        <w:t>第</w:t>
      </w:r>
      <w:r w:rsidRPr="00953281">
        <w:rPr>
          <w:szCs w:val="18"/>
          <w:lang w:val="en-CA"/>
        </w:rPr>
        <w:t>6-7</w:t>
      </w:r>
      <w:r w:rsidRPr="00953281">
        <w:rPr>
          <w:szCs w:val="18"/>
          <w:lang w:val="en-CA"/>
        </w:rPr>
        <w:t>段，第</w:t>
      </w:r>
      <w:r w:rsidRPr="00953281">
        <w:rPr>
          <w:szCs w:val="18"/>
          <w:lang w:val="en-CA"/>
        </w:rPr>
        <w:t>16-17</w:t>
      </w:r>
      <w:r w:rsidRPr="00953281">
        <w:rPr>
          <w:szCs w:val="18"/>
          <w:lang w:val="en-CA"/>
        </w:rPr>
        <w:t>段</w:t>
      </w:r>
      <w:r w:rsidRPr="00953281">
        <w:rPr>
          <w:szCs w:val="18"/>
          <w:lang w:val="en-CA"/>
        </w:rPr>
        <w:t>(</w:t>
      </w:r>
      <w:r w:rsidRPr="00953281">
        <w:rPr>
          <w:szCs w:val="18"/>
          <w:lang w:val="en-CA"/>
        </w:rPr>
        <w:t>欧洲经济共同体</w:t>
      </w:r>
      <w:r w:rsidRPr="00953281">
        <w:rPr>
          <w:szCs w:val="18"/>
          <w:lang w:val="en-CA"/>
        </w:rPr>
        <w:t>)</w:t>
      </w:r>
      <w:r w:rsidRPr="00953281">
        <w:rPr>
          <w:szCs w:val="18"/>
          <w:lang w:val="en-CA"/>
        </w:rPr>
        <w:t>。另见</w:t>
      </w:r>
      <w:r w:rsidRPr="00953281">
        <w:rPr>
          <w:szCs w:val="18"/>
          <w:lang w:val="en-CA"/>
        </w:rPr>
        <w:t>A/C.6/</w:t>
      </w:r>
      <w:r w:rsidRPr="00953281">
        <w:rPr>
          <w:szCs w:val="18"/>
          <w:lang w:val="en-CA" w:eastAsia="ja-JP"/>
        </w:rPr>
        <w:t>33/</w:t>
      </w:r>
      <w:r w:rsidRPr="00953281">
        <w:rPr>
          <w:szCs w:val="18"/>
          <w:lang w:val="en-CA"/>
        </w:rPr>
        <w:t>SR.39,</w:t>
      </w:r>
      <w:r w:rsidRPr="00953281">
        <w:rPr>
          <w:rFonts w:hint="eastAsia"/>
          <w:szCs w:val="18"/>
          <w:lang w:val="en-CA"/>
        </w:rPr>
        <w:t xml:space="preserve"> </w:t>
      </w:r>
      <w:r w:rsidRPr="00953281">
        <w:rPr>
          <w:szCs w:val="18"/>
          <w:lang w:val="en-CA"/>
        </w:rPr>
        <w:t>第</w:t>
      </w:r>
      <w:r w:rsidRPr="00953281">
        <w:rPr>
          <w:szCs w:val="18"/>
          <w:lang w:val="en-CA"/>
        </w:rPr>
        <w:t>24</w:t>
      </w:r>
      <w:r w:rsidRPr="00953281">
        <w:rPr>
          <w:szCs w:val="18"/>
          <w:lang w:val="en-CA"/>
        </w:rPr>
        <w:t>段</w:t>
      </w:r>
      <w:r w:rsidRPr="00953281">
        <w:rPr>
          <w:szCs w:val="18"/>
          <w:lang w:val="en-CA"/>
        </w:rPr>
        <w:t>(</w:t>
      </w:r>
      <w:r w:rsidRPr="00953281">
        <w:rPr>
          <w:szCs w:val="18"/>
          <w:lang w:val="en-CA"/>
        </w:rPr>
        <w:t>比利时</w:t>
      </w:r>
      <w:r w:rsidRPr="00953281">
        <w:rPr>
          <w:szCs w:val="18"/>
          <w:lang w:val="en-CA"/>
        </w:rPr>
        <w:t>)</w:t>
      </w:r>
      <w:r w:rsidRPr="00953281">
        <w:rPr>
          <w:szCs w:val="18"/>
          <w:lang w:val="en-CA"/>
        </w:rPr>
        <w:t>。</w:t>
      </w:r>
    </w:p>
  </w:footnote>
  <w:footnote w:id="43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lang w:val="en-CA" w:eastAsia="ja-JP"/>
        </w:rPr>
        <w:t>A/C.6/33/SR.32</w:t>
      </w:r>
      <w:r w:rsidRPr="00953281">
        <w:rPr>
          <w:szCs w:val="18"/>
          <w:lang w:val="en-CA"/>
        </w:rPr>
        <w:t>，第</w:t>
      </w:r>
      <w:r w:rsidRPr="00953281">
        <w:rPr>
          <w:szCs w:val="18"/>
          <w:lang w:val="en-CA" w:eastAsia="ja-JP"/>
        </w:rPr>
        <w:t>20</w:t>
      </w:r>
      <w:r w:rsidRPr="00953281">
        <w:rPr>
          <w:szCs w:val="18"/>
          <w:lang w:val="en-CA"/>
        </w:rPr>
        <w:t>段</w:t>
      </w:r>
      <w:r w:rsidRPr="00953281">
        <w:rPr>
          <w:szCs w:val="18"/>
          <w:lang w:val="en-CA" w:eastAsia="ja-JP"/>
        </w:rPr>
        <w:t>(</w:t>
      </w:r>
      <w:r w:rsidRPr="00953281">
        <w:rPr>
          <w:szCs w:val="18"/>
          <w:lang w:val="en-CA" w:eastAsia="ja-JP"/>
        </w:rPr>
        <w:t>牙买加</w:t>
      </w:r>
      <w:r w:rsidRPr="00953281">
        <w:rPr>
          <w:szCs w:val="18"/>
          <w:lang w:val="en-CA" w:eastAsia="ja-JP"/>
        </w:rPr>
        <w:t>)</w:t>
      </w:r>
      <w:r w:rsidRPr="00953281">
        <w:rPr>
          <w:szCs w:val="18"/>
          <w:lang w:val="en-CA" w:eastAsia="ja-JP"/>
        </w:rPr>
        <w:t>；</w:t>
      </w:r>
      <w:r w:rsidRPr="00953281">
        <w:rPr>
          <w:rFonts w:eastAsiaTheme="minorHAnsi"/>
          <w:bCs/>
          <w:szCs w:val="18"/>
          <w:lang w:val="en-CA"/>
        </w:rPr>
        <w:t>A/C.6/</w:t>
      </w:r>
      <w:r w:rsidRPr="00953281">
        <w:rPr>
          <w:szCs w:val="18"/>
          <w:lang w:val="en-CA" w:eastAsia="ja-JP"/>
        </w:rPr>
        <w:t>33/</w:t>
      </w:r>
      <w:r w:rsidRPr="00953281">
        <w:rPr>
          <w:rFonts w:eastAsiaTheme="minorHAnsi"/>
          <w:bCs/>
          <w:szCs w:val="18"/>
          <w:lang w:val="en-CA"/>
        </w:rPr>
        <w:t>SR.42,</w:t>
      </w:r>
      <w:r w:rsidRPr="00953281">
        <w:rPr>
          <w:rFonts w:hint="eastAsia"/>
          <w:bCs/>
          <w:szCs w:val="18"/>
          <w:lang w:val="en-CA"/>
        </w:rPr>
        <w:t xml:space="preserve"> </w:t>
      </w:r>
      <w:r w:rsidRPr="00953281">
        <w:rPr>
          <w:bCs/>
          <w:szCs w:val="18"/>
          <w:lang w:val="en-CA"/>
        </w:rPr>
        <w:t>第</w:t>
      </w:r>
      <w:r w:rsidRPr="00953281">
        <w:rPr>
          <w:rFonts w:eastAsiaTheme="minorHAnsi"/>
          <w:bCs/>
          <w:szCs w:val="18"/>
          <w:lang w:val="en-CA"/>
        </w:rPr>
        <w:t>30</w:t>
      </w:r>
      <w:r w:rsidRPr="00953281">
        <w:rPr>
          <w:bCs/>
          <w:szCs w:val="18"/>
          <w:lang w:val="en-CA"/>
        </w:rPr>
        <w:t>段</w:t>
      </w:r>
      <w:r w:rsidRPr="00953281">
        <w:rPr>
          <w:rFonts w:eastAsiaTheme="minorHAnsi"/>
          <w:bCs/>
          <w:szCs w:val="18"/>
          <w:lang w:val="en-CA"/>
        </w:rPr>
        <w:t>(</w:t>
      </w:r>
      <w:r w:rsidRPr="00953281">
        <w:rPr>
          <w:bCs/>
          <w:szCs w:val="18"/>
          <w:lang w:val="en-CA"/>
        </w:rPr>
        <w:t>孟加拉国</w:t>
      </w:r>
      <w:r w:rsidRPr="00953281">
        <w:rPr>
          <w:rFonts w:eastAsiaTheme="minorHAnsi"/>
          <w:bCs/>
          <w:szCs w:val="18"/>
          <w:lang w:val="en-CA"/>
        </w:rPr>
        <w:t>)</w:t>
      </w:r>
      <w:r w:rsidRPr="00953281">
        <w:rPr>
          <w:bCs/>
          <w:szCs w:val="18"/>
          <w:lang w:val="en-CA"/>
        </w:rPr>
        <w:t>。</w:t>
      </w:r>
    </w:p>
  </w:footnote>
  <w:footnote w:id="43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lang w:val="en-CA" w:eastAsia="ja-JP"/>
        </w:rPr>
        <w:t>A/C.6/33/SR.37,</w:t>
      </w:r>
      <w:r w:rsidRPr="00953281">
        <w:rPr>
          <w:rFonts w:hint="eastAsia"/>
          <w:szCs w:val="18"/>
          <w:lang w:val="en-CA"/>
        </w:rPr>
        <w:t xml:space="preserve"> </w:t>
      </w:r>
      <w:r w:rsidRPr="00953281">
        <w:rPr>
          <w:szCs w:val="18"/>
          <w:lang w:val="en-CA"/>
        </w:rPr>
        <w:t>第</w:t>
      </w:r>
      <w:r w:rsidRPr="00953281">
        <w:rPr>
          <w:szCs w:val="18"/>
          <w:lang w:val="en-CA" w:eastAsia="ja-JP"/>
        </w:rPr>
        <w:t>42</w:t>
      </w:r>
      <w:r w:rsidRPr="00953281">
        <w:rPr>
          <w:szCs w:val="18"/>
          <w:lang w:val="en-CA"/>
        </w:rPr>
        <w:t>段</w:t>
      </w:r>
      <w:r w:rsidRPr="00953281">
        <w:rPr>
          <w:szCs w:val="18"/>
          <w:lang w:val="en-CA"/>
        </w:rPr>
        <w:t>(</w:t>
      </w:r>
      <w:r w:rsidRPr="00953281">
        <w:rPr>
          <w:szCs w:val="18"/>
          <w:lang w:val="en-CA"/>
        </w:rPr>
        <w:t>智利</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SR.43,</w:t>
      </w:r>
      <w:r w:rsidRPr="00953281">
        <w:rPr>
          <w:rFonts w:hint="eastAsia"/>
          <w:szCs w:val="18"/>
          <w:lang w:val="en-CA"/>
        </w:rPr>
        <w:t xml:space="preserve"> </w:t>
      </w:r>
      <w:r w:rsidRPr="00953281">
        <w:rPr>
          <w:szCs w:val="18"/>
          <w:lang w:val="en-CA"/>
        </w:rPr>
        <w:t>第</w:t>
      </w:r>
      <w:r w:rsidRPr="00953281">
        <w:rPr>
          <w:szCs w:val="18"/>
          <w:lang w:val="en-CA"/>
        </w:rPr>
        <w:t>39</w:t>
      </w:r>
      <w:r w:rsidRPr="00953281">
        <w:rPr>
          <w:szCs w:val="18"/>
          <w:lang w:val="en-CA"/>
        </w:rPr>
        <w:t>段</w:t>
      </w:r>
      <w:r w:rsidRPr="00953281">
        <w:rPr>
          <w:szCs w:val="18"/>
          <w:lang w:val="en-CA"/>
        </w:rPr>
        <w:t>(</w:t>
      </w:r>
      <w:r w:rsidRPr="00953281">
        <w:rPr>
          <w:szCs w:val="18"/>
          <w:lang w:val="en-CA"/>
        </w:rPr>
        <w:t>圭亚那</w:t>
      </w:r>
      <w:r w:rsidRPr="00953281">
        <w:rPr>
          <w:szCs w:val="18"/>
          <w:lang w:val="en-CA"/>
        </w:rPr>
        <w:t>)</w:t>
      </w:r>
      <w:r w:rsidRPr="00953281">
        <w:rPr>
          <w:szCs w:val="18"/>
          <w:lang w:val="en-CA"/>
        </w:rPr>
        <w:t>。一些国家呼吁对</w:t>
      </w:r>
      <w:r w:rsidRPr="00953281">
        <w:rPr>
          <w:rFonts w:hint="eastAsia"/>
          <w:szCs w:val="18"/>
          <w:lang w:val="en-CA"/>
        </w:rPr>
        <w:t>“</w:t>
      </w:r>
      <w:r w:rsidRPr="00953281">
        <w:rPr>
          <w:szCs w:val="18"/>
          <w:lang w:val="en-CA"/>
        </w:rPr>
        <w:t>发达</w:t>
      </w:r>
      <w:r w:rsidRPr="00953281">
        <w:rPr>
          <w:rFonts w:hint="eastAsia"/>
          <w:szCs w:val="18"/>
          <w:lang w:val="en-CA"/>
        </w:rPr>
        <w:t>”</w:t>
      </w:r>
      <w:r w:rsidRPr="00953281">
        <w:rPr>
          <w:szCs w:val="18"/>
          <w:lang w:val="en-CA"/>
        </w:rPr>
        <w:t>和</w:t>
      </w:r>
      <w:r w:rsidRPr="00953281">
        <w:rPr>
          <w:rFonts w:hint="eastAsia"/>
          <w:szCs w:val="18"/>
          <w:lang w:val="en-CA"/>
        </w:rPr>
        <w:t>“</w:t>
      </w:r>
      <w:r w:rsidRPr="00953281">
        <w:rPr>
          <w:szCs w:val="18"/>
          <w:lang w:val="en-CA"/>
        </w:rPr>
        <w:t>发展中</w:t>
      </w:r>
      <w:r w:rsidRPr="00953281">
        <w:rPr>
          <w:rFonts w:hint="eastAsia"/>
          <w:szCs w:val="18"/>
          <w:lang w:val="en-CA"/>
        </w:rPr>
        <w:t>”</w:t>
      </w:r>
      <w:r w:rsidRPr="00953281">
        <w:rPr>
          <w:szCs w:val="18"/>
          <w:lang w:val="en-CA"/>
        </w:rPr>
        <w:t>国家作出更好的法律定义：</w:t>
      </w:r>
      <w:r w:rsidRPr="00953281">
        <w:rPr>
          <w:szCs w:val="18"/>
          <w:lang w:val="en-CA"/>
        </w:rPr>
        <w:t>A/C.6/</w:t>
      </w:r>
      <w:r w:rsidRPr="00953281">
        <w:rPr>
          <w:szCs w:val="18"/>
          <w:lang w:val="en-CA" w:eastAsia="ja-JP"/>
        </w:rPr>
        <w:t>33/</w:t>
      </w:r>
      <w:r w:rsidRPr="00953281">
        <w:rPr>
          <w:szCs w:val="18"/>
          <w:lang w:val="en-CA"/>
        </w:rPr>
        <w:t>SR.39,</w:t>
      </w:r>
      <w:r w:rsidRPr="00953281">
        <w:rPr>
          <w:rFonts w:hint="eastAsia"/>
          <w:szCs w:val="18"/>
          <w:lang w:val="en-CA"/>
        </w:rPr>
        <w:t xml:space="preserve"> </w:t>
      </w:r>
      <w:r w:rsidRPr="00953281">
        <w:rPr>
          <w:szCs w:val="18"/>
          <w:lang w:val="en-CA"/>
        </w:rPr>
        <w:t>第</w:t>
      </w:r>
      <w:r w:rsidRPr="00953281">
        <w:rPr>
          <w:szCs w:val="18"/>
          <w:lang w:val="en-CA"/>
        </w:rPr>
        <w:t>27</w:t>
      </w:r>
      <w:r w:rsidRPr="00953281">
        <w:rPr>
          <w:szCs w:val="18"/>
          <w:lang w:val="en-CA"/>
        </w:rPr>
        <w:t>段</w:t>
      </w:r>
      <w:r w:rsidRPr="00953281">
        <w:rPr>
          <w:szCs w:val="18"/>
          <w:lang w:val="en-CA"/>
        </w:rPr>
        <w:t>(</w:t>
      </w:r>
      <w:r w:rsidRPr="00953281">
        <w:rPr>
          <w:szCs w:val="18"/>
          <w:lang w:val="en-CA"/>
        </w:rPr>
        <w:t>比利时</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SR.40,</w:t>
      </w:r>
      <w:r w:rsidRPr="00953281">
        <w:rPr>
          <w:rFonts w:hint="eastAsia"/>
          <w:szCs w:val="18"/>
          <w:lang w:val="en-CA"/>
        </w:rPr>
        <w:t xml:space="preserve"> </w:t>
      </w:r>
      <w:r w:rsidRPr="00953281">
        <w:rPr>
          <w:szCs w:val="18"/>
          <w:lang w:val="en-CA"/>
        </w:rPr>
        <w:t>第</w:t>
      </w:r>
      <w:r w:rsidRPr="00953281">
        <w:rPr>
          <w:szCs w:val="18"/>
          <w:lang w:val="en-CA"/>
        </w:rPr>
        <w:t>5</w:t>
      </w:r>
      <w:r w:rsidRPr="00953281">
        <w:rPr>
          <w:szCs w:val="18"/>
          <w:lang w:val="en-CA"/>
        </w:rPr>
        <w:t>段</w:t>
      </w:r>
      <w:r w:rsidRPr="00953281">
        <w:rPr>
          <w:szCs w:val="18"/>
          <w:lang w:val="en-CA"/>
        </w:rPr>
        <w:t>(</w:t>
      </w:r>
      <w:r w:rsidRPr="00953281">
        <w:rPr>
          <w:rFonts w:hint="eastAsia"/>
          <w:szCs w:val="18"/>
          <w:lang w:val="en-CA"/>
        </w:rPr>
        <w:t>美利坚合众国</w:t>
      </w:r>
      <w:r w:rsidRPr="00953281">
        <w:rPr>
          <w:szCs w:val="18"/>
          <w:lang w:val="en-CA"/>
        </w:rPr>
        <w:t>)</w:t>
      </w:r>
      <w:r w:rsidRPr="00953281">
        <w:rPr>
          <w:szCs w:val="18"/>
          <w:lang w:val="en-CA"/>
        </w:rPr>
        <w:t>。</w:t>
      </w:r>
    </w:p>
  </w:footnote>
  <w:footnote w:id="43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Theme="minorHAnsi"/>
          <w:szCs w:val="18"/>
          <w:lang w:val="en-CA"/>
        </w:rPr>
        <w:t>A/C.6/33/SR.33,</w:t>
      </w:r>
      <w:r w:rsidRPr="00953281">
        <w:rPr>
          <w:rFonts w:hint="eastAsia"/>
          <w:szCs w:val="18"/>
          <w:lang w:val="en-CA"/>
        </w:rPr>
        <w:t xml:space="preserve"> </w:t>
      </w:r>
      <w:r w:rsidRPr="00953281">
        <w:rPr>
          <w:szCs w:val="18"/>
          <w:lang w:val="en-CA"/>
        </w:rPr>
        <w:t>第</w:t>
      </w:r>
      <w:r w:rsidRPr="00953281">
        <w:rPr>
          <w:szCs w:val="18"/>
          <w:lang w:val="en-CA"/>
        </w:rPr>
        <w:t>28</w:t>
      </w:r>
      <w:r w:rsidRPr="00953281">
        <w:rPr>
          <w:szCs w:val="18"/>
          <w:lang w:val="en-CA"/>
        </w:rPr>
        <w:t>段</w:t>
      </w:r>
      <w:r w:rsidRPr="00953281">
        <w:rPr>
          <w:szCs w:val="18"/>
          <w:lang w:val="en-CA"/>
        </w:rPr>
        <w:t>(</w:t>
      </w:r>
      <w:r w:rsidRPr="00953281">
        <w:rPr>
          <w:szCs w:val="18"/>
          <w:lang w:val="en-CA"/>
        </w:rPr>
        <w:t>德意志联邦共和国</w:t>
      </w:r>
      <w:r w:rsidRPr="00953281">
        <w:rPr>
          <w:szCs w:val="18"/>
          <w:lang w:val="en-CA"/>
        </w:rPr>
        <w:t>)</w:t>
      </w:r>
      <w:r w:rsidRPr="00953281">
        <w:rPr>
          <w:szCs w:val="18"/>
          <w:lang w:val="en-CA"/>
        </w:rPr>
        <w:t>；</w:t>
      </w:r>
      <w:r w:rsidRPr="00953281">
        <w:rPr>
          <w:szCs w:val="18"/>
          <w:lang w:val="en-CA" w:eastAsia="ja-JP"/>
        </w:rPr>
        <w:t>A/C.6/33/SR.37,</w:t>
      </w:r>
      <w:r w:rsidRPr="00953281">
        <w:rPr>
          <w:rFonts w:hint="eastAsia"/>
          <w:szCs w:val="18"/>
          <w:lang w:val="en-CA"/>
        </w:rPr>
        <w:t xml:space="preserve"> </w:t>
      </w:r>
      <w:r w:rsidRPr="00953281">
        <w:rPr>
          <w:szCs w:val="18"/>
          <w:lang w:val="en-CA"/>
        </w:rPr>
        <w:t>第</w:t>
      </w:r>
      <w:r w:rsidRPr="00953281">
        <w:rPr>
          <w:szCs w:val="18"/>
          <w:lang w:val="en-CA" w:eastAsia="ja-JP"/>
        </w:rPr>
        <w:t>33</w:t>
      </w:r>
      <w:r w:rsidRPr="00953281">
        <w:rPr>
          <w:szCs w:val="18"/>
          <w:lang w:val="en-CA"/>
        </w:rPr>
        <w:t>段</w:t>
      </w:r>
      <w:r w:rsidRPr="00953281">
        <w:rPr>
          <w:szCs w:val="18"/>
          <w:lang w:val="en-CA" w:eastAsia="ja-JP"/>
        </w:rPr>
        <w:t>(</w:t>
      </w:r>
      <w:r w:rsidRPr="00953281">
        <w:rPr>
          <w:szCs w:val="18"/>
          <w:lang w:val="en-CA" w:eastAsia="ja-JP"/>
        </w:rPr>
        <w:t>罗马尼亚</w:t>
      </w:r>
      <w:r w:rsidRPr="00953281">
        <w:rPr>
          <w:szCs w:val="18"/>
          <w:lang w:val="en-CA" w:eastAsia="ja-JP"/>
        </w:rPr>
        <w:t>)</w:t>
      </w:r>
      <w:r w:rsidRPr="00953281">
        <w:rPr>
          <w:szCs w:val="18"/>
          <w:lang w:val="en-CA" w:eastAsia="ja-JP"/>
        </w:rPr>
        <w:t>；</w:t>
      </w:r>
      <w:r w:rsidRPr="00953281">
        <w:rPr>
          <w:szCs w:val="18"/>
          <w:lang w:val="en-CA"/>
        </w:rPr>
        <w:t>A/C.6/</w:t>
      </w:r>
      <w:r w:rsidRPr="00953281">
        <w:rPr>
          <w:szCs w:val="18"/>
          <w:lang w:val="en-CA" w:eastAsia="ja-JP"/>
        </w:rPr>
        <w:t>33/</w:t>
      </w:r>
      <w:r w:rsidRPr="00953281">
        <w:rPr>
          <w:szCs w:val="18"/>
          <w:lang w:val="en-CA"/>
        </w:rPr>
        <w:t>SR.40,</w:t>
      </w:r>
      <w:r w:rsidRPr="00953281">
        <w:rPr>
          <w:rFonts w:hint="eastAsia"/>
          <w:szCs w:val="18"/>
          <w:lang w:val="en-CA"/>
        </w:rPr>
        <w:t xml:space="preserve"> </w:t>
      </w:r>
      <w:r w:rsidRPr="00953281">
        <w:rPr>
          <w:szCs w:val="18"/>
          <w:lang w:val="en-CA"/>
        </w:rPr>
        <w:t>第</w:t>
      </w:r>
      <w:r w:rsidRPr="00953281">
        <w:rPr>
          <w:szCs w:val="18"/>
          <w:lang w:val="en-CA"/>
        </w:rPr>
        <w:t>63</w:t>
      </w:r>
      <w:r w:rsidRPr="00953281">
        <w:rPr>
          <w:szCs w:val="18"/>
          <w:lang w:val="en-CA"/>
        </w:rPr>
        <w:t>段</w:t>
      </w:r>
      <w:r w:rsidRPr="00953281">
        <w:rPr>
          <w:szCs w:val="18"/>
          <w:lang w:val="en-CA"/>
        </w:rPr>
        <w:t>(</w:t>
      </w:r>
      <w:r w:rsidRPr="00953281">
        <w:rPr>
          <w:szCs w:val="18"/>
          <w:lang w:val="en-CA"/>
        </w:rPr>
        <w:t>叙利亚</w:t>
      </w:r>
      <w:r w:rsidRPr="00953281">
        <w:rPr>
          <w:szCs w:val="18"/>
          <w:lang w:val="en-CA"/>
        </w:rPr>
        <w:t>)</w:t>
      </w:r>
      <w:r w:rsidRPr="00953281">
        <w:rPr>
          <w:szCs w:val="18"/>
          <w:lang w:val="en-CA"/>
        </w:rPr>
        <w:t>；</w:t>
      </w:r>
      <w:r w:rsidRPr="00953281">
        <w:rPr>
          <w:szCs w:val="18"/>
          <w:lang w:val="en-CA"/>
        </w:rPr>
        <w:t>A/C.6/</w:t>
      </w:r>
      <w:r w:rsidRPr="00107EB9">
        <w:rPr>
          <w:szCs w:val="18"/>
          <w:lang w:val="en-CA"/>
        </w:rPr>
        <w:t>33/</w:t>
      </w:r>
      <w:r w:rsidRPr="00953281">
        <w:rPr>
          <w:szCs w:val="18"/>
          <w:lang w:val="en-CA"/>
        </w:rPr>
        <w:t>SR.41,</w:t>
      </w:r>
      <w:r w:rsidRPr="00953281">
        <w:rPr>
          <w:rFonts w:hint="eastAsia"/>
          <w:szCs w:val="18"/>
          <w:lang w:val="en-CA"/>
        </w:rPr>
        <w:t xml:space="preserve"> </w:t>
      </w:r>
      <w:r w:rsidRPr="00953281">
        <w:rPr>
          <w:szCs w:val="18"/>
          <w:lang w:val="en-CA"/>
        </w:rPr>
        <w:t>第</w:t>
      </w:r>
      <w:r w:rsidRPr="00953281">
        <w:rPr>
          <w:szCs w:val="18"/>
          <w:lang w:val="en-CA"/>
        </w:rPr>
        <w:t>60</w:t>
      </w:r>
      <w:r w:rsidRPr="00953281">
        <w:rPr>
          <w:szCs w:val="18"/>
          <w:lang w:val="en-CA"/>
        </w:rPr>
        <w:t>段</w:t>
      </w:r>
      <w:r w:rsidRPr="00953281">
        <w:rPr>
          <w:szCs w:val="18"/>
          <w:lang w:val="en-CA"/>
        </w:rPr>
        <w:t>(</w:t>
      </w:r>
      <w:r w:rsidRPr="00953281">
        <w:rPr>
          <w:szCs w:val="18"/>
          <w:lang w:val="en-CA"/>
        </w:rPr>
        <w:t>阿拉伯利比亚民众国</w:t>
      </w:r>
      <w:r w:rsidRPr="00953281">
        <w:rPr>
          <w:szCs w:val="18"/>
          <w:lang w:val="en-CA"/>
        </w:rPr>
        <w:t>)</w:t>
      </w:r>
      <w:r w:rsidRPr="00953281">
        <w:rPr>
          <w:szCs w:val="18"/>
          <w:lang w:val="en-CA"/>
        </w:rPr>
        <w:t>。意大利对条款草案的范围不包括超国家实体感到遗憾：</w:t>
      </w:r>
      <w:r w:rsidRPr="00953281">
        <w:rPr>
          <w:szCs w:val="18"/>
          <w:lang w:val="en-CA"/>
        </w:rPr>
        <w:t>A/C.6/</w:t>
      </w:r>
      <w:r w:rsidRPr="00953281">
        <w:rPr>
          <w:szCs w:val="18"/>
          <w:lang w:val="en-CA" w:eastAsia="ja-JP"/>
        </w:rPr>
        <w:t>33/</w:t>
      </w:r>
      <w:r w:rsidRPr="00953281">
        <w:rPr>
          <w:szCs w:val="18"/>
          <w:lang w:val="en-CA"/>
        </w:rPr>
        <w:t>SR.44,</w:t>
      </w:r>
      <w:r w:rsidRPr="00953281">
        <w:rPr>
          <w:rFonts w:hint="eastAsia"/>
          <w:szCs w:val="18"/>
          <w:lang w:val="en-CA"/>
        </w:rPr>
        <w:t xml:space="preserve"> </w:t>
      </w:r>
      <w:r w:rsidRPr="00953281">
        <w:rPr>
          <w:szCs w:val="18"/>
          <w:lang w:val="en-CA"/>
        </w:rPr>
        <w:t>第</w:t>
      </w:r>
      <w:r w:rsidRPr="00953281">
        <w:rPr>
          <w:szCs w:val="18"/>
          <w:lang w:val="en-CA"/>
        </w:rPr>
        <w:t>9</w:t>
      </w:r>
      <w:r w:rsidRPr="00953281">
        <w:rPr>
          <w:szCs w:val="18"/>
          <w:lang w:val="en-CA"/>
        </w:rPr>
        <w:t>段</w:t>
      </w:r>
      <w:r w:rsidRPr="00953281">
        <w:rPr>
          <w:szCs w:val="18"/>
          <w:lang w:val="en-CA"/>
        </w:rPr>
        <w:t>(</w:t>
      </w:r>
      <w:r w:rsidRPr="00953281">
        <w:rPr>
          <w:szCs w:val="18"/>
          <w:lang w:val="en-CA"/>
        </w:rPr>
        <w:t>意大利</w:t>
      </w:r>
      <w:r w:rsidRPr="00953281">
        <w:rPr>
          <w:szCs w:val="18"/>
          <w:lang w:val="en-CA"/>
        </w:rPr>
        <w:t>)</w:t>
      </w:r>
      <w:r w:rsidRPr="00953281">
        <w:rPr>
          <w:szCs w:val="18"/>
          <w:lang w:val="en-CA"/>
        </w:rPr>
        <w:t>。</w:t>
      </w:r>
    </w:p>
  </w:footnote>
  <w:footnote w:id="43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szCs w:val="18"/>
          <w:lang w:val="en-CA"/>
        </w:rPr>
        <w:t>A/C.6/33/SR.31,</w:t>
      </w:r>
      <w:r w:rsidRPr="00953281">
        <w:rPr>
          <w:rFonts w:hint="eastAsia"/>
          <w:szCs w:val="18"/>
          <w:lang w:val="en-CA"/>
        </w:rPr>
        <w:t xml:space="preserve"> </w:t>
      </w:r>
      <w:r w:rsidRPr="00953281">
        <w:rPr>
          <w:szCs w:val="18"/>
          <w:lang w:val="en-CA"/>
        </w:rPr>
        <w:t>第</w:t>
      </w:r>
      <w:r w:rsidRPr="00953281">
        <w:rPr>
          <w:szCs w:val="18"/>
          <w:lang w:val="en-CA"/>
        </w:rPr>
        <w:t>5</w:t>
      </w:r>
      <w:r w:rsidRPr="00953281">
        <w:rPr>
          <w:szCs w:val="18"/>
          <w:lang w:val="en-CA"/>
        </w:rPr>
        <w:t>段</w:t>
      </w:r>
      <w:r w:rsidRPr="00953281">
        <w:rPr>
          <w:szCs w:val="18"/>
          <w:lang w:val="en-CA"/>
        </w:rPr>
        <w:t>(</w:t>
      </w:r>
      <w:r w:rsidRPr="00953281">
        <w:rPr>
          <w:szCs w:val="18"/>
          <w:lang w:val="en-CA"/>
        </w:rPr>
        <w:t>荷兰</w:t>
      </w:r>
      <w:r w:rsidRPr="00953281">
        <w:rPr>
          <w:szCs w:val="18"/>
          <w:lang w:val="en-CA"/>
        </w:rPr>
        <w:t>)</w:t>
      </w:r>
      <w:r w:rsidRPr="00953281">
        <w:rPr>
          <w:szCs w:val="18"/>
          <w:lang w:val="en-CA"/>
        </w:rPr>
        <w:t>；</w:t>
      </w:r>
      <w:r w:rsidRPr="00953281">
        <w:rPr>
          <w:szCs w:val="18"/>
          <w:lang w:val="en-CA"/>
        </w:rPr>
        <w:t>A/C.6/33/SR.33,</w:t>
      </w:r>
      <w:r w:rsidRPr="00953281">
        <w:rPr>
          <w:rFonts w:hint="eastAsia"/>
          <w:szCs w:val="18"/>
          <w:lang w:val="en-CA"/>
        </w:rPr>
        <w:t xml:space="preserve"> </w:t>
      </w:r>
      <w:r w:rsidRPr="00953281">
        <w:rPr>
          <w:szCs w:val="18"/>
          <w:lang w:val="en-CA"/>
        </w:rPr>
        <w:t>第</w:t>
      </w:r>
      <w:r w:rsidRPr="00953281">
        <w:rPr>
          <w:szCs w:val="18"/>
          <w:lang w:val="en-CA"/>
        </w:rPr>
        <w:t>2</w:t>
      </w:r>
      <w:r w:rsidRPr="00953281">
        <w:rPr>
          <w:szCs w:val="18"/>
          <w:lang w:val="en-CA"/>
        </w:rPr>
        <w:t>段</w:t>
      </w:r>
      <w:r w:rsidRPr="00953281">
        <w:rPr>
          <w:szCs w:val="18"/>
          <w:lang w:val="en-CA"/>
        </w:rPr>
        <w:t>(</w:t>
      </w:r>
      <w:r w:rsidRPr="00953281">
        <w:rPr>
          <w:szCs w:val="18"/>
          <w:lang w:val="en-CA"/>
        </w:rPr>
        <w:t>丹麦</w:t>
      </w:r>
      <w:r w:rsidRPr="00953281">
        <w:rPr>
          <w:szCs w:val="18"/>
          <w:lang w:val="en-CA"/>
        </w:rPr>
        <w:t>)</w:t>
      </w:r>
      <w:r w:rsidRPr="00953281">
        <w:rPr>
          <w:szCs w:val="18"/>
          <w:lang w:val="en-CA"/>
        </w:rPr>
        <w:t>；</w:t>
      </w:r>
      <w:r w:rsidRPr="00953281">
        <w:rPr>
          <w:szCs w:val="18"/>
          <w:lang w:val="en-CA"/>
        </w:rPr>
        <w:t>A/C.6/33/SR.36,</w:t>
      </w:r>
      <w:r w:rsidRPr="00953281">
        <w:rPr>
          <w:rFonts w:hint="eastAsia"/>
          <w:szCs w:val="18"/>
          <w:lang w:val="en-CA"/>
        </w:rPr>
        <w:t xml:space="preserve"> </w:t>
      </w:r>
      <w:r w:rsidRPr="00953281">
        <w:rPr>
          <w:szCs w:val="18"/>
          <w:lang w:val="en-CA"/>
        </w:rPr>
        <w:t>第</w:t>
      </w:r>
      <w:r w:rsidRPr="00953281">
        <w:rPr>
          <w:szCs w:val="18"/>
          <w:lang w:val="en-CA"/>
        </w:rPr>
        <w:t>2-3</w:t>
      </w:r>
      <w:r w:rsidRPr="00953281">
        <w:rPr>
          <w:szCs w:val="18"/>
          <w:lang w:val="en-CA"/>
        </w:rPr>
        <w:t>段</w:t>
      </w:r>
      <w:r w:rsidRPr="00953281">
        <w:rPr>
          <w:szCs w:val="18"/>
          <w:lang w:val="en-CA"/>
        </w:rPr>
        <w:t>(</w:t>
      </w:r>
      <w:r w:rsidRPr="00953281">
        <w:rPr>
          <w:szCs w:val="18"/>
          <w:lang w:val="en-CA"/>
        </w:rPr>
        <w:t>瑞典</w:t>
      </w:r>
      <w:r w:rsidRPr="00953281">
        <w:rPr>
          <w:szCs w:val="18"/>
          <w:lang w:val="en-CA"/>
        </w:rPr>
        <w:t>)</w:t>
      </w:r>
      <w:r w:rsidRPr="00953281">
        <w:rPr>
          <w:szCs w:val="18"/>
          <w:lang w:val="en-CA"/>
        </w:rPr>
        <w:t>；</w:t>
      </w:r>
      <w:r w:rsidRPr="00953281">
        <w:rPr>
          <w:szCs w:val="18"/>
          <w:lang w:val="en-CA"/>
        </w:rPr>
        <w:t>A/C.6/33/SR.37,</w:t>
      </w:r>
      <w:r w:rsidRPr="00953281">
        <w:rPr>
          <w:rFonts w:hint="eastAsia"/>
          <w:szCs w:val="18"/>
          <w:lang w:val="en-CA"/>
        </w:rPr>
        <w:t xml:space="preserve"> </w:t>
      </w:r>
      <w:r w:rsidRPr="00953281">
        <w:rPr>
          <w:szCs w:val="18"/>
          <w:lang w:val="en-CA"/>
        </w:rPr>
        <w:t>第</w:t>
      </w:r>
      <w:r w:rsidRPr="00953281">
        <w:rPr>
          <w:szCs w:val="18"/>
          <w:lang w:val="en-CA"/>
        </w:rPr>
        <w:t>2</w:t>
      </w:r>
      <w:r w:rsidRPr="00953281">
        <w:rPr>
          <w:szCs w:val="18"/>
          <w:lang w:val="en-CA"/>
        </w:rPr>
        <w:t>段</w:t>
      </w:r>
      <w:r w:rsidRPr="00953281">
        <w:rPr>
          <w:szCs w:val="18"/>
          <w:lang w:val="en-CA"/>
        </w:rPr>
        <w:t>(</w:t>
      </w:r>
      <w:r w:rsidRPr="00953281">
        <w:rPr>
          <w:szCs w:val="18"/>
          <w:lang w:val="en-CA"/>
        </w:rPr>
        <w:t>奥地利</w:t>
      </w:r>
      <w:r w:rsidRPr="00953281">
        <w:rPr>
          <w:szCs w:val="18"/>
          <w:lang w:val="en-CA"/>
        </w:rPr>
        <w:t>)</w:t>
      </w:r>
      <w:r w:rsidRPr="00953281">
        <w:rPr>
          <w:szCs w:val="18"/>
          <w:lang w:val="en-CA"/>
        </w:rPr>
        <w:t>；</w:t>
      </w:r>
      <w:r w:rsidRPr="00953281">
        <w:rPr>
          <w:szCs w:val="18"/>
          <w:lang w:val="en-CA"/>
        </w:rPr>
        <w:t>A/C.6/33/SR.37,</w:t>
      </w:r>
      <w:r w:rsidRPr="00953281">
        <w:rPr>
          <w:rFonts w:hint="eastAsia"/>
          <w:szCs w:val="18"/>
          <w:lang w:val="en-CA"/>
        </w:rPr>
        <w:t xml:space="preserve"> </w:t>
      </w:r>
      <w:r w:rsidRPr="00953281">
        <w:rPr>
          <w:szCs w:val="18"/>
          <w:lang w:val="en-CA"/>
        </w:rPr>
        <w:t>第</w:t>
      </w:r>
      <w:r w:rsidRPr="00953281">
        <w:rPr>
          <w:szCs w:val="18"/>
          <w:lang w:val="en-CA"/>
        </w:rPr>
        <w:t>10</w:t>
      </w:r>
      <w:r w:rsidRPr="00953281">
        <w:rPr>
          <w:szCs w:val="18"/>
          <w:lang w:val="en-CA"/>
        </w:rPr>
        <w:t>段</w:t>
      </w:r>
      <w:r w:rsidRPr="00953281">
        <w:rPr>
          <w:szCs w:val="18"/>
          <w:lang w:val="en-CA"/>
        </w:rPr>
        <w:t>(</w:t>
      </w:r>
      <w:r w:rsidRPr="00953281">
        <w:rPr>
          <w:szCs w:val="18"/>
          <w:lang w:val="en-CA"/>
        </w:rPr>
        <w:t>联合王国</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SR.39,</w:t>
      </w:r>
      <w:r w:rsidRPr="00953281">
        <w:rPr>
          <w:rFonts w:hint="eastAsia"/>
          <w:szCs w:val="18"/>
          <w:lang w:val="en-CA"/>
        </w:rPr>
        <w:t xml:space="preserve"> </w:t>
      </w:r>
      <w:r w:rsidRPr="00953281">
        <w:rPr>
          <w:szCs w:val="18"/>
          <w:lang w:val="en-CA"/>
        </w:rPr>
        <w:t>第</w:t>
      </w:r>
      <w:r w:rsidRPr="00953281">
        <w:rPr>
          <w:szCs w:val="18"/>
          <w:lang w:val="en-CA"/>
        </w:rPr>
        <w:t>10</w:t>
      </w:r>
      <w:r w:rsidRPr="00953281">
        <w:rPr>
          <w:szCs w:val="18"/>
          <w:lang w:val="en-CA"/>
        </w:rPr>
        <w:t>段</w:t>
      </w:r>
      <w:r w:rsidRPr="00953281">
        <w:rPr>
          <w:szCs w:val="18"/>
          <w:lang w:val="en-CA"/>
        </w:rPr>
        <w:t>(</w:t>
      </w:r>
      <w:r w:rsidRPr="00953281">
        <w:rPr>
          <w:szCs w:val="18"/>
          <w:lang w:val="en-CA"/>
        </w:rPr>
        <w:t>希腊</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SR.39,</w:t>
      </w:r>
      <w:r w:rsidRPr="00953281">
        <w:rPr>
          <w:rFonts w:hint="eastAsia"/>
          <w:szCs w:val="18"/>
          <w:lang w:val="en-CA"/>
        </w:rPr>
        <w:t xml:space="preserve"> </w:t>
      </w:r>
      <w:r w:rsidRPr="00953281">
        <w:rPr>
          <w:szCs w:val="18"/>
          <w:lang w:val="en-CA"/>
        </w:rPr>
        <w:t>第</w:t>
      </w:r>
      <w:r w:rsidRPr="00953281">
        <w:rPr>
          <w:szCs w:val="18"/>
          <w:lang w:val="en-CA"/>
        </w:rPr>
        <w:t>25</w:t>
      </w:r>
      <w:r w:rsidRPr="00953281">
        <w:rPr>
          <w:szCs w:val="18"/>
          <w:lang w:val="en-CA"/>
        </w:rPr>
        <w:t>段</w:t>
      </w:r>
      <w:r w:rsidRPr="00953281">
        <w:rPr>
          <w:szCs w:val="18"/>
          <w:lang w:val="en-CA"/>
        </w:rPr>
        <w:t>(</w:t>
      </w:r>
      <w:r w:rsidRPr="00953281">
        <w:rPr>
          <w:szCs w:val="18"/>
          <w:lang w:val="en-CA"/>
        </w:rPr>
        <w:t>比利时</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SR.39,</w:t>
      </w:r>
      <w:r w:rsidRPr="00953281">
        <w:rPr>
          <w:rFonts w:hint="eastAsia"/>
          <w:szCs w:val="18"/>
          <w:lang w:val="en-CA"/>
        </w:rPr>
        <w:t xml:space="preserve"> </w:t>
      </w:r>
      <w:r w:rsidRPr="00953281">
        <w:rPr>
          <w:szCs w:val="18"/>
          <w:lang w:val="en-CA"/>
        </w:rPr>
        <w:t>第</w:t>
      </w:r>
      <w:r w:rsidRPr="00953281">
        <w:rPr>
          <w:szCs w:val="18"/>
          <w:lang w:val="en-CA"/>
        </w:rPr>
        <w:t>48</w:t>
      </w:r>
      <w:r w:rsidRPr="00953281">
        <w:rPr>
          <w:szCs w:val="18"/>
          <w:lang w:val="en-CA"/>
        </w:rPr>
        <w:t>段</w:t>
      </w:r>
      <w:r w:rsidRPr="00953281">
        <w:rPr>
          <w:szCs w:val="18"/>
          <w:lang w:val="en-CA"/>
        </w:rPr>
        <w:t>(</w:t>
      </w:r>
      <w:r w:rsidRPr="00953281">
        <w:rPr>
          <w:szCs w:val="18"/>
          <w:lang w:val="es-ES"/>
        </w:rPr>
        <w:t>哥伦比亚</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SR.40,</w:t>
      </w:r>
      <w:r w:rsidRPr="00953281">
        <w:rPr>
          <w:rFonts w:hint="eastAsia"/>
          <w:szCs w:val="18"/>
          <w:lang w:val="en-CA"/>
        </w:rPr>
        <w:t xml:space="preserve"> </w:t>
      </w:r>
      <w:r w:rsidRPr="00953281">
        <w:rPr>
          <w:szCs w:val="18"/>
          <w:lang w:val="en-CA"/>
        </w:rPr>
        <w:t>第</w:t>
      </w:r>
      <w:r w:rsidRPr="00953281">
        <w:rPr>
          <w:szCs w:val="18"/>
          <w:lang w:val="en-CA"/>
        </w:rPr>
        <w:t>52</w:t>
      </w:r>
      <w:r w:rsidRPr="00953281">
        <w:rPr>
          <w:szCs w:val="18"/>
          <w:lang w:val="en-CA"/>
        </w:rPr>
        <w:t>段</w:t>
      </w:r>
      <w:r w:rsidRPr="00953281">
        <w:rPr>
          <w:szCs w:val="18"/>
          <w:lang w:val="en-CA"/>
        </w:rPr>
        <w:t>(</w:t>
      </w:r>
      <w:r w:rsidRPr="00953281">
        <w:rPr>
          <w:szCs w:val="18"/>
          <w:lang w:val="es-ES"/>
        </w:rPr>
        <w:t>赞比亚</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SR.41,</w:t>
      </w:r>
      <w:r w:rsidRPr="00953281">
        <w:rPr>
          <w:rFonts w:hint="eastAsia"/>
          <w:szCs w:val="18"/>
          <w:lang w:val="en-CA"/>
        </w:rPr>
        <w:t xml:space="preserve"> </w:t>
      </w:r>
      <w:r w:rsidRPr="00953281">
        <w:rPr>
          <w:szCs w:val="18"/>
          <w:lang w:val="en-CA"/>
        </w:rPr>
        <w:t>第</w:t>
      </w:r>
      <w:r w:rsidRPr="00953281">
        <w:rPr>
          <w:szCs w:val="18"/>
          <w:lang w:val="en-CA"/>
        </w:rPr>
        <w:t>11</w:t>
      </w:r>
      <w:r w:rsidRPr="00953281">
        <w:rPr>
          <w:szCs w:val="18"/>
          <w:lang w:val="en-CA"/>
        </w:rPr>
        <w:t>段</w:t>
      </w:r>
      <w:r w:rsidRPr="00953281">
        <w:rPr>
          <w:szCs w:val="18"/>
          <w:lang w:val="en-CA"/>
        </w:rPr>
        <w:t>(</w:t>
      </w:r>
      <w:r w:rsidRPr="00953281">
        <w:rPr>
          <w:szCs w:val="18"/>
          <w:lang w:val="en-CA"/>
        </w:rPr>
        <w:t>土耳其</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SR.42,</w:t>
      </w:r>
      <w:r w:rsidRPr="00953281">
        <w:rPr>
          <w:rFonts w:hint="eastAsia"/>
          <w:szCs w:val="18"/>
          <w:lang w:val="en-CA"/>
        </w:rPr>
        <w:t xml:space="preserve"> </w:t>
      </w:r>
      <w:r w:rsidRPr="00953281">
        <w:rPr>
          <w:szCs w:val="18"/>
          <w:lang w:val="en-CA"/>
        </w:rPr>
        <w:t>第</w:t>
      </w:r>
      <w:r w:rsidRPr="00953281">
        <w:rPr>
          <w:szCs w:val="18"/>
          <w:lang w:val="en-CA"/>
        </w:rPr>
        <w:t>6</w:t>
      </w:r>
      <w:r w:rsidRPr="00953281">
        <w:rPr>
          <w:szCs w:val="18"/>
          <w:lang w:val="en-CA"/>
        </w:rPr>
        <w:t>段</w:t>
      </w:r>
      <w:r w:rsidRPr="00953281">
        <w:rPr>
          <w:szCs w:val="18"/>
          <w:lang w:val="en-CA"/>
        </w:rPr>
        <w:t>(</w:t>
      </w:r>
      <w:r w:rsidRPr="00953281">
        <w:rPr>
          <w:szCs w:val="18"/>
          <w:lang w:val="en-CA"/>
        </w:rPr>
        <w:t>爱尔兰</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SR.42,</w:t>
      </w:r>
      <w:r w:rsidRPr="00953281">
        <w:rPr>
          <w:rFonts w:hint="eastAsia"/>
          <w:szCs w:val="18"/>
          <w:lang w:val="en-CA"/>
        </w:rPr>
        <w:t xml:space="preserve"> </w:t>
      </w:r>
      <w:r w:rsidRPr="00953281">
        <w:rPr>
          <w:szCs w:val="18"/>
          <w:lang w:val="en-CA"/>
        </w:rPr>
        <w:t>第</w:t>
      </w:r>
      <w:r w:rsidRPr="00953281">
        <w:rPr>
          <w:szCs w:val="18"/>
          <w:lang w:val="en-CA"/>
        </w:rPr>
        <w:t>39</w:t>
      </w:r>
      <w:r w:rsidRPr="00953281">
        <w:rPr>
          <w:szCs w:val="18"/>
          <w:lang w:val="en-CA"/>
        </w:rPr>
        <w:t>段</w:t>
      </w:r>
      <w:r w:rsidRPr="00953281">
        <w:rPr>
          <w:szCs w:val="18"/>
          <w:lang w:val="en-CA"/>
        </w:rPr>
        <w:t>(</w:t>
      </w:r>
      <w:r w:rsidRPr="00953281">
        <w:rPr>
          <w:szCs w:val="18"/>
          <w:lang w:val="en-CA"/>
        </w:rPr>
        <w:t>尼日利亚</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SR.42,</w:t>
      </w:r>
      <w:r w:rsidRPr="00953281">
        <w:rPr>
          <w:rFonts w:hint="eastAsia"/>
          <w:szCs w:val="18"/>
          <w:lang w:val="en-CA"/>
        </w:rPr>
        <w:t xml:space="preserve"> </w:t>
      </w:r>
      <w:r w:rsidRPr="00953281">
        <w:rPr>
          <w:szCs w:val="18"/>
          <w:lang w:val="en-CA"/>
        </w:rPr>
        <w:t>第</w:t>
      </w:r>
      <w:r w:rsidRPr="00953281">
        <w:rPr>
          <w:szCs w:val="18"/>
          <w:lang w:val="en-CA"/>
        </w:rPr>
        <w:t>43</w:t>
      </w:r>
      <w:r w:rsidRPr="00953281">
        <w:rPr>
          <w:szCs w:val="18"/>
          <w:lang w:val="en-CA"/>
        </w:rPr>
        <w:t>段</w:t>
      </w:r>
      <w:r w:rsidRPr="00953281">
        <w:rPr>
          <w:szCs w:val="18"/>
          <w:lang w:val="en-CA"/>
        </w:rPr>
        <w:t>(</w:t>
      </w:r>
      <w:r w:rsidRPr="00953281">
        <w:rPr>
          <w:szCs w:val="18"/>
          <w:lang w:val="en-CA"/>
        </w:rPr>
        <w:t>秘鲁</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SR.43,</w:t>
      </w:r>
      <w:r w:rsidRPr="00953281">
        <w:rPr>
          <w:rFonts w:hint="eastAsia"/>
          <w:szCs w:val="18"/>
          <w:lang w:val="en-CA"/>
        </w:rPr>
        <w:t xml:space="preserve"> </w:t>
      </w:r>
      <w:r w:rsidRPr="00953281">
        <w:rPr>
          <w:szCs w:val="18"/>
          <w:lang w:val="en-CA"/>
        </w:rPr>
        <w:t>第</w:t>
      </w:r>
      <w:r w:rsidRPr="00953281">
        <w:rPr>
          <w:szCs w:val="18"/>
          <w:lang w:val="en-CA"/>
        </w:rPr>
        <w:t>11</w:t>
      </w:r>
      <w:r w:rsidRPr="00953281">
        <w:rPr>
          <w:szCs w:val="18"/>
          <w:lang w:val="en-CA"/>
        </w:rPr>
        <w:t>段</w:t>
      </w:r>
      <w:r w:rsidRPr="00953281">
        <w:rPr>
          <w:szCs w:val="18"/>
          <w:lang w:val="en-CA"/>
        </w:rPr>
        <w:t>(</w:t>
      </w:r>
      <w:r w:rsidRPr="00953281">
        <w:rPr>
          <w:szCs w:val="18"/>
          <w:lang w:val="en-CA"/>
        </w:rPr>
        <w:t>委内瑞拉</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SR.43,</w:t>
      </w:r>
      <w:r w:rsidRPr="00953281">
        <w:rPr>
          <w:rFonts w:hint="eastAsia"/>
          <w:szCs w:val="18"/>
          <w:lang w:val="en-CA"/>
        </w:rPr>
        <w:t xml:space="preserve"> </w:t>
      </w:r>
      <w:r w:rsidRPr="00953281">
        <w:rPr>
          <w:szCs w:val="18"/>
          <w:lang w:val="en-CA"/>
        </w:rPr>
        <w:t>第</w:t>
      </w:r>
      <w:r w:rsidRPr="00953281">
        <w:rPr>
          <w:szCs w:val="18"/>
          <w:lang w:val="en-CA"/>
        </w:rPr>
        <w:t>30</w:t>
      </w:r>
      <w:r w:rsidRPr="00953281">
        <w:rPr>
          <w:szCs w:val="18"/>
          <w:lang w:val="en-CA"/>
        </w:rPr>
        <w:t>段</w:t>
      </w:r>
      <w:r w:rsidRPr="00953281">
        <w:rPr>
          <w:szCs w:val="18"/>
          <w:lang w:val="en-CA"/>
        </w:rPr>
        <w:t>(</w:t>
      </w:r>
      <w:r w:rsidRPr="00953281">
        <w:rPr>
          <w:szCs w:val="18"/>
          <w:lang w:val="en-CA"/>
        </w:rPr>
        <w:t>乌拉圭</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SR.44,</w:t>
      </w:r>
      <w:r w:rsidRPr="00953281">
        <w:rPr>
          <w:rFonts w:hint="eastAsia"/>
          <w:szCs w:val="18"/>
          <w:lang w:val="en-CA"/>
        </w:rPr>
        <w:t xml:space="preserve"> </w:t>
      </w:r>
      <w:r w:rsidRPr="00953281">
        <w:rPr>
          <w:szCs w:val="18"/>
          <w:lang w:val="en-CA"/>
        </w:rPr>
        <w:t>第</w:t>
      </w:r>
      <w:r w:rsidRPr="00953281">
        <w:rPr>
          <w:szCs w:val="18"/>
          <w:lang w:val="en-CA"/>
        </w:rPr>
        <w:t>13</w:t>
      </w:r>
      <w:r w:rsidRPr="00953281">
        <w:rPr>
          <w:szCs w:val="18"/>
          <w:lang w:val="en-CA"/>
        </w:rPr>
        <w:t>段</w:t>
      </w:r>
      <w:r w:rsidRPr="00953281">
        <w:rPr>
          <w:szCs w:val="18"/>
          <w:lang w:val="en-CA"/>
        </w:rPr>
        <w:t>(</w:t>
      </w:r>
      <w:r w:rsidRPr="00953281">
        <w:rPr>
          <w:szCs w:val="18"/>
          <w:lang w:val="en-CA"/>
        </w:rPr>
        <w:t>意大利</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SR.44,</w:t>
      </w:r>
      <w:r w:rsidRPr="00953281">
        <w:rPr>
          <w:rFonts w:hint="eastAsia"/>
          <w:szCs w:val="18"/>
          <w:lang w:val="en-CA"/>
        </w:rPr>
        <w:t xml:space="preserve"> </w:t>
      </w:r>
      <w:r w:rsidRPr="00953281">
        <w:rPr>
          <w:szCs w:val="18"/>
          <w:lang w:val="en-CA"/>
        </w:rPr>
        <w:t>第</w:t>
      </w:r>
      <w:r w:rsidRPr="00953281">
        <w:rPr>
          <w:szCs w:val="18"/>
          <w:lang w:val="en-CA"/>
        </w:rPr>
        <w:t>20</w:t>
      </w:r>
      <w:r w:rsidRPr="00953281">
        <w:rPr>
          <w:szCs w:val="18"/>
          <w:lang w:val="en-CA"/>
        </w:rPr>
        <w:t>段</w:t>
      </w:r>
      <w:r w:rsidRPr="00953281">
        <w:rPr>
          <w:szCs w:val="18"/>
          <w:lang w:val="en-CA"/>
        </w:rPr>
        <w:t>(</w:t>
      </w:r>
      <w:r w:rsidRPr="00953281">
        <w:rPr>
          <w:szCs w:val="18"/>
          <w:lang w:val="en-CA"/>
        </w:rPr>
        <w:t>埃及</w:t>
      </w:r>
      <w:r w:rsidRPr="00953281">
        <w:rPr>
          <w:szCs w:val="18"/>
          <w:lang w:val="en-CA"/>
        </w:rPr>
        <w:t>)</w:t>
      </w:r>
      <w:r w:rsidRPr="00953281">
        <w:rPr>
          <w:szCs w:val="18"/>
          <w:lang w:val="en-CA"/>
        </w:rPr>
        <w:t>；</w:t>
      </w:r>
      <w:r w:rsidRPr="00953281">
        <w:rPr>
          <w:szCs w:val="18"/>
          <w:lang w:val="en-CA"/>
        </w:rPr>
        <w:t>A/C.6/</w:t>
      </w:r>
      <w:r w:rsidRPr="00953281">
        <w:rPr>
          <w:szCs w:val="18"/>
          <w:lang w:val="en-CA" w:eastAsia="ja-JP"/>
        </w:rPr>
        <w:t>33/</w:t>
      </w:r>
      <w:r w:rsidRPr="00953281">
        <w:rPr>
          <w:szCs w:val="18"/>
          <w:lang w:val="en-CA"/>
        </w:rPr>
        <w:t>SR.45,</w:t>
      </w:r>
      <w:r w:rsidRPr="00953281">
        <w:rPr>
          <w:rFonts w:hint="eastAsia"/>
          <w:szCs w:val="18"/>
          <w:lang w:val="en-CA"/>
        </w:rPr>
        <w:t xml:space="preserve"> </w:t>
      </w:r>
      <w:r w:rsidRPr="00953281">
        <w:rPr>
          <w:szCs w:val="18"/>
          <w:lang w:val="en-CA"/>
        </w:rPr>
        <w:t>第</w:t>
      </w:r>
      <w:r w:rsidRPr="00953281">
        <w:rPr>
          <w:szCs w:val="18"/>
          <w:lang w:val="en-CA"/>
        </w:rPr>
        <w:t>27</w:t>
      </w:r>
      <w:r w:rsidRPr="00953281">
        <w:rPr>
          <w:szCs w:val="18"/>
          <w:lang w:val="en-CA"/>
        </w:rPr>
        <w:t>段</w:t>
      </w:r>
      <w:r w:rsidRPr="00953281">
        <w:rPr>
          <w:szCs w:val="18"/>
          <w:lang w:val="en-CA"/>
        </w:rPr>
        <w:t>(</w:t>
      </w:r>
      <w:r w:rsidRPr="00953281">
        <w:rPr>
          <w:szCs w:val="18"/>
          <w:lang w:val="en-CA"/>
        </w:rPr>
        <w:t>斯威士兰</w:t>
      </w:r>
      <w:r w:rsidRPr="00953281">
        <w:rPr>
          <w:szCs w:val="18"/>
          <w:lang w:val="en-CA"/>
        </w:rPr>
        <w:t>)</w:t>
      </w:r>
      <w:r w:rsidRPr="00953281">
        <w:rPr>
          <w:szCs w:val="18"/>
          <w:lang w:val="en-CA"/>
        </w:rPr>
        <w:t>；</w:t>
      </w:r>
      <w:r w:rsidRPr="00953281">
        <w:rPr>
          <w:szCs w:val="18"/>
          <w:lang w:val="en-CA"/>
        </w:rPr>
        <w:t>A/C.6/33/SR.46,</w:t>
      </w:r>
      <w:r w:rsidRPr="00953281">
        <w:rPr>
          <w:rFonts w:hint="eastAsia"/>
          <w:szCs w:val="18"/>
          <w:lang w:val="en-CA"/>
        </w:rPr>
        <w:t xml:space="preserve"> </w:t>
      </w:r>
      <w:r w:rsidRPr="00953281">
        <w:rPr>
          <w:szCs w:val="18"/>
          <w:lang w:val="en-CA"/>
        </w:rPr>
        <w:t>第</w:t>
      </w:r>
      <w:r w:rsidRPr="00953281">
        <w:rPr>
          <w:szCs w:val="18"/>
          <w:lang w:val="en-CA"/>
        </w:rPr>
        <w:t>2</w:t>
      </w:r>
      <w:r w:rsidRPr="00953281">
        <w:rPr>
          <w:szCs w:val="18"/>
          <w:lang w:val="en-CA"/>
        </w:rPr>
        <w:t>段</w:t>
      </w:r>
      <w:r w:rsidRPr="00953281">
        <w:rPr>
          <w:szCs w:val="18"/>
          <w:lang w:val="en-CA"/>
        </w:rPr>
        <w:t>(</w:t>
      </w:r>
      <w:r w:rsidRPr="00953281">
        <w:rPr>
          <w:szCs w:val="18"/>
          <w:lang w:val="en-CA"/>
        </w:rPr>
        <w:t>国际法委员会主席的</w:t>
      </w:r>
      <w:r w:rsidRPr="00953281">
        <w:rPr>
          <w:rFonts w:hint="eastAsia"/>
          <w:szCs w:val="18"/>
          <w:lang w:val="en-CA"/>
        </w:rPr>
        <w:t>总结</w:t>
      </w:r>
      <w:r w:rsidRPr="00953281">
        <w:rPr>
          <w:szCs w:val="18"/>
          <w:lang w:val="en-CA"/>
        </w:rPr>
        <w:t>)</w:t>
      </w:r>
      <w:r w:rsidRPr="00953281">
        <w:rPr>
          <w:szCs w:val="18"/>
          <w:lang w:val="en-CA"/>
        </w:rPr>
        <w:t>。</w:t>
      </w:r>
    </w:p>
  </w:footnote>
  <w:footnote w:id="43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eastAsia="ja-JP"/>
        </w:rPr>
      </w:pPr>
      <w:r w:rsidRPr="00953281">
        <w:rPr>
          <w:szCs w:val="18"/>
        </w:rPr>
        <w:tab/>
      </w:r>
      <w:r w:rsidRPr="00953281">
        <w:rPr>
          <w:rStyle w:val="a3"/>
          <w:sz w:val="21"/>
          <w:szCs w:val="18"/>
        </w:rPr>
        <w:footnoteRef/>
      </w:r>
      <w:r w:rsidRPr="00953281">
        <w:rPr>
          <w:szCs w:val="18"/>
        </w:rPr>
        <w:tab/>
      </w:r>
      <w:r w:rsidRPr="00953281">
        <w:rPr>
          <w:szCs w:val="18"/>
          <w:lang w:val="en-CA" w:eastAsia="ja-JP"/>
        </w:rPr>
        <w:t>A/C.6/33/SR.32,</w:t>
      </w:r>
      <w:r w:rsidRPr="00953281">
        <w:rPr>
          <w:rFonts w:hint="eastAsia"/>
          <w:szCs w:val="18"/>
          <w:lang w:val="en-CA"/>
        </w:rPr>
        <w:t xml:space="preserve"> </w:t>
      </w:r>
      <w:r w:rsidRPr="00953281">
        <w:rPr>
          <w:szCs w:val="18"/>
          <w:lang w:val="en-CA"/>
        </w:rPr>
        <w:t>第</w:t>
      </w:r>
      <w:r w:rsidRPr="00953281">
        <w:rPr>
          <w:szCs w:val="18"/>
          <w:lang w:val="en-CA" w:eastAsia="ja-JP"/>
        </w:rPr>
        <w:t>8-12</w:t>
      </w:r>
      <w:r w:rsidRPr="00953281">
        <w:rPr>
          <w:szCs w:val="18"/>
          <w:lang w:val="en-CA"/>
        </w:rPr>
        <w:t>段</w:t>
      </w:r>
      <w:r w:rsidRPr="00953281">
        <w:rPr>
          <w:szCs w:val="18"/>
          <w:lang w:val="en-CA" w:eastAsia="ja-JP"/>
        </w:rPr>
        <w:t>(</w:t>
      </w:r>
      <w:r w:rsidRPr="00953281">
        <w:rPr>
          <w:szCs w:val="18"/>
          <w:lang w:val="en-CA"/>
        </w:rPr>
        <w:t>欧洲经济共同体</w:t>
      </w:r>
      <w:r w:rsidRPr="00953281">
        <w:rPr>
          <w:szCs w:val="18"/>
          <w:lang w:val="en-CA" w:eastAsia="ja-JP"/>
        </w:rPr>
        <w:t>)</w:t>
      </w:r>
      <w:r w:rsidRPr="00953281">
        <w:rPr>
          <w:szCs w:val="18"/>
          <w:lang w:val="en-CA" w:eastAsia="ja-JP"/>
        </w:rPr>
        <w:t>。另外</w:t>
      </w:r>
      <w:r w:rsidRPr="00953281">
        <w:rPr>
          <w:szCs w:val="18"/>
          <w:lang w:val="en-CA" w:eastAsia="ja-JP"/>
        </w:rPr>
        <w:t>A/C.6/33/SR.31,</w:t>
      </w:r>
      <w:r w:rsidRPr="00953281">
        <w:rPr>
          <w:rFonts w:hint="eastAsia"/>
          <w:szCs w:val="18"/>
          <w:lang w:val="en-CA"/>
        </w:rPr>
        <w:t xml:space="preserve"> </w:t>
      </w:r>
      <w:r w:rsidRPr="00953281">
        <w:rPr>
          <w:szCs w:val="18"/>
          <w:lang w:val="en-CA" w:eastAsia="ja-JP"/>
        </w:rPr>
        <w:t>第</w:t>
      </w:r>
      <w:r w:rsidRPr="00953281">
        <w:rPr>
          <w:szCs w:val="18"/>
          <w:lang w:val="en-CA" w:eastAsia="ja-JP"/>
        </w:rPr>
        <w:t>4</w:t>
      </w:r>
      <w:r w:rsidRPr="00953281">
        <w:rPr>
          <w:szCs w:val="18"/>
          <w:lang w:val="en-CA" w:eastAsia="ja-JP"/>
        </w:rPr>
        <w:t>段</w:t>
      </w:r>
      <w:r w:rsidRPr="00953281">
        <w:rPr>
          <w:szCs w:val="18"/>
          <w:lang w:val="en-CA" w:eastAsia="ja-JP"/>
        </w:rPr>
        <w:t>(</w:t>
      </w:r>
      <w:r w:rsidRPr="00953281">
        <w:rPr>
          <w:szCs w:val="18"/>
          <w:lang w:val="en-CA" w:eastAsia="ja-JP"/>
        </w:rPr>
        <w:t>荷兰</w:t>
      </w:r>
      <w:r w:rsidRPr="00953281">
        <w:rPr>
          <w:szCs w:val="18"/>
          <w:lang w:val="en-CA" w:eastAsia="ja-JP"/>
        </w:rPr>
        <w:t>)</w:t>
      </w:r>
      <w:r w:rsidRPr="00953281">
        <w:rPr>
          <w:szCs w:val="18"/>
          <w:lang w:val="en-CA" w:eastAsia="ja-JP"/>
        </w:rPr>
        <w:t>：</w:t>
      </w:r>
      <w:r w:rsidRPr="00953281">
        <w:rPr>
          <w:rFonts w:hint="eastAsia"/>
          <w:szCs w:val="18"/>
          <w:lang w:val="en-CA" w:eastAsia="ja-JP"/>
        </w:rPr>
        <w:t>“</w:t>
      </w:r>
      <w:r w:rsidRPr="00953281">
        <w:rPr>
          <w:szCs w:val="18"/>
          <w:lang w:val="en-CA"/>
        </w:rPr>
        <w:t>最后草案最明显的缺点就是它仍然基本上忽略了区域经济合作的现代发展，以及这种合作对适用最惠国条款的影响。</w:t>
      </w:r>
      <w:r w:rsidRPr="00953281">
        <w:rPr>
          <w:rFonts w:hint="eastAsia"/>
          <w:szCs w:val="18"/>
          <w:lang w:val="en-CA" w:eastAsia="ja-JP"/>
        </w:rPr>
        <w:t>”</w:t>
      </w:r>
    </w:p>
  </w:footnote>
  <w:footnote w:id="43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大会，</w:t>
      </w:r>
      <w:r w:rsidRPr="00953281">
        <w:rPr>
          <w:szCs w:val="18"/>
        </w:rPr>
        <w:t>1991</w:t>
      </w:r>
      <w:r w:rsidRPr="00953281">
        <w:rPr>
          <w:szCs w:val="18"/>
        </w:rPr>
        <w:t>年</w:t>
      </w:r>
      <w:r w:rsidRPr="00953281">
        <w:rPr>
          <w:szCs w:val="18"/>
        </w:rPr>
        <w:t>12</w:t>
      </w:r>
      <w:r w:rsidRPr="00953281">
        <w:rPr>
          <w:szCs w:val="18"/>
        </w:rPr>
        <w:t>月</w:t>
      </w:r>
      <w:r w:rsidRPr="00953281">
        <w:rPr>
          <w:szCs w:val="18"/>
        </w:rPr>
        <w:t>9</w:t>
      </w:r>
      <w:r w:rsidRPr="00953281">
        <w:rPr>
          <w:szCs w:val="18"/>
        </w:rPr>
        <w:t>日第</w:t>
      </w:r>
      <w:r w:rsidRPr="00953281">
        <w:rPr>
          <w:szCs w:val="18"/>
        </w:rPr>
        <w:t>46/416</w:t>
      </w:r>
      <w:r w:rsidRPr="00953281">
        <w:rPr>
          <w:szCs w:val="18"/>
        </w:rPr>
        <w:t>号决定。</w:t>
      </w:r>
    </w:p>
  </w:footnote>
  <w:footnote w:id="44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1961</w:t>
      </w:r>
      <w:r w:rsidRPr="00953281">
        <w:rPr>
          <w:szCs w:val="18"/>
        </w:rPr>
        <w:t>年</w:t>
      </w:r>
      <w:r w:rsidRPr="00953281">
        <w:rPr>
          <w:szCs w:val="18"/>
        </w:rPr>
        <w:t>4</w:t>
      </w:r>
      <w:r w:rsidRPr="00953281">
        <w:rPr>
          <w:szCs w:val="18"/>
        </w:rPr>
        <w:t>月</w:t>
      </w:r>
      <w:r w:rsidRPr="00953281">
        <w:rPr>
          <w:szCs w:val="18"/>
        </w:rPr>
        <w:t>18</w:t>
      </w:r>
      <w:r w:rsidRPr="00953281">
        <w:rPr>
          <w:szCs w:val="18"/>
        </w:rPr>
        <w:t>日在维也纳签署的《维也纳外交关系公约》，联合国，《条约汇编》，第</w:t>
      </w:r>
      <w:r w:rsidRPr="00953281">
        <w:rPr>
          <w:szCs w:val="18"/>
        </w:rPr>
        <w:t>500</w:t>
      </w:r>
      <w:r w:rsidRPr="00953281">
        <w:rPr>
          <w:szCs w:val="18"/>
        </w:rPr>
        <w:t>卷，第</w:t>
      </w:r>
      <w:r w:rsidRPr="00953281">
        <w:rPr>
          <w:szCs w:val="18"/>
        </w:rPr>
        <w:t>95</w:t>
      </w:r>
      <w:r w:rsidRPr="00953281">
        <w:rPr>
          <w:szCs w:val="18"/>
        </w:rPr>
        <w:t>页，以及</w:t>
      </w:r>
      <w:r w:rsidRPr="00953281">
        <w:rPr>
          <w:szCs w:val="18"/>
        </w:rPr>
        <w:t>1963</w:t>
      </w:r>
      <w:r w:rsidRPr="00953281">
        <w:rPr>
          <w:szCs w:val="18"/>
        </w:rPr>
        <w:t>年</w:t>
      </w:r>
      <w:r w:rsidRPr="00953281">
        <w:rPr>
          <w:szCs w:val="18"/>
        </w:rPr>
        <w:t>4</w:t>
      </w:r>
      <w:r w:rsidRPr="00953281">
        <w:rPr>
          <w:szCs w:val="18"/>
        </w:rPr>
        <w:t>月</w:t>
      </w:r>
      <w:r w:rsidRPr="00953281">
        <w:rPr>
          <w:szCs w:val="18"/>
        </w:rPr>
        <w:t>24</w:t>
      </w:r>
      <w:r w:rsidRPr="00953281">
        <w:rPr>
          <w:szCs w:val="18"/>
        </w:rPr>
        <w:t>日在维也纳签署的《维也纳领事关系公约》，联合国，《条约汇编》，第</w:t>
      </w:r>
      <w:r w:rsidRPr="00953281">
        <w:rPr>
          <w:szCs w:val="18"/>
        </w:rPr>
        <w:t>596</w:t>
      </w:r>
      <w:r w:rsidRPr="00953281">
        <w:rPr>
          <w:szCs w:val="18"/>
        </w:rPr>
        <w:t>卷，第</w:t>
      </w:r>
      <w:r w:rsidRPr="00953281">
        <w:rPr>
          <w:szCs w:val="18"/>
        </w:rPr>
        <w:t>261</w:t>
      </w:r>
      <w:r w:rsidRPr="00953281">
        <w:rPr>
          <w:szCs w:val="18"/>
        </w:rPr>
        <w:t>页。</w:t>
      </w:r>
    </w:p>
  </w:footnote>
  <w:footnote w:id="44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szCs w:val="18"/>
          <w:lang w:val="en-CA" w:eastAsia="ja-JP"/>
        </w:rPr>
        <w:t>1947</w:t>
      </w:r>
      <w:r w:rsidRPr="00953281">
        <w:rPr>
          <w:szCs w:val="18"/>
        </w:rPr>
        <w:t>年</w:t>
      </w:r>
      <w:r w:rsidRPr="00953281">
        <w:rPr>
          <w:szCs w:val="18"/>
        </w:rPr>
        <w:t>6</w:t>
      </w:r>
      <w:r w:rsidRPr="00953281">
        <w:rPr>
          <w:szCs w:val="18"/>
        </w:rPr>
        <w:t>月</w:t>
      </w:r>
      <w:r w:rsidRPr="00953281">
        <w:rPr>
          <w:szCs w:val="18"/>
        </w:rPr>
        <w:t>26</w:t>
      </w:r>
      <w:r w:rsidRPr="00953281">
        <w:rPr>
          <w:szCs w:val="18"/>
        </w:rPr>
        <w:t>日在成功湖村签署的《联合国和美利坚合众国关于联合国总部的协定》，联合国，《条约汇编》，第</w:t>
      </w:r>
      <w:r w:rsidRPr="00953281">
        <w:rPr>
          <w:szCs w:val="18"/>
        </w:rPr>
        <w:t>11</w:t>
      </w:r>
      <w:r w:rsidRPr="00953281">
        <w:rPr>
          <w:szCs w:val="18"/>
        </w:rPr>
        <w:t>卷，第</w:t>
      </w:r>
      <w:r w:rsidRPr="00953281">
        <w:rPr>
          <w:szCs w:val="18"/>
        </w:rPr>
        <w:t>147</w:t>
      </w:r>
      <w:r w:rsidRPr="00953281">
        <w:rPr>
          <w:szCs w:val="18"/>
        </w:rPr>
        <w:t>号，第</w:t>
      </w:r>
      <w:r w:rsidRPr="00953281">
        <w:rPr>
          <w:szCs w:val="18"/>
        </w:rPr>
        <w:t>11</w:t>
      </w:r>
      <w:r w:rsidRPr="00953281">
        <w:rPr>
          <w:szCs w:val="18"/>
        </w:rPr>
        <w:t>页，第五条第</w:t>
      </w:r>
      <w:r w:rsidRPr="00953281">
        <w:rPr>
          <w:szCs w:val="18"/>
        </w:rPr>
        <w:t>15(4)</w:t>
      </w:r>
      <w:r w:rsidRPr="00953281">
        <w:rPr>
          <w:szCs w:val="18"/>
        </w:rPr>
        <w:t>款；</w:t>
      </w:r>
      <w:r w:rsidRPr="00953281">
        <w:rPr>
          <w:szCs w:val="18"/>
        </w:rPr>
        <w:t>2002</w:t>
      </w:r>
      <w:r w:rsidRPr="00953281">
        <w:rPr>
          <w:szCs w:val="18"/>
        </w:rPr>
        <w:t>年</w:t>
      </w:r>
      <w:r w:rsidRPr="00953281">
        <w:rPr>
          <w:szCs w:val="18"/>
        </w:rPr>
        <w:t>9</w:t>
      </w:r>
      <w:r w:rsidRPr="00953281">
        <w:rPr>
          <w:szCs w:val="18"/>
        </w:rPr>
        <w:t>月</w:t>
      </w:r>
      <w:r w:rsidRPr="00953281">
        <w:rPr>
          <w:szCs w:val="18"/>
        </w:rPr>
        <w:t>9</w:t>
      </w:r>
      <w:r w:rsidRPr="00953281">
        <w:rPr>
          <w:szCs w:val="18"/>
        </w:rPr>
        <w:t>日在墨西哥城签署的《澳大利亚政府和墨西哥合众国政府关于避免双重征税和防止逃避所得税的协定》，《澳大利亚条约汇编》，第</w:t>
      </w:r>
      <w:r w:rsidRPr="00953281">
        <w:rPr>
          <w:szCs w:val="18"/>
        </w:rPr>
        <w:t>4</w:t>
      </w:r>
      <w:r w:rsidRPr="00953281">
        <w:rPr>
          <w:szCs w:val="18"/>
        </w:rPr>
        <w:t>卷</w:t>
      </w:r>
      <w:r w:rsidRPr="00953281">
        <w:rPr>
          <w:szCs w:val="18"/>
        </w:rPr>
        <w:t>(2004</w:t>
      </w:r>
      <w:r w:rsidRPr="00953281">
        <w:rPr>
          <w:szCs w:val="18"/>
        </w:rPr>
        <w:t>年</w:t>
      </w:r>
      <w:r w:rsidRPr="00953281">
        <w:rPr>
          <w:szCs w:val="18"/>
        </w:rPr>
        <w:t>)</w:t>
      </w:r>
      <w:r w:rsidRPr="00953281">
        <w:rPr>
          <w:szCs w:val="18"/>
        </w:rPr>
        <w:t>，可查阅</w:t>
      </w:r>
      <w:r w:rsidRPr="00953281">
        <w:rPr>
          <w:szCs w:val="18"/>
          <w:lang w:val="en-CA"/>
        </w:rPr>
        <w:t>&lt;http://www.austlii.edu.au/au/other/dfat/treaties/ 2004/4.html&gt;</w:t>
      </w:r>
      <w:r w:rsidRPr="00953281">
        <w:rPr>
          <w:szCs w:val="18"/>
          <w:lang w:val="en-CA"/>
        </w:rPr>
        <w:t>。</w:t>
      </w:r>
    </w:p>
  </w:footnote>
  <w:footnote w:id="44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lang w:val="en-CA"/>
        </w:rPr>
        <w:t xml:space="preserve">Stephan W. Schill, </w:t>
      </w:r>
      <w:r w:rsidRPr="001E66AC">
        <w:rPr>
          <w:rFonts w:asciiTheme="majorBidi" w:hAnsiTheme="majorBidi" w:cstheme="majorBidi"/>
          <w:szCs w:val="18"/>
          <w:lang w:val="en-CA"/>
        </w:rPr>
        <w:t>“W(h)ither Fragmentation</w:t>
      </w:r>
      <w:r>
        <w:rPr>
          <w:rFonts w:asciiTheme="majorBidi" w:hAnsiTheme="majorBidi" w:cstheme="majorBidi" w:hint="eastAsia"/>
          <w:szCs w:val="18"/>
          <w:lang w:val="en-CA"/>
        </w:rPr>
        <w:t>?</w:t>
      </w:r>
      <w:r w:rsidRPr="001E66AC">
        <w:rPr>
          <w:rFonts w:asciiTheme="majorBidi" w:hAnsiTheme="majorBidi" w:cstheme="majorBidi"/>
          <w:szCs w:val="18"/>
          <w:lang w:val="en-CA"/>
        </w:rPr>
        <w:t>On the Literature and Sociology of International Investment Law”</w:t>
      </w:r>
      <w:r w:rsidRPr="00953281">
        <w:rPr>
          <w:szCs w:val="18"/>
          <w:lang w:val="en-CA"/>
        </w:rPr>
        <w:t>，</w:t>
      </w:r>
      <w:r w:rsidRPr="00953281">
        <w:rPr>
          <w:szCs w:val="18"/>
        </w:rPr>
        <w:t>《欧洲国际法</w:t>
      </w:r>
      <w:r w:rsidRPr="00953281">
        <w:rPr>
          <w:rFonts w:hint="eastAsia"/>
          <w:szCs w:val="18"/>
        </w:rPr>
        <w:t>杂志</w:t>
      </w:r>
      <w:r w:rsidRPr="00953281">
        <w:rPr>
          <w:szCs w:val="18"/>
        </w:rPr>
        <w:t>》，</w:t>
      </w:r>
      <w:r w:rsidRPr="00953281">
        <w:rPr>
          <w:szCs w:val="18"/>
          <w:lang w:val="en-CA"/>
        </w:rPr>
        <w:t>第</w:t>
      </w:r>
      <w:r w:rsidRPr="00953281">
        <w:rPr>
          <w:szCs w:val="18"/>
          <w:lang w:val="en-CA"/>
        </w:rPr>
        <w:t>22</w:t>
      </w:r>
      <w:r w:rsidRPr="00953281">
        <w:rPr>
          <w:szCs w:val="18"/>
          <w:lang w:val="en-CA"/>
        </w:rPr>
        <w:t>卷</w:t>
      </w:r>
      <w:r w:rsidRPr="00953281">
        <w:rPr>
          <w:szCs w:val="18"/>
          <w:lang w:val="en-CA"/>
        </w:rPr>
        <w:t xml:space="preserve"> (2011</w:t>
      </w:r>
      <w:r w:rsidRPr="00953281">
        <w:rPr>
          <w:szCs w:val="18"/>
          <w:lang w:val="en-CA"/>
        </w:rPr>
        <w:t>年</w:t>
      </w:r>
      <w:r w:rsidRPr="00953281">
        <w:rPr>
          <w:szCs w:val="18"/>
          <w:lang w:val="en-CA"/>
        </w:rPr>
        <w:t>)</w:t>
      </w:r>
      <w:r w:rsidRPr="00953281">
        <w:rPr>
          <w:szCs w:val="18"/>
          <w:lang w:val="en-CA"/>
        </w:rPr>
        <w:t>，第</w:t>
      </w:r>
      <w:r w:rsidRPr="00953281">
        <w:rPr>
          <w:szCs w:val="18"/>
          <w:lang w:val="en-CA"/>
        </w:rPr>
        <w:t>875-908</w:t>
      </w:r>
      <w:r w:rsidRPr="00953281">
        <w:rPr>
          <w:szCs w:val="18"/>
          <w:lang w:val="en-CA"/>
        </w:rPr>
        <w:t>页。</w:t>
      </w:r>
    </w:p>
  </w:footnote>
  <w:footnote w:id="44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rStyle w:val="Char0"/>
          <w:szCs w:val="18"/>
          <w:lang w:val="fr-FR"/>
        </w:rPr>
      </w:pPr>
      <w:r w:rsidRPr="00953281">
        <w:rPr>
          <w:szCs w:val="18"/>
        </w:rPr>
        <w:tab/>
      </w:r>
      <w:r w:rsidRPr="00953281">
        <w:rPr>
          <w:rStyle w:val="a3"/>
          <w:sz w:val="21"/>
          <w:szCs w:val="18"/>
        </w:rPr>
        <w:footnoteRef/>
      </w:r>
      <w:r w:rsidRPr="00953281">
        <w:rPr>
          <w:szCs w:val="18"/>
          <w:lang w:val="fr-FR"/>
        </w:rPr>
        <w:tab/>
      </w:r>
      <w:r w:rsidRPr="00953281">
        <w:rPr>
          <w:rStyle w:val="Char0"/>
          <w:szCs w:val="18"/>
        </w:rPr>
        <w:t>贸发会议</w:t>
      </w:r>
      <w:r w:rsidRPr="00953281">
        <w:rPr>
          <w:rStyle w:val="Char0"/>
          <w:rFonts w:hint="eastAsia"/>
          <w:szCs w:val="18"/>
          <w:lang w:val="fr-FR"/>
        </w:rPr>
        <w:t>,</w:t>
      </w:r>
      <w:r w:rsidRPr="00953281">
        <w:rPr>
          <w:rStyle w:val="Char0"/>
          <w:szCs w:val="18"/>
        </w:rPr>
        <w:t>《国际投资文书</w:t>
      </w:r>
      <w:r w:rsidRPr="00953281">
        <w:rPr>
          <w:rStyle w:val="Char0"/>
          <w:szCs w:val="18"/>
          <w:lang w:val="fr-FR"/>
        </w:rPr>
        <w:t>：</w:t>
      </w:r>
      <w:r w:rsidRPr="00953281">
        <w:rPr>
          <w:rStyle w:val="Char0"/>
          <w:szCs w:val="18"/>
        </w:rPr>
        <w:t>汇编》</w:t>
      </w:r>
      <w:r w:rsidRPr="00953281">
        <w:rPr>
          <w:rStyle w:val="Char0"/>
          <w:szCs w:val="18"/>
          <w:lang w:val="fr-FR"/>
        </w:rPr>
        <w:t>，</w:t>
      </w:r>
      <w:r w:rsidRPr="00953281">
        <w:rPr>
          <w:rStyle w:val="Char0"/>
          <w:szCs w:val="18"/>
          <w:lang w:val="fr-FR"/>
        </w:rPr>
        <w:t>UNCTAD/DITE/4</w:t>
      </w:r>
      <w:r w:rsidRPr="00953281">
        <w:rPr>
          <w:rStyle w:val="Char0"/>
          <w:szCs w:val="18"/>
        </w:rPr>
        <w:t>第十三卷</w:t>
      </w:r>
      <w:r w:rsidRPr="00953281">
        <w:rPr>
          <w:rStyle w:val="Char0"/>
          <w:szCs w:val="18"/>
          <w:lang w:val="fr-FR"/>
        </w:rPr>
        <w:t>，</w:t>
      </w:r>
      <w:r w:rsidRPr="00953281">
        <w:rPr>
          <w:rStyle w:val="Char0"/>
          <w:szCs w:val="18"/>
        </w:rPr>
        <w:t>可查阅</w:t>
      </w:r>
      <w:r w:rsidRPr="00953281">
        <w:rPr>
          <w:rStyle w:val="Char0"/>
          <w:szCs w:val="18"/>
          <w:lang w:val="fr-FR"/>
        </w:rPr>
        <w:t>&lt;http://unctad.org/en/</w:t>
      </w:r>
      <w:r w:rsidRPr="00953281">
        <w:rPr>
          <w:rStyle w:val="Char0"/>
          <w:rFonts w:hint="eastAsia"/>
          <w:szCs w:val="18"/>
          <w:lang w:val="fr-FR"/>
        </w:rPr>
        <w:t xml:space="preserve"> </w:t>
      </w:r>
      <w:r w:rsidRPr="00953281">
        <w:rPr>
          <w:rStyle w:val="Char0"/>
          <w:szCs w:val="18"/>
          <w:lang w:val="fr-FR"/>
        </w:rPr>
        <w:t>pages/PublicationArchive.aspx</w:t>
      </w:r>
      <w:r w:rsidRPr="00953281">
        <w:rPr>
          <w:rStyle w:val="Char0"/>
          <w:szCs w:val="18"/>
          <w:lang w:val="fr-FR"/>
        </w:rPr>
        <w:t>？</w:t>
      </w:r>
      <w:r w:rsidRPr="00953281">
        <w:rPr>
          <w:rStyle w:val="Char0"/>
          <w:szCs w:val="18"/>
          <w:lang w:val="fr-FR"/>
        </w:rPr>
        <w:t>publicationid=410&gt;</w:t>
      </w:r>
      <w:r w:rsidRPr="00953281">
        <w:rPr>
          <w:rStyle w:val="Char0"/>
          <w:szCs w:val="18"/>
        </w:rPr>
        <w:t>。第六、七、八、九</w:t>
      </w:r>
      <w:r w:rsidRPr="00953281">
        <w:rPr>
          <w:rStyle w:val="Char0"/>
          <w:rFonts w:hint="eastAsia"/>
          <w:szCs w:val="18"/>
        </w:rPr>
        <w:t>、</w:t>
      </w:r>
      <w:r w:rsidRPr="00953281">
        <w:rPr>
          <w:rStyle w:val="Char0"/>
          <w:szCs w:val="18"/>
        </w:rPr>
        <w:t>十卷也有电子版。</w:t>
      </w:r>
    </w:p>
  </w:footnote>
  <w:footnote w:id="44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Style w:val="Char0"/>
          <w:szCs w:val="18"/>
        </w:rPr>
        <w:tab/>
      </w:r>
      <w:r w:rsidRPr="00953281">
        <w:rPr>
          <w:rStyle w:val="a3"/>
          <w:sz w:val="21"/>
          <w:szCs w:val="18"/>
        </w:rPr>
        <w:footnoteRef/>
      </w:r>
      <w:r w:rsidRPr="00953281">
        <w:rPr>
          <w:rStyle w:val="Char0"/>
          <w:szCs w:val="18"/>
        </w:rPr>
        <w:tab/>
      </w:r>
      <w:r w:rsidRPr="00953281">
        <w:rPr>
          <w:rStyle w:val="Char0"/>
          <w:szCs w:val="18"/>
        </w:rPr>
        <w:t>贸发会议，</w:t>
      </w:r>
      <w:r w:rsidRPr="00953281">
        <w:rPr>
          <w:rStyle w:val="Char0"/>
          <w:rFonts w:hint="eastAsia"/>
          <w:szCs w:val="18"/>
        </w:rPr>
        <w:t>“</w:t>
      </w:r>
      <w:r w:rsidRPr="00953281">
        <w:rPr>
          <w:rStyle w:val="Char0"/>
          <w:szCs w:val="18"/>
        </w:rPr>
        <w:t>投资政策服务站</w:t>
      </w:r>
      <w:r w:rsidRPr="00953281">
        <w:rPr>
          <w:rStyle w:val="Char0"/>
          <w:rFonts w:hint="eastAsia"/>
          <w:szCs w:val="18"/>
        </w:rPr>
        <w:t>”</w:t>
      </w:r>
      <w:r w:rsidRPr="00953281">
        <w:rPr>
          <w:rStyle w:val="Char0"/>
          <w:szCs w:val="18"/>
        </w:rPr>
        <w:t>网站：</w:t>
      </w:r>
      <w:r w:rsidRPr="00953281">
        <w:rPr>
          <w:rStyle w:val="Char0"/>
          <w:szCs w:val="18"/>
        </w:rPr>
        <w:t>&lt;</w:t>
      </w:r>
      <w:hyperlink r:id="rId1" w:history="1">
        <w:r w:rsidRPr="00953281">
          <w:rPr>
            <w:rStyle w:val="Char0"/>
            <w:szCs w:val="18"/>
          </w:rPr>
          <w:t>http://investmentpolicyhub.unctad.org/IIA</w:t>
        </w:r>
      </w:hyperlink>
      <w:r w:rsidRPr="00953281">
        <w:rPr>
          <w:rStyle w:val="Char0"/>
          <w:szCs w:val="18"/>
        </w:rPr>
        <w:t>&gt;</w:t>
      </w:r>
      <w:r w:rsidRPr="00953281">
        <w:rPr>
          <w:rStyle w:val="Char0"/>
          <w:szCs w:val="18"/>
        </w:rPr>
        <w:t>。</w:t>
      </w:r>
    </w:p>
  </w:footnote>
  <w:footnote w:id="44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szCs w:val="18"/>
        </w:rPr>
        <w:t>经合组织《经合组织自由化准则：</w:t>
      </w:r>
      <w:r w:rsidRPr="00953281">
        <w:rPr>
          <w:szCs w:val="18"/>
        </w:rPr>
        <w:t>2008</w:t>
      </w:r>
      <w:r w:rsidRPr="00953281">
        <w:rPr>
          <w:szCs w:val="18"/>
        </w:rPr>
        <w:t>年用户指南》</w:t>
      </w:r>
      <w:r w:rsidRPr="00953281">
        <w:rPr>
          <w:szCs w:val="18"/>
        </w:rPr>
        <w:t>(</w:t>
      </w:r>
      <w:r w:rsidRPr="00953281">
        <w:rPr>
          <w:szCs w:val="18"/>
        </w:rPr>
        <w:t>网上：经合组织，</w:t>
      </w:r>
      <w:r w:rsidRPr="00953281">
        <w:rPr>
          <w:szCs w:val="18"/>
        </w:rPr>
        <w:t>2007</w:t>
      </w:r>
      <w:r w:rsidRPr="00953281">
        <w:rPr>
          <w:szCs w:val="18"/>
        </w:rPr>
        <w:t>年</w:t>
      </w:r>
      <w:r w:rsidRPr="00953281">
        <w:rPr>
          <w:szCs w:val="18"/>
        </w:rPr>
        <w:t>)</w:t>
      </w:r>
      <w:r w:rsidRPr="00953281">
        <w:rPr>
          <w:szCs w:val="18"/>
        </w:rPr>
        <w:t>，第</w:t>
      </w:r>
      <w:r w:rsidRPr="00953281">
        <w:rPr>
          <w:szCs w:val="18"/>
        </w:rPr>
        <w:t>11</w:t>
      </w:r>
      <w:r w:rsidRPr="00953281">
        <w:rPr>
          <w:szCs w:val="18"/>
        </w:rPr>
        <w:t>页，可查阅</w:t>
      </w:r>
      <w:r w:rsidRPr="00953281">
        <w:rPr>
          <w:szCs w:val="18"/>
          <w:lang w:val="en-CA"/>
        </w:rPr>
        <w:t>&lt;http://www.oecd.org/investment/investment-policy/38072327.pdf&gt;</w:t>
      </w:r>
      <w:r w:rsidRPr="00953281">
        <w:rPr>
          <w:szCs w:val="18"/>
          <w:lang w:val="en-CA"/>
        </w:rPr>
        <w:t>。</w:t>
      </w:r>
    </w:p>
  </w:footnote>
  <w:footnote w:id="44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，第三条。</w:t>
      </w:r>
    </w:p>
  </w:footnote>
  <w:footnote w:id="44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经合组织多边投资协定谈判组，《多边投资协定合并案文草稿》，</w:t>
      </w:r>
      <w:r w:rsidRPr="00953281">
        <w:rPr>
          <w:szCs w:val="18"/>
        </w:rPr>
        <w:t>1998</w:t>
      </w:r>
      <w:r w:rsidRPr="00953281">
        <w:rPr>
          <w:szCs w:val="18"/>
        </w:rPr>
        <w:t>年</w:t>
      </w:r>
      <w:r w:rsidRPr="00953281">
        <w:rPr>
          <w:szCs w:val="18"/>
        </w:rPr>
        <w:t>4</w:t>
      </w:r>
      <w:r w:rsidRPr="00953281">
        <w:rPr>
          <w:szCs w:val="18"/>
        </w:rPr>
        <w:t>月</w:t>
      </w:r>
      <w:r w:rsidRPr="00953281">
        <w:rPr>
          <w:szCs w:val="18"/>
        </w:rPr>
        <w:t>22</w:t>
      </w:r>
      <w:r w:rsidRPr="00953281">
        <w:rPr>
          <w:szCs w:val="18"/>
        </w:rPr>
        <w:t>日，经合组织文件</w:t>
      </w:r>
      <w:r w:rsidRPr="00953281">
        <w:rPr>
          <w:szCs w:val="18"/>
          <w:lang w:val="en-CA"/>
        </w:rPr>
        <w:t>DAFFE/MAI(98)7/REV1</w:t>
      </w:r>
      <w:r w:rsidRPr="00953281">
        <w:rPr>
          <w:szCs w:val="18"/>
          <w:lang w:val="en-CA"/>
        </w:rPr>
        <w:t>。</w:t>
      </w:r>
    </w:p>
  </w:footnote>
  <w:footnote w:id="44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w:t>
      </w:r>
      <w:r w:rsidRPr="00953281">
        <w:rPr>
          <w:szCs w:val="18"/>
        </w:rPr>
        <w:t>13</w:t>
      </w:r>
      <w:r w:rsidRPr="00953281">
        <w:rPr>
          <w:szCs w:val="18"/>
        </w:rPr>
        <w:t>页。</w:t>
      </w:r>
    </w:p>
  </w:footnote>
  <w:footnote w:id="44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委员会不排除</w:t>
      </w:r>
      <w:r w:rsidRPr="00953281">
        <w:rPr>
          <w:szCs w:val="18"/>
          <w:lang w:val="en-CA"/>
        </w:rPr>
        <w:t>最惠国规定可以存在于条约以外的文书中</w:t>
      </w:r>
      <w:r w:rsidRPr="00953281">
        <w:rPr>
          <w:rFonts w:hint="eastAsia"/>
          <w:szCs w:val="18"/>
          <w:lang w:val="en-CA"/>
        </w:rPr>
        <w:t>。</w:t>
      </w:r>
      <w:r w:rsidRPr="00953281">
        <w:rPr>
          <w:szCs w:val="18"/>
          <w:lang w:val="en-CA"/>
        </w:rPr>
        <w:t>《</w:t>
      </w:r>
      <w:r w:rsidRPr="00953281">
        <w:rPr>
          <w:szCs w:val="18"/>
          <w:lang w:val="en-CA"/>
        </w:rPr>
        <w:t>1978</w:t>
      </w:r>
      <w:r w:rsidRPr="00953281">
        <w:rPr>
          <w:rFonts w:hint="eastAsia"/>
          <w:szCs w:val="18"/>
          <w:lang w:val="en-CA"/>
        </w:rPr>
        <w:t>年……</w:t>
      </w:r>
      <w:r w:rsidRPr="00953281">
        <w:rPr>
          <w:szCs w:val="18"/>
          <w:lang w:val="en-CA"/>
        </w:rPr>
        <w:t>年鉴》，第</w:t>
      </w:r>
      <w:r w:rsidRPr="00953281">
        <w:rPr>
          <w:szCs w:val="18"/>
          <w:lang w:val="en-CA"/>
        </w:rPr>
        <w:t>16</w:t>
      </w:r>
      <w:r w:rsidRPr="00953281">
        <w:rPr>
          <w:szCs w:val="18"/>
          <w:lang w:val="en-CA"/>
        </w:rPr>
        <w:t>页</w:t>
      </w:r>
      <w:r w:rsidRPr="00953281">
        <w:rPr>
          <w:rFonts w:hint="eastAsia"/>
          <w:szCs w:val="18"/>
          <w:lang w:val="en-CA"/>
        </w:rPr>
        <w:t>(</w:t>
      </w:r>
      <w:r w:rsidRPr="00953281">
        <w:rPr>
          <w:szCs w:val="18"/>
          <w:lang w:val="en-CA"/>
        </w:rPr>
        <w:t>第</w:t>
      </w:r>
      <w:r w:rsidRPr="00953281">
        <w:rPr>
          <w:szCs w:val="18"/>
          <w:lang w:val="en-CA"/>
        </w:rPr>
        <w:t>1</w:t>
      </w:r>
      <w:r w:rsidRPr="00953281">
        <w:rPr>
          <w:szCs w:val="18"/>
          <w:lang w:val="en-CA"/>
        </w:rPr>
        <w:t>条草案</w:t>
      </w:r>
      <w:r w:rsidRPr="00953281">
        <w:rPr>
          <w:rFonts w:hint="eastAsia"/>
          <w:szCs w:val="18"/>
          <w:lang w:val="en-CA"/>
        </w:rPr>
        <w:t>)</w:t>
      </w:r>
      <w:r w:rsidRPr="00953281">
        <w:rPr>
          <w:szCs w:val="18"/>
          <w:lang w:val="en-CA"/>
        </w:rPr>
        <w:t>。</w:t>
      </w:r>
    </w:p>
  </w:footnote>
  <w:footnote w:id="45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w:t>
      </w:r>
      <w:r w:rsidRPr="00953281">
        <w:rPr>
          <w:szCs w:val="18"/>
        </w:rPr>
        <w:t>21</w:t>
      </w:r>
      <w:r w:rsidRPr="00953281">
        <w:rPr>
          <w:szCs w:val="18"/>
        </w:rPr>
        <w:t>页</w:t>
      </w:r>
      <w:r w:rsidRPr="00953281">
        <w:rPr>
          <w:szCs w:val="18"/>
        </w:rPr>
        <w:t>(</w:t>
      </w:r>
      <w:r w:rsidRPr="00953281">
        <w:rPr>
          <w:szCs w:val="18"/>
        </w:rPr>
        <w:t>第</w:t>
      </w:r>
      <w:r w:rsidRPr="00953281">
        <w:rPr>
          <w:szCs w:val="18"/>
        </w:rPr>
        <w:t>5</w:t>
      </w:r>
      <w:r w:rsidRPr="00953281">
        <w:rPr>
          <w:szCs w:val="18"/>
        </w:rPr>
        <w:t>条草案</w:t>
      </w:r>
      <w:r w:rsidRPr="00953281">
        <w:rPr>
          <w:szCs w:val="18"/>
        </w:rPr>
        <w:t>)</w:t>
      </w:r>
      <w:r w:rsidRPr="00953281">
        <w:rPr>
          <w:szCs w:val="18"/>
        </w:rPr>
        <w:t>。</w:t>
      </w:r>
    </w:p>
  </w:footnote>
  <w:footnote w:id="45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w:t>
      </w:r>
    </w:p>
  </w:footnote>
  <w:footnote w:id="45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，第</w:t>
      </w:r>
      <w:r w:rsidRPr="00953281">
        <w:rPr>
          <w:szCs w:val="18"/>
        </w:rPr>
        <w:t>27</w:t>
      </w:r>
      <w:r w:rsidRPr="00953281">
        <w:rPr>
          <w:szCs w:val="18"/>
        </w:rPr>
        <w:t>页</w:t>
      </w:r>
      <w:r w:rsidRPr="00953281">
        <w:rPr>
          <w:szCs w:val="18"/>
        </w:rPr>
        <w:t>(</w:t>
      </w:r>
      <w:r w:rsidRPr="00953281">
        <w:rPr>
          <w:szCs w:val="18"/>
        </w:rPr>
        <w:t>第</w:t>
      </w:r>
      <w:r w:rsidRPr="00953281">
        <w:rPr>
          <w:szCs w:val="18"/>
        </w:rPr>
        <w:t>9</w:t>
      </w:r>
      <w:r w:rsidRPr="00953281">
        <w:rPr>
          <w:szCs w:val="18"/>
        </w:rPr>
        <w:t>条草案</w:t>
      </w:r>
      <w:r w:rsidRPr="00953281">
        <w:rPr>
          <w:szCs w:val="18"/>
        </w:rPr>
        <w:t>)</w:t>
      </w:r>
      <w:r w:rsidRPr="00953281">
        <w:rPr>
          <w:szCs w:val="18"/>
        </w:rPr>
        <w:t>。</w:t>
      </w:r>
    </w:p>
  </w:footnote>
  <w:footnote w:id="45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A3609D">
        <w:rPr>
          <w:rFonts w:ascii="楷体_GB2312" w:eastAsia="楷体_GB2312"/>
          <w:szCs w:val="18"/>
        </w:rPr>
        <w:t>同上</w:t>
      </w:r>
      <w:r w:rsidRPr="00953281">
        <w:rPr>
          <w:szCs w:val="18"/>
        </w:rPr>
        <w:t>(</w:t>
      </w:r>
      <w:r w:rsidRPr="00953281">
        <w:rPr>
          <w:szCs w:val="18"/>
        </w:rPr>
        <w:t>第</w:t>
      </w:r>
      <w:r w:rsidRPr="00953281">
        <w:rPr>
          <w:szCs w:val="18"/>
        </w:rPr>
        <w:t>10</w:t>
      </w:r>
      <w:r w:rsidRPr="00953281">
        <w:rPr>
          <w:szCs w:val="18"/>
        </w:rPr>
        <w:t>条草案第</w:t>
      </w:r>
      <w:r w:rsidRPr="00953281">
        <w:rPr>
          <w:szCs w:val="18"/>
        </w:rPr>
        <w:t>2</w:t>
      </w:r>
      <w:r w:rsidRPr="00953281">
        <w:rPr>
          <w:szCs w:val="18"/>
        </w:rPr>
        <w:t>款</w:t>
      </w:r>
      <w:r w:rsidRPr="00953281">
        <w:rPr>
          <w:szCs w:val="18"/>
        </w:rPr>
        <w:t>)</w:t>
      </w:r>
      <w:r w:rsidRPr="00953281">
        <w:rPr>
          <w:szCs w:val="18"/>
        </w:rPr>
        <w:t>。</w:t>
      </w:r>
    </w:p>
  </w:footnote>
  <w:footnote w:id="45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w:t>
      </w:r>
      <w:r w:rsidRPr="00953281">
        <w:rPr>
          <w:szCs w:val="18"/>
        </w:rPr>
        <w:t>1968</w:t>
      </w:r>
      <w:r w:rsidRPr="00953281">
        <w:rPr>
          <w:rFonts w:hint="eastAsia"/>
          <w:szCs w:val="18"/>
        </w:rPr>
        <w:t>年……</w:t>
      </w:r>
      <w:r w:rsidRPr="00953281">
        <w:rPr>
          <w:szCs w:val="18"/>
        </w:rPr>
        <w:t>年鉴》，第二卷，第</w:t>
      </w:r>
      <w:r w:rsidRPr="00953281">
        <w:rPr>
          <w:szCs w:val="18"/>
        </w:rPr>
        <w:t>165</w:t>
      </w:r>
      <w:r w:rsidRPr="00953281">
        <w:rPr>
          <w:szCs w:val="18"/>
        </w:rPr>
        <w:t>页，</w:t>
      </w:r>
      <w:r w:rsidRPr="00953281">
        <w:rPr>
          <w:szCs w:val="18"/>
        </w:rPr>
        <w:t>A/CN.4/L.127</w:t>
      </w:r>
      <w:r w:rsidRPr="00953281">
        <w:rPr>
          <w:szCs w:val="18"/>
        </w:rPr>
        <w:t>号文件。</w:t>
      </w:r>
    </w:p>
  </w:footnote>
  <w:footnote w:id="45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1E66AC">
        <w:rPr>
          <w:rFonts w:asciiTheme="majorBidi" w:hAnsiTheme="majorBidi" w:cstheme="majorBidi"/>
          <w:szCs w:val="18"/>
          <w:lang w:val="en-CA"/>
        </w:rPr>
        <w:t>John Jackson, The World Trading System</w:t>
      </w:r>
      <w:r>
        <w:rPr>
          <w:rFonts w:asciiTheme="majorBidi" w:hAnsiTheme="majorBidi" w:cstheme="majorBidi" w:hint="eastAsia"/>
          <w:szCs w:val="18"/>
          <w:lang w:val="en-CA"/>
        </w:rPr>
        <w:t xml:space="preserve">: </w:t>
      </w:r>
      <w:r w:rsidRPr="001E66AC">
        <w:rPr>
          <w:rFonts w:asciiTheme="majorBidi" w:hAnsiTheme="majorBidi" w:cstheme="majorBidi"/>
          <w:szCs w:val="18"/>
          <w:lang w:val="en-CA"/>
        </w:rPr>
        <w:t xml:space="preserve">Law and Policy of International Economic Relations, </w:t>
      </w:r>
      <w:r w:rsidRPr="001E66AC">
        <w:rPr>
          <w:rFonts w:asciiTheme="majorBidi" w:hAnsiTheme="majorBidi" w:cstheme="majorBidi"/>
          <w:szCs w:val="18"/>
          <w:lang w:val="en-CA"/>
        </w:rPr>
        <w:t>第</w:t>
      </w:r>
      <w:r w:rsidRPr="001E66AC">
        <w:rPr>
          <w:rFonts w:asciiTheme="majorBidi" w:hAnsiTheme="majorBidi" w:cstheme="majorBidi"/>
          <w:szCs w:val="18"/>
          <w:lang w:val="en-CA"/>
        </w:rPr>
        <w:t>2</w:t>
      </w:r>
      <w:r w:rsidRPr="001E66AC">
        <w:rPr>
          <w:rFonts w:asciiTheme="majorBidi" w:hAnsiTheme="majorBidi" w:cstheme="majorBidi"/>
          <w:szCs w:val="18"/>
          <w:lang w:val="en-CA"/>
        </w:rPr>
        <w:t>版</w:t>
      </w:r>
      <w:r w:rsidRPr="001E66AC">
        <w:rPr>
          <w:rFonts w:asciiTheme="majorBidi" w:hAnsiTheme="majorBidi" w:cstheme="majorBidi"/>
          <w:szCs w:val="18"/>
          <w:lang w:val="en-CA"/>
        </w:rPr>
        <w:t xml:space="preserve"> (Cambridge</w:t>
      </w:r>
      <w:r>
        <w:rPr>
          <w:rFonts w:asciiTheme="majorBidi" w:hAnsiTheme="majorBidi" w:cstheme="majorBidi" w:hint="eastAsia"/>
          <w:szCs w:val="18"/>
          <w:lang w:val="en-CA"/>
        </w:rPr>
        <w:t xml:space="preserve">: </w:t>
      </w:r>
      <w:r w:rsidRPr="001E66AC">
        <w:rPr>
          <w:rFonts w:asciiTheme="majorBidi" w:hAnsiTheme="majorBidi" w:cstheme="majorBidi"/>
          <w:szCs w:val="18"/>
          <w:lang w:val="en-CA"/>
        </w:rPr>
        <w:t>MIT Press, 1997)</w:t>
      </w:r>
      <w:r w:rsidRPr="00953281">
        <w:rPr>
          <w:szCs w:val="18"/>
          <w:lang w:val="en-CA"/>
        </w:rPr>
        <w:t>，第</w:t>
      </w:r>
      <w:r w:rsidRPr="00953281">
        <w:rPr>
          <w:szCs w:val="18"/>
          <w:lang w:val="en-CA"/>
        </w:rPr>
        <w:t>2</w:t>
      </w:r>
      <w:r w:rsidRPr="00953281">
        <w:rPr>
          <w:szCs w:val="18"/>
          <w:lang w:val="en-CA"/>
        </w:rPr>
        <w:t>章。</w:t>
      </w:r>
    </w:p>
  </w:footnote>
  <w:footnote w:id="45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世贸组织上诉机构报告，《</w:t>
      </w:r>
      <w:r w:rsidRPr="00953281">
        <w:rPr>
          <w:rFonts w:hint="eastAsia"/>
          <w:szCs w:val="18"/>
        </w:rPr>
        <w:t>加拿大－</w:t>
      </w:r>
      <w:r w:rsidRPr="00953281">
        <w:rPr>
          <w:szCs w:val="18"/>
        </w:rPr>
        <w:t>影响汽车工业的某些措施》，世贸组织文件</w:t>
      </w:r>
      <w:r>
        <w:rPr>
          <w:szCs w:val="18"/>
          <w:lang w:val="en-CA"/>
        </w:rPr>
        <w:t>WT/DS139/</w:t>
      </w:r>
      <w:r w:rsidRPr="00953281">
        <w:rPr>
          <w:szCs w:val="18"/>
          <w:lang w:val="en-CA"/>
        </w:rPr>
        <w:t>AB/R (2000</w:t>
      </w:r>
      <w:r w:rsidRPr="00953281">
        <w:rPr>
          <w:szCs w:val="18"/>
          <w:lang w:val="en-CA"/>
        </w:rPr>
        <w:t>年</w:t>
      </w:r>
      <w:r w:rsidRPr="00953281">
        <w:rPr>
          <w:szCs w:val="18"/>
          <w:lang w:val="en-CA"/>
        </w:rPr>
        <w:t>5</w:t>
      </w:r>
      <w:r w:rsidRPr="00953281">
        <w:rPr>
          <w:szCs w:val="18"/>
          <w:lang w:val="en-CA"/>
        </w:rPr>
        <w:t>月</w:t>
      </w:r>
      <w:r w:rsidRPr="00953281">
        <w:rPr>
          <w:szCs w:val="18"/>
          <w:lang w:val="en-CA"/>
        </w:rPr>
        <w:t>31</w:t>
      </w:r>
      <w:r w:rsidRPr="00953281">
        <w:rPr>
          <w:szCs w:val="18"/>
          <w:lang w:val="en-CA"/>
        </w:rPr>
        <w:t>日</w:t>
      </w:r>
      <w:r w:rsidRPr="00953281">
        <w:rPr>
          <w:szCs w:val="18"/>
          <w:lang w:val="en-CA"/>
        </w:rPr>
        <w:t>)</w:t>
      </w:r>
      <w:r w:rsidRPr="00953281">
        <w:rPr>
          <w:szCs w:val="18"/>
          <w:lang w:val="en-CA"/>
        </w:rPr>
        <w:t>。另见世贸组织上诉机构报告，《欧洲</w:t>
      </w:r>
      <w:r w:rsidRPr="00953281">
        <w:rPr>
          <w:rFonts w:hint="eastAsia"/>
          <w:szCs w:val="18"/>
          <w:lang w:val="en-CA"/>
        </w:rPr>
        <w:t>共同体－</w:t>
      </w:r>
      <w:r w:rsidRPr="00953281">
        <w:rPr>
          <w:szCs w:val="18"/>
          <w:lang w:val="en-CA"/>
        </w:rPr>
        <w:t>给予发展中国家关税优惠的条件》，世贸组织文件</w:t>
      </w:r>
      <w:r w:rsidRPr="00953281">
        <w:rPr>
          <w:szCs w:val="18"/>
          <w:lang w:val="en-CA"/>
        </w:rPr>
        <w:t>WT/DS246/AB/R (2004</w:t>
      </w:r>
      <w:r w:rsidRPr="00953281">
        <w:rPr>
          <w:szCs w:val="18"/>
          <w:lang w:val="en-CA"/>
        </w:rPr>
        <w:t>年</w:t>
      </w:r>
      <w:r w:rsidRPr="00953281">
        <w:rPr>
          <w:szCs w:val="18"/>
          <w:lang w:val="en-CA"/>
        </w:rPr>
        <w:t>4</w:t>
      </w:r>
      <w:r w:rsidRPr="00953281">
        <w:rPr>
          <w:szCs w:val="18"/>
          <w:lang w:val="en-CA"/>
        </w:rPr>
        <w:t>月</w:t>
      </w:r>
      <w:r w:rsidRPr="00953281">
        <w:rPr>
          <w:szCs w:val="18"/>
          <w:lang w:val="en-CA"/>
        </w:rPr>
        <w:t>20</w:t>
      </w:r>
      <w:r w:rsidRPr="00953281">
        <w:rPr>
          <w:szCs w:val="18"/>
          <w:lang w:val="en-CA"/>
        </w:rPr>
        <w:t>日通过</w:t>
      </w:r>
      <w:r w:rsidRPr="00953281">
        <w:rPr>
          <w:szCs w:val="18"/>
          <w:lang w:val="en-CA"/>
        </w:rPr>
        <w:t>)</w:t>
      </w:r>
      <w:r w:rsidRPr="00953281">
        <w:rPr>
          <w:szCs w:val="18"/>
          <w:lang w:val="en-CA"/>
        </w:rPr>
        <w:t>，第</w:t>
      </w:r>
      <w:r w:rsidRPr="00953281">
        <w:rPr>
          <w:szCs w:val="18"/>
          <w:lang w:val="en-CA"/>
        </w:rPr>
        <w:t>101</w:t>
      </w:r>
      <w:r w:rsidRPr="00953281">
        <w:rPr>
          <w:szCs w:val="18"/>
          <w:lang w:val="en-CA"/>
        </w:rPr>
        <w:t>段。</w:t>
      </w:r>
    </w:p>
  </w:footnote>
  <w:footnote w:id="45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szCs w:val="18"/>
        </w:rPr>
        <w:t>《世贸组织的未来：应对新千年的制度挑战》，咨询委员会向总干事素帕猜</w:t>
      </w:r>
      <w:r w:rsidRPr="00953281">
        <w:rPr>
          <w:rFonts w:hint="eastAsia"/>
          <w:szCs w:val="18"/>
          <w:lang w:val="en-CA"/>
        </w:rPr>
        <w:t>·</w:t>
      </w:r>
      <w:r w:rsidRPr="00953281">
        <w:rPr>
          <w:szCs w:val="18"/>
        </w:rPr>
        <w:t>巴尼巴滴提交的报告</w:t>
      </w:r>
      <w:r w:rsidRPr="00953281">
        <w:rPr>
          <w:szCs w:val="18"/>
        </w:rPr>
        <w:t>(</w:t>
      </w:r>
      <w:r w:rsidRPr="00953281">
        <w:rPr>
          <w:szCs w:val="18"/>
        </w:rPr>
        <w:t>日内瓦：世贸组织，</w:t>
      </w:r>
      <w:r w:rsidRPr="00953281">
        <w:rPr>
          <w:szCs w:val="18"/>
        </w:rPr>
        <w:t>2004</w:t>
      </w:r>
      <w:r w:rsidRPr="00953281">
        <w:rPr>
          <w:szCs w:val="18"/>
        </w:rPr>
        <w:t>年</w:t>
      </w:r>
      <w:r w:rsidRPr="00953281">
        <w:rPr>
          <w:szCs w:val="18"/>
        </w:rPr>
        <w:t>)</w:t>
      </w:r>
      <w:r w:rsidRPr="00953281">
        <w:rPr>
          <w:szCs w:val="18"/>
        </w:rPr>
        <w:t>，第</w:t>
      </w:r>
      <w:r w:rsidRPr="00953281">
        <w:rPr>
          <w:szCs w:val="18"/>
        </w:rPr>
        <w:t>88-102</w:t>
      </w:r>
      <w:r w:rsidRPr="00953281">
        <w:rPr>
          <w:szCs w:val="18"/>
        </w:rPr>
        <w:t>段</w:t>
      </w:r>
      <w:r w:rsidRPr="00953281">
        <w:rPr>
          <w:rFonts w:hint="eastAsia"/>
          <w:szCs w:val="18"/>
        </w:rPr>
        <w:t>(</w:t>
      </w:r>
      <w:r w:rsidRPr="00953281">
        <w:rPr>
          <w:rFonts w:hint="eastAsia"/>
          <w:szCs w:val="18"/>
        </w:rPr>
        <w:t>“</w:t>
      </w:r>
      <w:r w:rsidRPr="00953281">
        <w:rPr>
          <w:szCs w:val="18"/>
        </w:rPr>
        <w:t>萨瑟兰报告</w:t>
      </w:r>
      <w:r w:rsidRPr="00953281">
        <w:rPr>
          <w:rFonts w:hint="eastAsia"/>
          <w:szCs w:val="18"/>
        </w:rPr>
        <w:t>”</w:t>
      </w:r>
      <w:r w:rsidRPr="00953281">
        <w:rPr>
          <w:rFonts w:hint="eastAsia"/>
          <w:szCs w:val="18"/>
        </w:rPr>
        <w:t>)</w:t>
      </w:r>
      <w:r w:rsidRPr="00953281">
        <w:rPr>
          <w:szCs w:val="18"/>
        </w:rPr>
        <w:t>。</w:t>
      </w:r>
    </w:p>
  </w:footnote>
  <w:footnote w:id="45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lang w:val="en-CA"/>
        </w:rPr>
        <w:tab/>
      </w:r>
      <w:r w:rsidRPr="00953281">
        <w:rPr>
          <w:bCs/>
          <w:szCs w:val="18"/>
          <w:lang w:val="en-CA"/>
        </w:rPr>
        <w:t>Nicholas</w:t>
      </w:r>
      <w:r w:rsidRPr="00953281">
        <w:rPr>
          <w:szCs w:val="18"/>
          <w:lang w:val="en-CA"/>
        </w:rPr>
        <w:t xml:space="preserve"> DiMascio</w:t>
      </w:r>
      <w:r w:rsidRPr="00953281">
        <w:rPr>
          <w:rFonts w:hint="eastAsia"/>
          <w:szCs w:val="18"/>
          <w:lang w:val="en-CA"/>
        </w:rPr>
        <w:t xml:space="preserve"> </w:t>
      </w:r>
      <w:r w:rsidRPr="00953281">
        <w:rPr>
          <w:szCs w:val="18"/>
          <w:lang w:val="en-CA"/>
        </w:rPr>
        <w:t>和</w:t>
      </w:r>
      <w:r w:rsidRPr="00953281">
        <w:rPr>
          <w:bCs/>
          <w:szCs w:val="18"/>
          <w:lang w:val="en-CA"/>
        </w:rPr>
        <w:t xml:space="preserve"> Joost </w:t>
      </w:r>
      <w:r w:rsidRPr="00953281">
        <w:rPr>
          <w:szCs w:val="18"/>
          <w:lang w:val="en-CA"/>
        </w:rPr>
        <w:t>Pauwelyn</w:t>
      </w:r>
      <w:r w:rsidRPr="00953281">
        <w:rPr>
          <w:rFonts w:hint="eastAsia"/>
          <w:szCs w:val="18"/>
          <w:lang w:val="en-CA"/>
        </w:rPr>
        <w:t>，</w:t>
      </w:r>
      <w:r w:rsidRPr="001E66AC">
        <w:rPr>
          <w:rFonts w:asciiTheme="majorBidi" w:hAnsiTheme="majorBidi" w:cstheme="majorBidi"/>
          <w:szCs w:val="18"/>
          <w:lang w:val="en-CA"/>
        </w:rPr>
        <w:t>“Nondiscrimination in Trade and Investment Treaties</w:t>
      </w:r>
      <w:r w:rsidRPr="001E66AC">
        <w:rPr>
          <w:rFonts w:asciiTheme="majorBidi" w:hAnsiTheme="majorBidi" w:cstheme="majorBidi"/>
          <w:szCs w:val="18"/>
          <w:lang w:val="en-CA"/>
        </w:rPr>
        <w:t>：</w:t>
      </w:r>
      <w:r w:rsidRPr="001E66AC">
        <w:rPr>
          <w:rFonts w:asciiTheme="majorBidi" w:hAnsiTheme="majorBidi" w:cstheme="majorBidi"/>
          <w:szCs w:val="18"/>
          <w:lang w:val="en-CA"/>
        </w:rPr>
        <w:t>Worlds Apart or Two Sides of the Same Coin</w:t>
      </w:r>
      <w:r w:rsidRPr="001E66AC">
        <w:rPr>
          <w:rFonts w:asciiTheme="majorBidi" w:hAnsiTheme="majorBidi" w:cstheme="majorBidi"/>
          <w:szCs w:val="18"/>
          <w:lang w:val="en-CA"/>
        </w:rPr>
        <w:t>？</w:t>
      </w:r>
      <w:r w:rsidRPr="001E66AC">
        <w:rPr>
          <w:rFonts w:asciiTheme="majorBidi" w:hAnsiTheme="majorBidi" w:cstheme="majorBidi"/>
          <w:szCs w:val="18"/>
          <w:lang w:val="en-CA"/>
        </w:rPr>
        <w:t>”</w:t>
      </w:r>
      <w:r w:rsidRPr="001E66AC">
        <w:rPr>
          <w:rFonts w:asciiTheme="majorBidi" w:hAnsiTheme="majorBidi" w:cstheme="majorBidi"/>
          <w:szCs w:val="18"/>
          <w:lang w:val="en-CA"/>
        </w:rPr>
        <w:t>，</w:t>
      </w:r>
      <w:r>
        <w:rPr>
          <w:rFonts w:hint="eastAsia"/>
          <w:szCs w:val="18"/>
          <w:lang w:val="en-CA"/>
        </w:rPr>
        <w:t xml:space="preserve"> </w:t>
      </w:r>
      <w:r w:rsidRPr="00953281">
        <w:rPr>
          <w:rFonts w:hint="eastAsia"/>
          <w:szCs w:val="18"/>
          <w:lang w:val="en-CA"/>
        </w:rPr>
        <w:t>《美国国际法杂志》，</w:t>
      </w:r>
      <w:r w:rsidRPr="00953281">
        <w:rPr>
          <w:szCs w:val="18"/>
          <w:lang w:val="en-CA"/>
        </w:rPr>
        <w:t>第</w:t>
      </w:r>
      <w:r w:rsidRPr="00953281">
        <w:rPr>
          <w:szCs w:val="18"/>
          <w:lang w:val="en-CA"/>
        </w:rPr>
        <w:t>102</w:t>
      </w:r>
      <w:r w:rsidRPr="00953281">
        <w:rPr>
          <w:szCs w:val="18"/>
          <w:lang w:val="en-CA"/>
        </w:rPr>
        <w:t>卷</w:t>
      </w:r>
      <w:r w:rsidRPr="00953281">
        <w:rPr>
          <w:szCs w:val="18"/>
          <w:lang w:val="en-CA"/>
        </w:rPr>
        <w:t xml:space="preserve"> (2008</w:t>
      </w:r>
      <w:r w:rsidRPr="00953281">
        <w:rPr>
          <w:szCs w:val="18"/>
          <w:lang w:val="en-CA"/>
        </w:rPr>
        <w:t>年</w:t>
      </w:r>
      <w:r w:rsidRPr="00953281">
        <w:rPr>
          <w:szCs w:val="18"/>
          <w:lang w:val="en-CA"/>
        </w:rPr>
        <w:t>)</w:t>
      </w:r>
      <w:r w:rsidRPr="00953281">
        <w:rPr>
          <w:szCs w:val="18"/>
          <w:lang w:val="en-CA"/>
        </w:rPr>
        <w:t>，第</w:t>
      </w:r>
      <w:r w:rsidRPr="00953281">
        <w:rPr>
          <w:szCs w:val="18"/>
          <w:lang w:val="en-CA"/>
        </w:rPr>
        <w:t>48-89</w:t>
      </w:r>
      <w:r w:rsidRPr="00953281">
        <w:rPr>
          <w:szCs w:val="18"/>
          <w:lang w:val="en-CA"/>
        </w:rPr>
        <w:t>页。</w:t>
      </w:r>
    </w:p>
  </w:footnote>
  <w:footnote w:id="45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rPr>
        <w:t>《</w:t>
      </w:r>
      <w:r w:rsidRPr="00953281">
        <w:rPr>
          <w:szCs w:val="18"/>
        </w:rPr>
        <w:t>1994</w:t>
      </w:r>
      <w:r w:rsidRPr="00953281">
        <w:rPr>
          <w:szCs w:val="18"/>
          <w:lang w:val="en-CA"/>
        </w:rPr>
        <w:t>年关税与贸易总协定》，</w:t>
      </w:r>
      <w:r w:rsidRPr="00953281">
        <w:rPr>
          <w:szCs w:val="18"/>
          <w:lang w:val="en-CA"/>
        </w:rPr>
        <w:t>1994</w:t>
      </w:r>
      <w:r w:rsidRPr="00953281">
        <w:rPr>
          <w:szCs w:val="18"/>
          <w:lang w:val="en-CA"/>
        </w:rPr>
        <w:t>年</w:t>
      </w:r>
      <w:r w:rsidRPr="00953281">
        <w:rPr>
          <w:szCs w:val="18"/>
          <w:lang w:val="en-CA"/>
        </w:rPr>
        <w:t>4</w:t>
      </w:r>
      <w:r w:rsidRPr="00953281">
        <w:rPr>
          <w:szCs w:val="18"/>
          <w:lang w:val="en-CA"/>
        </w:rPr>
        <w:t>月</w:t>
      </w:r>
      <w:r w:rsidRPr="00953281">
        <w:rPr>
          <w:szCs w:val="18"/>
          <w:lang w:val="en-CA"/>
        </w:rPr>
        <w:t>15</w:t>
      </w:r>
      <w:r w:rsidRPr="00953281">
        <w:rPr>
          <w:szCs w:val="18"/>
          <w:lang w:val="en-CA"/>
        </w:rPr>
        <w:t>日，联合国，《条约汇编》，第</w:t>
      </w:r>
      <w:r w:rsidRPr="00953281">
        <w:rPr>
          <w:szCs w:val="18"/>
          <w:lang w:val="en-CA"/>
        </w:rPr>
        <w:t>1867</w:t>
      </w:r>
      <w:r w:rsidRPr="00953281">
        <w:rPr>
          <w:szCs w:val="18"/>
          <w:lang w:val="en-CA"/>
        </w:rPr>
        <w:t>卷，第</w:t>
      </w:r>
      <w:r w:rsidRPr="00953281">
        <w:rPr>
          <w:szCs w:val="18"/>
          <w:lang w:val="en-CA"/>
        </w:rPr>
        <w:t>187</w:t>
      </w:r>
      <w:r w:rsidRPr="00953281">
        <w:rPr>
          <w:szCs w:val="18"/>
          <w:lang w:val="en-CA"/>
        </w:rPr>
        <w:t>页，第</w:t>
      </w:r>
      <w:r w:rsidRPr="00953281">
        <w:rPr>
          <w:szCs w:val="18"/>
          <w:lang w:val="en-CA"/>
        </w:rPr>
        <w:t>2</w:t>
      </w:r>
      <w:r w:rsidRPr="00953281">
        <w:rPr>
          <w:szCs w:val="18"/>
          <w:lang w:val="en-CA"/>
        </w:rPr>
        <w:t>条、第</w:t>
      </w:r>
      <w:r w:rsidRPr="00953281">
        <w:rPr>
          <w:szCs w:val="18"/>
          <w:lang w:val="en-CA"/>
        </w:rPr>
        <w:t>3</w:t>
      </w:r>
      <w:r w:rsidRPr="00953281">
        <w:rPr>
          <w:szCs w:val="18"/>
          <w:lang w:val="en-CA"/>
        </w:rPr>
        <w:t>条第</w:t>
      </w:r>
      <w:r w:rsidRPr="00953281">
        <w:rPr>
          <w:szCs w:val="18"/>
          <w:lang w:val="en-CA"/>
        </w:rPr>
        <w:t>4</w:t>
      </w:r>
      <w:r w:rsidRPr="00953281">
        <w:rPr>
          <w:szCs w:val="18"/>
          <w:lang w:val="en-CA"/>
        </w:rPr>
        <w:t>款、第</w:t>
      </w:r>
      <w:r w:rsidRPr="00953281">
        <w:rPr>
          <w:szCs w:val="18"/>
          <w:lang w:val="en-CA"/>
        </w:rPr>
        <w:t>4</w:t>
      </w:r>
      <w:r w:rsidRPr="00953281">
        <w:rPr>
          <w:szCs w:val="18"/>
          <w:lang w:val="en-CA"/>
        </w:rPr>
        <w:t>条、第</w:t>
      </w:r>
      <w:r w:rsidRPr="00953281">
        <w:rPr>
          <w:szCs w:val="18"/>
          <w:lang w:val="en-CA"/>
        </w:rPr>
        <w:t>5</w:t>
      </w:r>
      <w:r w:rsidRPr="00953281">
        <w:rPr>
          <w:szCs w:val="18"/>
          <w:lang w:val="en-CA"/>
        </w:rPr>
        <w:t>条第</w:t>
      </w:r>
      <w:r w:rsidRPr="00953281">
        <w:rPr>
          <w:szCs w:val="18"/>
          <w:lang w:val="en-CA"/>
        </w:rPr>
        <w:t>2</w:t>
      </w:r>
      <w:r w:rsidRPr="00953281">
        <w:rPr>
          <w:szCs w:val="18"/>
          <w:lang w:val="en-CA"/>
        </w:rPr>
        <w:t>、</w:t>
      </w:r>
      <w:r w:rsidRPr="00953281">
        <w:rPr>
          <w:szCs w:val="18"/>
          <w:lang w:val="en-CA"/>
        </w:rPr>
        <w:t>5</w:t>
      </w:r>
      <w:r w:rsidRPr="00953281">
        <w:rPr>
          <w:szCs w:val="18"/>
          <w:lang w:val="en-CA"/>
        </w:rPr>
        <w:t>、</w:t>
      </w:r>
      <w:r w:rsidRPr="00953281">
        <w:rPr>
          <w:szCs w:val="18"/>
          <w:lang w:val="en-CA"/>
        </w:rPr>
        <w:t>6</w:t>
      </w:r>
      <w:r w:rsidRPr="00953281">
        <w:rPr>
          <w:szCs w:val="18"/>
          <w:lang w:val="en-CA"/>
        </w:rPr>
        <w:t>款、第</w:t>
      </w:r>
      <w:r w:rsidRPr="00953281">
        <w:rPr>
          <w:szCs w:val="18"/>
          <w:lang w:val="en-CA"/>
        </w:rPr>
        <w:t>9</w:t>
      </w:r>
      <w:r w:rsidRPr="00953281">
        <w:rPr>
          <w:szCs w:val="18"/>
          <w:lang w:val="en-CA"/>
        </w:rPr>
        <w:t>条第</w:t>
      </w:r>
      <w:r w:rsidRPr="00953281">
        <w:rPr>
          <w:szCs w:val="18"/>
          <w:lang w:val="en-CA"/>
        </w:rPr>
        <w:t>1</w:t>
      </w:r>
      <w:r w:rsidRPr="00953281">
        <w:rPr>
          <w:szCs w:val="18"/>
          <w:lang w:val="en-CA"/>
        </w:rPr>
        <w:t>款、第</w:t>
      </w:r>
      <w:r w:rsidRPr="00953281">
        <w:rPr>
          <w:szCs w:val="18"/>
          <w:lang w:val="en-CA"/>
        </w:rPr>
        <w:t>13</w:t>
      </w:r>
      <w:r w:rsidRPr="00953281">
        <w:rPr>
          <w:szCs w:val="18"/>
          <w:lang w:val="en-CA"/>
        </w:rPr>
        <w:t>条第</w:t>
      </w:r>
      <w:r w:rsidRPr="00953281">
        <w:rPr>
          <w:szCs w:val="18"/>
          <w:lang w:val="en-CA"/>
        </w:rPr>
        <w:t>1</w:t>
      </w:r>
      <w:r w:rsidRPr="00953281">
        <w:rPr>
          <w:szCs w:val="18"/>
          <w:lang w:val="en-CA"/>
        </w:rPr>
        <w:t>款、第</w:t>
      </w:r>
      <w:r w:rsidRPr="00953281">
        <w:rPr>
          <w:szCs w:val="18"/>
          <w:lang w:val="en-CA"/>
        </w:rPr>
        <w:t>17</w:t>
      </w:r>
      <w:r w:rsidRPr="00953281">
        <w:rPr>
          <w:szCs w:val="18"/>
          <w:lang w:val="en-CA"/>
        </w:rPr>
        <w:t>条第</w:t>
      </w:r>
      <w:r w:rsidRPr="00953281">
        <w:rPr>
          <w:szCs w:val="18"/>
          <w:lang w:val="en-CA"/>
        </w:rPr>
        <w:t>1</w:t>
      </w:r>
      <w:r w:rsidRPr="00953281">
        <w:rPr>
          <w:szCs w:val="18"/>
          <w:lang w:val="en-CA"/>
        </w:rPr>
        <w:t>款和第</w:t>
      </w:r>
      <w:r w:rsidRPr="00953281">
        <w:rPr>
          <w:szCs w:val="18"/>
          <w:lang w:val="en-CA"/>
        </w:rPr>
        <w:t>20</w:t>
      </w:r>
      <w:r w:rsidRPr="00953281">
        <w:rPr>
          <w:szCs w:val="18"/>
          <w:lang w:val="en-CA"/>
        </w:rPr>
        <w:t>条</w:t>
      </w:r>
      <w:r w:rsidRPr="00953281">
        <w:rPr>
          <w:szCs w:val="18"/>
          <w:lang w:val="en-CA"/>
        </w:rPr>
        <w:t>(j)</w:t>
      </w:r>
      <w:r w:rsidRPr="00953281">
        <w:rPr>
          <w:szCs w:val="18"/>
          <w:lang w:val="en-CA"/>
        </w:rPr>
        <w:t>项。</w:t>
      </w:r>
    </w:p>
  </w:footnote>
  <w:footnote w:id="46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rPr>
        <w:t>《服务贸易总协定》</w:t>
      </w:r>
      <w:r w:rsidRPr="00953281">
        <w:rPr>
          <w:szCs w:val="18"/>
          <w:lang w:val="en-CA"/>
        </w:rPr>
        <w:t>，</w:t>
      </w:r>
      <w:r w:rsidRPr="00953281">
        <w:rPr>
          <w:szCs w:val="18"/>
          <w:lang w:val="en-CA"/>
        </w:rPr>
        <w:t>1994</w:t>
      </w:r>
      <w:r w:rsidRPr="00953281">
        <w:rPr>
          <w:szCs w:val="18"/>
          <w:lang w:val="en-CA"/>
        </w:rPr>
        <w:t>年</w:t>
      </w:r>
      <w:r w:rsidRPr="00953281">
        <w:rPr>
          <w:szCs w:val="18"/>
          <w:lang w:val="en-CA"/>
        </w:rPr>
        <w:t>4</w:t>
      </w:r>
      <w:r w:rsidRPr="00953281">
        <w:rPr>
          <w:szCs w:val="18"/>
          <w:lang w:val="en-CA"/>
        </w:rPr>
        <w:t>月</w:t>
      </w:r>
      <w:r w:rsidRPr="00953281">
        <w:rPr>
          <w:szCs w:val="18"/>
          <w:lang w:val="en-CA"/>
        </w:rPr>
        <w:t>15</w:t>
      </w:r>
      <w:r w:rsidRPr="00953281">
        <w:rPr>
          <w:szCs w:val="18"/>
          <w:lang w:val="en-CA"/>
        </w:rPr>
        <w:t>日，联合国</w:t>
      </w:r>
      <w:r w:rsidRPr="00953281">
        <w:rPr>
          <w:rFonts w:hint="eastAsia"/>
          <w:szCs w:val="18"/>
          <w:lang w:val="en-CA"/>
        </w:rPr>
        <w:t>,</w:t>
      </w:r>
      <w:r w:rsidRPr="00953281">
        <w:rPr>
          <w:szCs w:val="18"/>
          <w:lang w:val="en-CA"/>
        </w:rPr>
        <w:t>《条约汇编》，第</w:t>
      </w:r>
      <w:r w:rsidRPr="00953281">
        <w:rPr>
          <w:szCs w:val="18"/>
          <w:lang w:val="en-CA"/>
        </w:rPr>
        <w:t>1869</w:t>
      </w:r>
      <w:r w:rsidRPr="00953281">
        <w:rPr>
          <w:szCs w:val="18"/>
          <w:lang w:val="en-CA"/>
        </w:rPr>
        <w:t>卷，第</w:t>
      </w:r>
      <w:r w:rsidRPr="00953281">
        <w:rPr>
          <w:szCs w:val="18"/>
          <w:lang w:val="en-CA"/>
        </w:rPr>
        <w:t>183</w:t>
      </w:r>
      <w:r w:rsidRPr="00953281">
        <w:rPr>
          <w:szCs w:val="18"/>
          <w:lang w:val="en-CA"/>
        </w:rPr>
        <w:t>页，第</w:t>
      </w:r>
      <w:r w:rsidRPr="00953281">
        <w:rPr>
          <w:szCs w:val="18"/>
          <w:lang w:val="en-CA"/>
        </w:rPr>
        <w:t>2</w:t>
      </w:r>
      <w:r w:rsidRPr="00953281">
        <w:rPr>
          <w:szCs w:val="18"/>
          <w:lang w:val="en-CA"/>
        </w:rPr>
        <w:t>条。</w:t>
      </w:r>
    </w:p>
  </w:footnote>
  <w:footnote w:id="46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世贸组织上诉机构报告，《欧洲共同体－香蕉进口、销售和分销制度》，</w:t>
      </w:r>
      <w:r w:rsidRPr="00953281">
        <w:rPr>
          <w:szCs w:val="18"/>
          <w:lang w:val="en-CA"/>
        </w:rPr>
        <w:t>WT/DS27/AB/R (1997</w:t>
      </w:r>
      <w:r w:rsidRPr="00953281">
        <w:rPr>
          <w:szCs w:val="18"/>
          <w:lang w:val="en-CA"/>
        </w:rPr>
        <w:t>年</w:t>
      </w:r>
      <w:r w:rsidRPr="00953281">
        <w:rPr>
          <w:szCs w:val="18"/>
          <w:lang w:val="en-CA"/>
        </w:rPr>
        <w:t>9</w:t>
      </w:r>
      <w:r w:rsidRPr="00953281">
        <w:rPr>
          <w:szCs w:val="18"/>
          <w:lang w:val="en-CA"/>
        </w:rPr>
        <w:t>月</w:t>
      </w:r>
      <w:r w:rsidRPr="00953281">
        <w:rPr>
          <w:szCs w:val="18"/>
          <w:lang w:val="en-CA"/>
        </w:rPr>
        <w:t>25</w:t>
      </w:r>
      <w:r w:rsidRPr="00953281">
        <w:rPr>
          <w:szCs w:val="18"/>
          <w:lang w:val="en-CA"/>
        </w:rPr>
        <w:t>日通过</w:t>
      </w:r>
      <w:r w:rsidRPr="00953281">
        <w:rPr>
          <w:szCs w:val="18"/>
          <w:lang w:val="en-CA"/>
        </w:rPr>
        <w:t>)</w:t>
      </w:r>
      <w:r w:rsidRPr="00953281">
        <w:rPr>
          <w:szCs w:val="18"/>
          <w:lang w:val="en-CA"/>
        </w:rPr>
        <w:t>，第</w:t>
      </w:r>
      <w:r w:rsidRPr="00953281">
        <w:rPr>
          <w:szCs w:val="18"/>
          <w:lang w:val="en-CA"/>
        </w:rPr>
        <w:t>231</w:t>
      </w:r>
      <w:r w:rsidRPr="00953281">
        <w:rPr>
          <w:szCs w:val="18"/>
          <w:lang w:val="en-CA"/>
        </w:rPr>
        <w:t>段。</w:t>
      </w:r>
    </w:p>
  </w:footnote>
  <w:footnote w:id="46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rFonts w:eastAsia="楷体"/>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w:t>
      </w:r>
      <w:r w:rsidRPr="00953281">
        <w:rPr>
          <w:rFonts w:ascii="Time New Roman" w:hAnsi="Time New Roman"/>
          <w:szCs w:val="18"/>
          <w:lang w:val="en-CA"/>
        </w:rPr>
        <w:t>加拿大－影响汽车工业的某些措施</w:t>
      </w:r>
      <w:r w:rsidRPr="00953281">
        <w:rPr>
          <w:rFonts w:eastAsia="楷体"/>
          <w:szCs w:val="18"/>
          <w:lang w:val="en-CA"/>
        </w:rPr>
        <w:t>》</w:t>
      </w:r>
      <w:r w:rsidRPr="00953281">
        <w:rPr>
          <w:rFonts w:eastAsia="楷体" w:hint="eastAsia"/>
          <w:szCs w:val="18"/>
          <w:lang w:val="en-CA"/>
        </w:rPr>
        <w:t>，</w:t>
      </w:r>
      <w:r w:rsidRPr="00953281">
        <w:rPr>
          <w:rFonts w:eastAsia="楷体"/>
          <w:szCs w:val="18"/>
          <w:lang w:val="en-CA"/>
        </w:rPr>
        <w:t>WT/DS139/AB/R (</w:t>
      </w:r>
      <w:r w:rsidRPr="00953281">
        <w:rPr>
          <w:szCs w:val="18"/>
          <w:lang w:val="en-CA"/>
        </w:rPr>
        <w:t>2000</w:t>
      </w:r>
      <w:r w:rsidRPr="00953281">
        <w:rPr>
          <w:rFonts w:hint="eastAsia"/>
          <w:szCs w:val="18"/>
          <w:lang w:val="en-CA"/>
        </w:rPr>
        <w:t>年</w:t>
      </w:r>
      <w:r w:rsidRPr="00953281">
        <w:rPr>
          <w:rFonts w:hint="eastAsia"/>
          <w:szCs w:val="18"/>
          <w:lang w:val="en-CA"/>
        </w:rPr>
        <w:t>6</w:t>
      </w:r>
      <w:r w:rsidRPr="00953281">
        <w:rPr>
          <w:rFonts w:hint="eastAsia"/>
          <w:szCs w:val="18"/>
          <w:lang w:val="en-CA"/>
        </w:rPr>
        <w:t>月</w:t>
      </w:r>
      <w:r w:rsidRPr="00953281">
        <w:rPr>
          <w:rFonts w:hint="eastAsia"/>
          <w:szCs w:val="18"/>
          <w:lang w:val="en-CA"/>
        </w:rPr>
        <w:t>19</w:t>
      </w:r>
      <w:r w:rsidRPr="00953281">
        <w:rPr>
          <w:rFonts w:hint="eastAsia"/>
          <w:szCs w:val="18"/>
          <w:lang w:val="en-CA"/>
        </w:rPr>
        <w:t>日通过</w:t>
      </w:r>
      <w:r w:rsidRPr="00953281">
        <w:rPr>
          <w:szCs w:val="18"/>
          <w:lang w:val="en-CA"/>
        </w:rPr>
        <w:t xml:space="preserve">) </w:t>
      </w:r>
      <w:r w:rsidRPr="00953281">
        <w:rPr>
          <w:rFonts w:hint="eastAsia"/>
          <w:szCs w:val="18"/>
          <w:lang w:val="en-CA"/>
        </w:rPr>
        <w:t>，第</w:t>
      </w:r>
      <w:r w:rsidRPr="00953281">
        <w:rPr>
          <w:szCs w:val="18"/>
          <w:lang w:val="en-CA"/>
        </w:rPr>
        <w:t>79</w:t>
      </w:r>
      <w:r w:rsidRPr="00953281">
        <w:rPr>
          <w:rFonts w:hint="eastAsia"/>
          <w:szCs w:val="18"/>
          <w:lang w:val="en-CA"/>
        </w:rPr>
        <w:t>段。</w:t>
      </w:r>
    </w:p>
  </w:footnote>
  <w:footnote w:id="46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rPr>
        <w:t>《关贸总协定》</w:t>
      </w:r>
      <w:r w:rsidRPr="00953281">
        <w:rPr>
          <w:szCs w:val="18"/>
          <w:lang w:val="en-CA"/>
        </w:rPr>
        <w:t>，第</w:t>
      </w:r>
      <w:r w:rsidRPr="00953281">
        <w:rPr>
          <w:szCs w:val="18"/>
          <w:lang w:val="en-CA"/>
        </w:rPr>
        <w:t>24</w:t>
      </w:r>
      <w:r w:rsidRPr="00953281">
        <w:rPr>
          <w:szCs w:val="18"/>
          <w:lang w:val="en-CA"/>
        </w:rPr>
        <w:t>条。随着区域贸易协定的增加，关税同盟和自由贸易区变得更加重要。</w:t>
      </w:r>
    </w:p>
  </w:footnote>
  <w:footnote w:id="46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例如，见世贸组织上诉机构报告，《美国－禁止进口某些虾类和虾制品》，世贸组织文件</w:t>
      </w:r>
      <w:r w:rsidRPr="00953281">
        <w:rPr>
          <w:szCs w:val="18"/>
          <w:lang w:val="en-CA"/>
        </w:rPr>
        <w:t>WT/DS58/AB/R (1998</w:t>
      </w:r>
      <w:r w:rsidRPr="00953281">
        <w:rPr>
          <w:szCs w:val="18"/>
          <w:lang w:val="en-CA"/>
        </w:rPr>
        <w:t>年</w:t>
      </w:r>
      <w:r w:rsidRPr="00953281">
        <w:rPr>
          <w:szCs w:val="18"/>
          <w:lang w:val="en-CA"/>
        </w:rPr>
        <w:t>10</w:t>
      </w:r>
      <w:r w:rsidRPr="00953281">
        <w:rPr>
          <w:szCs w:val="18"/>
          <w:lang w:val="en-CA"/>
        </w:rPr>
        <w:t>月</w:t>
      </w:r>
      <w:r w:rsidRPr="00953281">
        <w:rPr>
          <w:szCs w:val="18"/>
          <w:lang w:val="en-CA"/>
        </w:rPr>
        <w:t>12</w:t>
      </w:r>
      <w:r w:rsidRPr="00953281">
        <w:rPr>
          <w:szCs w:val="18"/>
          <w:lang w:val="en-CA"/>
        </w:rPr>
        <w:t>日</w:t>
      </w:r>
      <w:r w:rsidRPr="00953281">
        <w:rPr>
          <w:szCs w:val="18"/>
          <w:lang w:val="en-CA"/>
        </w:rPr>
        <w:t>)</w:t>
      </w:r>
      <w:r w:rsidRPr="00953281">
        <w:rPr>
          <w:szCs w:val="18"/>
          <w:lang w:val="en-CA"/>
        </w:rPr>
        <w:t>。</w:t>
      </w:r>
    </w:p>
  </w:footnote>
  <w:footnote w:id="46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rPr>
        <w:t>《服务贸易总协定》</w:t>
      </w:r>
      <w:r w:rsidRPr="00953281">
        <w:rPr>
          <w:szCs w:val="18"/>
          <w:lang w:val="en-CA"/>
        </w:rPr>
        <w:t>，第</w:t>
      </w:r>
      <w:r w:rsidRPr="00953281">
        <w:rPr>
          <w:szCs w:val="18"/>
          <w:lang w:val="en-CA"/>
        </w:rPr>
        <w:t>1</w:t>
      </w:r>
      <w:r w:rsidRPr="00953281">
        <w:rPr>
          <w:szCs w:val="18"/>
          <w:lang w:val="en-CA"/>
        </w:rPr>
        <w:t>条第</w:t>
      </w:r>
      <w:r w:rsidRPr="00953281">
        <w:rPr>
          <w:szCs w:val="18"/>
          <w:lang w:val="en-CA"/>
        </w:rPr>
        <w:t>2</w:t>
      </w:r>
      <w:r w:rsidRPr="00953281">
        <w:rPr>
          <w:szCs w:val="18"/>
          <w:lang w:val="en-CA"/>
        </w:rPr>
        <w:t>款</w:t>
      </w:r>
      <w:r w:rsidRPr="00953281">
        <w:rPr>
          <w:szCs w:val="18"/>
          <w:lang w:val="en-CA"/>
        </w:rPr>
        <w:t>(d)</w:t>
      </w:r>
      <w:r w:rsidRPr="00953281">
        <w:rPr>
          <w:szCs w:val="18"/>
          <w:lang w:val="en-CA"/>
        </w:rPr>
        <w:t>项。</w:t>
      </w:r>
    </w:p>
  </w:footnote>
  <w:footnote w:id="46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rPr>
        <w:t>1969</w:t>
      </w:r>
      <w:r w:rsidRPr="00953281">
        <w:rPr>
          <w:szCs w:val="18"/>
          <w:lang w:val="en-CA"/>
        </w:rPr>
        <w:t>年</w:t>
      </w:r>
      <w:r w:rsidRPr="00953281">
        <w:rPr>
          <w:szCs w:val="18"/>
          <w:lang w:val="en-CA"/>
        </w:rPr>
        <w:t>5</w:t>
      </w:r>
      <w:r w:rsidRPr="00953281">
        <w:rPr>
          <w:szCs w:val="18"/>
          <w:lang w:val="en-CA"/>
        </w:rPr>
        <w:t>月</w:t>
      </w:r>
      <w:r w:rsidRPr="00953281">
        <w:rPr>
          <w:szCs w:val="18"/>
          <w:lang w:val="en-CA"/>
        </w:rPr>
        <w:t>23</w:t>
      </w:r>
      <w:r w:rsidRPr="00953281">
        <w:rPr>
          <w:szCs w:val="18"/>
          <w:lang w:val="en-CA"/>
        </w:rPr>
        <w:t>日在维也纳签署，联合国，《条约汇编》，第</w:t>
      </w:r>
      <w:r w:rsidRPr="00953281">
        <w:rPr>
          <w:szCs w:val="18"/>
          <w:lang w:val="en-CA"/>
        </w:rPr>
        <w:t>189</w:t>
      </w:r>
      <w:r w:rsidRPr="00953281">
        <w:rPr>
          <w:szCs w:val="18"/>
          <w:lang w:val="en-CA"/>
        </w:rPr>
        <w:t>卷，第</w:t>
      </w:r>
      <w:r w:rsidRPr="00953281">
        <w:rPr>
          <w:szCs w:val="18"/>
          <w:lang w:val="en-CA"/>
        </w:rPr>
        <w:t>150</w:t>
      </w:r>
      <w:r w:rsidRPr="00953281">
        <w:rPr>
          <w:szCs w:val="18"/>
          <w:lang w:val="en-CA"/>
        </w:rPr>
        <w:t>页。</w:t>
      </w:r>
    </w:p>
  </w:footnote>
  <w:footnote w:id="46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hint="eastAsia"/>
          <w:szCs w:val="18"/>
          <w:lang w:val="en-CA"/>
        </w:rPr>
        <w:t>“</w:t>
      </w:r>
      <w:r w:rsidRPr="00953281">
        <w:rPr>
          <w:szCs w:val="18"/>
          <w:lang w:val="en-CA"/>
        </w:rPr>
        <w:t>区域协定</w:t>
      </w:r>
      <w:r w:rsidRPr="00953281">
        <w:rPr>
          <w:rFonts w:hint="eastAsia"/>
          <w:szCs w:val="18"/>
          <w:lang w:val="en-CA"/>
        </w:rPr>
        <w:t>”</w:t>
      </w:r>
      <w:r w:rsidRPr="00953281">
        <w:rPr>
          <w:szCs w:val="18"/>
          <w:lang w:val="en-CA"/>
        </w:rPr>
        <w:t>一词也包含区域经济一体化协定、结盟协定和关税同盟协议。</w:t>
      </w:r>
    </w:p>
  </w:footnote>
  <w:footnote w:id="46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《欧洲联盟及成员国与大韩民国的自由贸易协定》</w:t>
      </w:r>
      <w:r w:rsidRPr="00953281">
        <w:rPr>
          <w:rFonts w:hint="eastAsia"/>
          <w:szCs w:val="18"/>
          <w:lang w:val="en-CA"/>
        </w:rPr>
        <w:t>,</w:t>
      </w:r>
      <w:r w:rsidRPr="00953281">
        <w:rPr>
          <w:szCs w:val="18"/>
          <w:lang w:val="en-CA"/>
        </w:rPr>
        <w:t>《欧洲联盟官方公报》</w:t>
      </w:r>
      <w:r w:rsidRPr="00953281">
        <w:rPr>
          <w:szCs w:val="18"/>
          <w:lang w:val="en-CA"/>
        </w:rPr>
        <w:t>L127,</w:t>
      </w:r>
      <w:r w:rsidRPr="00953281">
        <w:rPr>
          <w:rFonts w:hint="eastAsia"/>
          <w:szCs w:val="18"/>
          <w:lang w:val="en-CA"/>
        </w:rPr>
        <w:t xml:space="preserve"> </w:t>
      </w:r>
      <w:r w:rsidRPr="00953281">
        <w:rPr>
          <w:szCs w:val="18"/>
          <w:lang w:val="en-CA"/>
        </w:rPr>
        <w:t>第</w:t>
      </w:r>
      <w:r w:rsidRPr="00953281">
        <w:rPr>
          <w:szCs w:val="18"/>
          <w:lang w:val="en-CA"/>
        </w:rPr>
        <w:t>54</w:t>
      </w:r>
      <w:r w:rsidRPr="00953281">
        <w:rPr>
          <w:szCs w:val="18"/>
          <w:lang w:val="en-CA"/>
        </w:rPr>
        <w:t>卷</w:t>
      </w:r>
      <w:r w:rsidRPr="00953281">
        <w:rPr>
          <w:szCs w:val="18"/>
          <w:lang w:val="en-CA"/>
        </w:rPr>
        <w:t>(2011</w:t>
      </w:r>
      <w:r w:rsidRPr="00953281">
        <w:rPr>
          <w:szCs w:val="18"/>
          <w:lang w:val="en-CA"/>
        </w:rPr>
        <w:t>年</w:t>
      </w:r>
      <w:r w:rsidRPr="00953281">
        <w:rPr>
          <w:szCs w:val="18"/>
          <w:lang w:val="en-CA"/>
        </w:rPr>
        <w:t>5</w:t>
      </w:r>
      <w:r w:rsidRPr="00953281">
        <w:rPr>
          <w:szCs w:val="18"/>
          <w:lang w:val="en-CA"/>
        </w:rPr>
        <w:t>月</w:t>
      </w:r>
      <w:r w:rsidRPr="00953281">
        <w:rPr>
          <w:szCs w:val="18"/>
          <w:lang w:val="en-CA"/>
        </w:rPr>
        <w:t>14</w:t>
      </w:r>
      <w:r w:rsidRPr="00953281">
        <w:rPr>
          <w:szCs w:val="18"/>
          <w:lang w:val="en-CA"/>
        </w:rPr>
        <w:t>日</w:t>
      </w:r>
      <w:r w:rsidRPr="00953281">
        <w:rPr>
          <w:szCs w:val="18"/>
          <w:lang w:val="en-CA"/>
        </w:rPr>
        <w:t>)</w:t>
      </w:r>
      <w:r w:rsidRPr="00953281">
        <w:rPr>
          <w:szCs w:val="18"/>
          <w:lang w:val="en-CA"/>
        </w:rPr>
        <w:t>，第</w:t>
      </w:r>
      <w:r w:rsidRPr="00953281">
        <w:rPr>
          <w:szCs w:val="18"/>
          <w:lang w:val="en-CA"/>
        </w:rPr>
        <w:t>9</w:t>
      </w:r>
      <w:r w:rsidRPr="00953281">
        <w:rPr>
          <w:szCs w:val="18"/>
          <w:lang w:val="en-CA"/>
        </w:rPr>
        <w:t>页，第</w:t>
      </w:r>
      <w:r w:rsidRPr="00953281">
        <w:rPr>
          <w:szCs w:val="18"/>
          <w:lang w:val="en-CA"/>
        </w:rPr>
        <w:t>2</w:t>
      </w:r>
      <w:r w:rsidRPr="00953281">
        <w:rPr>
          <w:szCs w:val="18"/>
          <w:lang w:val="en-CA"/>
        </w:rPr>
        <w:t>条第</w:t>
      </w:r>
      <w:r w:rsidRPr="00953281">
        <w:rPr>
          <w:szCs w:val="18"/>
          <w:lang w:val="en-CA"/>
        </w:rPr>
        <w:t>5</w:t>
      </w:r>
      <w:r w:rsidRPr="00953281">
        <w:rPr>
          <w:szCs w:val="18"/>
          <w:lang w:val="en-CA"/>
        </w:rPr>
        <w:t>款；《欧洲共同体及成员国与智利共和国之间的结盟协定》</w:t>
      </w:r>
      <w:r w:rsidRPr="00953281">
        <w:rPr>
          <w:rFonts w:hint="eastAsia"/>
          <w:szCs w:val="18"/>
          <w:lang w:val="en-CA"/>
        </w:rPr>
        <w:t>,</w:t>
      </w:r>
      <w:r w:rsidRPr="00953281">
        <w:rPr>
          <w:szCs w:val="18"/>
          <w:lang w:val="en-CA"/>
        </w:rPr>
        <w:t>《欧洲联盟官方公报》</w:t>
      </w:r>
      <w:r w:rsidRPr="00953281">
        <w:rPr>
          <w:szCs w:val="18"/>
          <w:lang w:val="en-CA"/>
        </w:rPr>
        <w:t>L352</w:t>
      </w:r>
      <w:r w:rsidRPr="00953281">
        <w:rPr>
          <w:rFonts w:hint="eastAsia"/>
          <w:szCs w:val="18"/>
          <w:lang w:val="en-CA"/>
        </w:rPr>
        <w:t>，</w:t>
      </w:r>
      <w:r w:rsidRPr="00953281">
        <w:rPr>
          <w:szCs w:val="18"/>
          <w:lang w:val="en-CA"/>
        </w:rPr>
        <w:t>第</w:t>
      </w:r>
      <w:r w:rsidRPr="00953281">
        <w:rPr>
          <w:szCs w:val="18"/>
          <w:lang w:val="en-CA"/>
        </w:rPr>
        <w:t>45</w:t>
      </w:r>
      <w:r w:rsidRPr="00953281">
        <w:rPr>
          <w:szCs w:val="18"/>
          <w:lang w:val="en-CA"/>
        </w:rPr>
        <w:t>卷</w:t>
      </w:r>
      <w:r w:rsidRPr="00953281">
        <w:rPr>
          <w:rFonts w:hint="eastAsia"/>
          <w:szCs w:val="18"/>
          <w:lang w:val="en-CA"/>
        </w:rPr>
        <w:t xml:space="preserve"> </w:t>
      </w:r>
      <w:r w:rsidRPr="00953281">
        <w:rPr>
          <w:szCs w:val="18"/>
          <w:lang w:val="en-CA"/>
        </w:rPr>
        <w:t>(2002</w:t>
      </w:r>
      <w:r w:rsidRPr="00953281">
        <w:rPr>
          <w:szCs w:val="18"/>
          <w:lang w:val="en-CA"/>
        </w:rPr>
        <w:t>年</w:t>
      </w:r>
      <w:r w:rsidRPr="00953281">
        <w:rPr>
          <w:szCs w:val="18"/>
          <w:lang w:val="en-CA"/>
        </w:rPr>
        <w:t>12</w:t>
      </w:r>
      <w:r w:rsidRPr="00953281">
        <w:rPr>
          <w:szCs w:val="18"/>
          <w:lang w:val="en-CA"/>
        </w:rPr>
        <w:t>月</w:t>
      </w:r>
      <w:r w:rsidRPr="00953281">
        <w:rPr>
          <w:szCs w:val="18"/>
          <w:lang w:val="en-CA"/>
        </w:rPr>
        <w:t>30</w:t>
      </w:r>
      <w:r w:rsidRPr="00953281">
        <w:rPr>
          <w:szCs w:val="18"/>
          <w:lang w:val="en-CA"/>
        </w:rPr>
        <w:t>日</w:t>
      </w:r>
      <w:r w:rsidRPr="00953281">
        <w:rPr>
          <w:szCs w:val="18"/>
          <w:lang w:val="en-CA"/>
        </w:rPr>
        <w:t>)</w:t>
      </w:r>
      <w:r w:rsidRPr="00953281">
        <w:rPr>
          <w:szCs w:val="18"/>
          <w:lang w:val="en-CA"/>
        </w:rPr>
        <w:t>，第</w:t>
      </w:r>
      <w:r w:rsidRPr="00953281">
        <w:rPr>
          <w:szCs w:val="18"/>
          <w:lang w:val="en-CA"/>
        </w:rPr>
        <w:t>19</w:t>
      </w:r>
      <w:r w:rsidRPr="00953281">
        <w:rPr>
          <w:szCs w:val="18"/>
          <w:lang w:val="en-CA"/>
        </w:rPr>
        <w:t>页，第</w:t>
      </w:r>
      <w:r w:rsidRPr="00953281">
        <w:rPr>
          <w:szCs w:val="18"/>
          <w:lang w:val="en-CA"/>
        </w:rPr>
        <w:t>60</w:t>
      </w:r>
      <w:r w:rsidRPr="00953281">
        <w:rPr>
          <w:szCs w:val="18"/>
          <w:lang w:val="en-CA"/>
        </w:rPr>
        <w:t>条第</w:t>
      </w:r>
      <w:r w:rsidRPr="00953281">
        <w:rPr>
          <w:szCs w:val="18"/>
          <w:lang w:val="en-CA"/>
        </w:rPr>
        <w:t>4</w:t>
      </w:r>
      <w:r w:rsidRPr="00953281">
        <w:rPr>
          <w:szCs w:val="18"/>
          <w:lang w:val="en-CA"/>
        </w:rPr>
        <w:t>款。</w:t>
      </w:r>
    </w:p>
  </w:footnote>
  <w:footnote w:id="46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lang w:val="en-CA"/>
        </w:rPr>
        <w:tab/>
      </w:r>
      <w:r w:rsidRPr="00953281">
        <w:rPr>
          <w:rStyle w:val="a3"/>
          <w:sz w:val="21"/>
          <w:szCs w:val="18"/>
        </w:rPr>
        <w:footnoteRef/>
      </w:r>
      <w:r w:rsidRPr="00953281">
        <w:rPr>
          <w:szCs w:val="18"/>
          <w:lang w:val="en-CA"/>
        </w:rPr>
        <w:tab/>
      </w:r>
      <w:r w:rsidRPr="00953281">
        <w:rPr>
          <w:szCs w:val="18"/>
        </w:rPr>
        <w:t>《北美自由贸易协定》</w:t>
      </w:r>
      <w:r w:rsidRPr="00953281">
        <w:rPr>
          <w:rFonts w:hint="eastAsia"/>
          <w:szCs w:val="18"/>
        </w:rPr>
        <w:t>,</w:t>
      </w:r>
      <w:r w:rsidRPr="00953281">
        <w:rPr>
          <w:szCs w:val="18"/>
        </w:rPr>
        <w:t>《国际法律资料》，第</w:t>
      </w:r>
      <w:r w:rsidRPr="00953281">
        <w:rPr>
          <w:szCs w:val="18"/>
        </w:rPr>
        <w:t>32</w:t>
      </w:r>
      <w:r w:rsidRPr="00953281">
        <w:rPr>
          <w:szCs w:val="18"/>
        </w:rPr>
        <w:t>卷</w:t>
      </w:r>
      <w:r w:rsidRPr="00953281">
        <w:rPr>
          <w:szCs w:val="18"/>
        </w:rPr>
        <w:t>(1993</w:t>
      </w:r>
      <w:r w:rsidRPr="00953281">
        <w:rPr>
          <w:szCs w:val="18"/>
        </w:rPr>
        <w:t>年</w:t>
      </w:r>
      <w:r w:rsidRPr="00953281">
        <w:rPr>
          <w:szCs w:val="18"/>
        </w:rPr>
        <w:t>)</w:t>
      </w:r>
      <w:r w:rsidRPr="00953281">
        <w:rPr>
          <w:szCs w:val="18"/>
        </w:rPr>
        <w:t>，第</w:t>
      </w:r>
      <w:r w:rsidRPr="00953281">
        <w:rPr>
          <w:szCs w:val="18"/>
        </w:rPr>
        <w:t>289</w:t>
      </w:r>
      <w:r w:rsidRPr="00953281">
        <w:rPr>
          <w:rFonts w:hint="eastAsia"/>
          <w:szCs w:val="18"/>
        </w:rPr>
        <w:t>页</w:t>
      </w:r>
      <w:r w:rsidRPr="00953281">
        <w:rPr>
          <w:szCs w:val="18"/>
        </w:rPr>
        <w:t>和</w:t>
      </w:r>
      <w:r w:rsidRPr="00953281">
        <w:rPr>
          <w:rFonts w:hint="eastAsia"/>
          <w:szCs w:val="18"/>
        </w:rPr>
        <w:t>第</w:t>
      </w:r>
      <w:r w:rsidRPr="00953281">
        <w:rPr>
          <w:szCs w:val="18"/>
        </w:rPr>
        <w:t>605</w:t>
      </w:r>
      <w:r w:rsidRPr="00953281">
        <w:rPr>
          <w:szCs w:val="18"/>
        </w:rPr>
        <w:t>页，第</w:t>
      </w:r>
      <w:r w:rsidRPr="00953281">
        <w:rPr>
          <w:szCs w:val="18"/>
        </w:rPr>
        <w:t>11</w:t>
      </w:r>
      <w:r w:rsidRPr="00953281">
        <w:rPr>
          <w:szCs w:val="18"/>
        </w:rPr>
        <w:t>章，第</w:t>
      </w:r>
      <w:r w:rsidRPr="00953281">
        <w:rPr>
          <w:szCs w:val="18"/>
        </w:rPr>
        <w:t>1103</w:t>
      </w:r>
      <w:r w:rsidRPr="00953281">
        <w:rPr>
          <w:szCs w:val="18"/>
        </w:rPr>
        <w:t>条</w:t>
      </w:r>
      <w:r w:rsidRPr="00953281">
        <w:rPr>
          <w:szCs w:val="18"/>
        </w:rPr>
        <w:t>(</w:t>
      </w:r>
      <w:r w:rsidRPr="00953281">
        <w:rPr>
          <w:szCs w:val="18"/>
        </w:rPr>
        <w:t>投资</w:t>
      </w:r>
      <w:r w:rsidRPr="00953281">
        <w:rPr>
          <w:szCs w:val="18"/>
        </w:rPr>
        <w:t>)</w:t>
      </w:r>
      <w:r w:rsidRPr="00953281">
        <w:rPr>
          <w:szCs w:val="18"/>
        </w:rPr>
        <w:t>、第</w:t>
      </w:r>
      <w:r w:rsidRPr="00953281">
        <w:rPr>
          <w:szCs w:val="18"/>
        </w:rPr>
        <w:t>1203</w:t>
      </w:r>
      <w:r w:rsidRPr="00953281">
        <w:rPr>
          <w:szCs w:val="18"/>
        </w:rPr>
        <w:t>条</w:t>
      </w:r>
      <w:r w:rsidRPr="00953281">
        <w:rPr>
          <w:szCs w:val="18"/>
        </w:rPr>
        <w:t>(</w:t>
      </w:r>
      <w:r w:rsidRPr="00953281">
        <w:rPr>
          <w:szCs w:val="18"/>
        </w:rPr>
        <w:t>服务</w:t>
      </w:r>
      <w:r w:rsidRPr="00953281">
        <w:rPr>
          <w:szCs w:val="18"/>
        </w:rPr>
        <w:t>)</w:t>
      </w:r>
      <w:r w:rsidRPr="00953281">
        <w:rPr>
          <w:szCs w:val="18"/>
        </w:rPr>
        <w:t>和第</w:t>
      </w:r>
      <w:r w:rsidRPr="00953281">
        <w:rPr>
          <w:szCs w:val="18"/>
        </w:rPr>
        <w:t>1406</w:t>
      </w:r>
      <w:r w:rsidRPr="00953281">
        <w:rPr>
          <w:szCs w:val="18"/>
        </w:rPr>
        <w:t>条</w:t>
      </w:r>
      <w:r w:rsidRPr="00953281">
        <w:rPr>
          <w:szCs w:val="18"/>
        </w:rPr>
        <w:t>(</w:t>
      </w:r>
      <w:r w:rsidRPr="00953281">
        <w:rPr>
          <w:szCs w:val="18"/>
        </w:rPr>
        <w:t>金融服务</w:t>
      </w:r>
      <w:r w:rsidRPr="00953281">
        <w:rPr>
          <w:szCs w:val="18"/>
        </w:rPr>
        <w:t>)</w:t>
      </w:r>
      <w:r w:rsidRPr="00953281">
        <w:rPr>
          <w:szCs w:val="18"/>
        </w:rPr>
        <w:t>。</w:t>
      </w:r>
    </w:p>
  </w:footnote>
  <w:footnote w:id="47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《奥地利共和国与捷克斯洛伐克联邦共和国关于促进和保护投资的协定》，</w:t>
      </w:r>
      <w:r w:rsidRPr="00953281">
        <w:rPr>
          <w:szCs w:val="18"/>
          <w:lang w:val="en-CA"/>
        </w:rPr>
        <w:t>1990</w:t>
      </w:r>
      <w:r w:rsidRPr="00953281">
        <w:rPr>
          <w:szCs w:val="18"/>
          <w:lang w:val="en-CA"/>
        </w:rPr>
        <w:t>年</w:t>
      </w:r>
      <w:r w:rsidRPr="00953281">
        <w:rPr>
          <w:szCs w:val="18"/>
          <w:lang w:val="en-CA"/>
        </w:rPr>
        <w:t>10</w:t>
      </w:r>
      <w:r w:rsidRPr="00953281">
        <w:rPr>
          <w:szCs w:val="18"/>
          <w:lang w:val="en-CA"/>
        </w:rPr>
        <w:t>月</w:t>
      </w:r>
      <w:r w:rsidRPr="00953281">
        <w:rPr>
          <w:szCs w:val="18"/>
          <w:lang w:val="en-CA"/>
        </w:rPr>
        <w:t>15</w:t>
      </w:r>
      <w:r w:rsidRPr="00953281">
        <w:rPr>
          <w:szCs w:val="18"/>
          <w:lang w:val="en-CA"/>
        </w:rPr>
        <w:t>日在维也纳签署，联合国，《条约汇编》，第</w:t>
      </w:r>
      <w:r w:rsidRPr="00953281">
        <w:rPr>
          <w:szCs w:val="18"/>
          <w:lang w:val="en-CA"/>
        </w:rPr>
        <w:t>1653</w:t>
      </w:r>
      <w:r w:rsidRPr="00953281">
        <w:rPr>
          <w:szCs w:val="18"/>
          <w:lang w:val="en-CA"/>
        </w:rPr>
        <w:t>卷，第</w:t>
      </w:r>
      <w:r w:rsidRPr="00953281">
        <w:rPr>
          <w:szCs w:val="18"/>
          <w:lang w:val="en-CA"/>
        </w:rPr>
        <w:t>127</w:t>
      </w:r>
      <w:r w:rsidRPr="00953281">
        <w:rPr>
          <w:szCs w:val="18"/>
          <w:lang w:val="en-CA"/>
        </w:rPr>
        <w:t>页，第</w:t>
      </w:r>
      <w:r w:rsidRPr="00953281">
        <w:rPr>
          <w:szCs w:val="18"/>
          <w:lang w:val="en-CA"/>
        </w:rPr>
        <w:t>3</w:t>
      </w:r>
      <w:r w:rsidRPr="00953281">
        <w:rPr>
          <w:szCs w:val="18"/>
          <w:lang w:val="en-CA"/>
        </w:rPr>
        <w:t>条第</w:t>
      </w:r>
      <w:r w:rsidRPr="00953281">
        <w:rPr>
          <w:szCs w:val="18"/>
          <w:lang w:val="en-CA"/>
        </w:rPr>
        <w:t>1</w:t>
      </w:r>
      <w:r w:rsidRPr="00953281">
        <w:rPr>
          <w:szCs w:val="18"/>
          <w:lang w:val="en-CA"/>
        </w:rPr>
        <w:t>款。</w:t>
      </w:r>
    </w:p>
  </w:footnote>
  <w:footnote w:id="47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《大不列颠及北爱尔兰联合王国政府与阿根廷共和国政府关于促进和保护投资的协定》，</w:t>
      </w:r>
      <w:r w:rsidRPr="00953281">
        <w:rPr>
          <w:szCs w:val="18"/>
          <w:lang w:val="en-CA"/>
        </w:rPr>
        <w:t>1990</w:t>
      </w:r>
      <w:r w:rsidRPr="00953281">
        <w:rPr>
          <w:szCs w:val="18"/>
          <w:lang w:val="en-CA"/>
        </w:rPr>
        <w:t>年</w:t>
      </w:r>
      <w:r w:rsidRPr="00953281">
        <w:rPr>
          <w:szCs w:val="18"/>
          <w:lang w:val="en-CA"/>
        </w:rPr>
        <w:t>12</w:t>
      </w:r>
      <w:r w:rsidRPr="00953281">
        <w:rPr>
          <w:szCs w:val="18"/>
          <w:lang w:val="en-CA"/>
        </w:rPr>
        <w:t>月</w:t>
      </w:r>
      <w:r w:rsidRPr="00953281">
        <w:rPr>
          <w:szCs w:val="18"/>
          <w:lang w:val="en-CA"/>
        </w:rPr>
        <w:t>11</w:t>
      </w:r>
      <w:r w:rsidRPr="00953281">
        <w:rPr>
          <w:szCs w:val="18"/>
          <w:lang w:val="en-CA"/>
        </w:rPr>
        <w:t>日在伦敦签署，第</w:t>
      </w:r>
      <w:r w:rsidRPr="00953281">
        <w:rPr>
          <w:szCs w:val="18"/>
          <w:lang w:val="en-CA"/>
        </w:rPr>
        <w:t>3</w:t>
      </w:r>
      <w:r w:rsidRPr="00953281">
        <w:rPr>
          <w:szCs w:val="18"/>
          <w:lang w:val="en-CA"/>
        </w:rPr>
        <w:t>条第</w:t>
      </w:r>
      <w:r w:rsidRPr="00953281">
        <w:rPr>
          <w:szCs w:val="18"/>
          <w:lang w:val="en-CA"/>
        </w:rPr>
        <w:t>1</w:t>
      </w:r>
      <w:r w:rsidRPr="00953281">
        <w:rPr>
          <w:szCs w:val="18"/>
          <w:lang w:val="en-CA"/>
        </w:rPr>
        <w:t>款，可查阅</w:t>
      </w:r>
      <w:r w:rsidRPr="00953281">
        <w:rPr>
          <w:szCs w:val="18"/>
          <w:lang w:val="en-CA"/>
        </w:rPr>
        <w:t>&lt;http://</w:t>
      </w:r>
      <w:r>
        <w:rPr>
          <w:szCs w:val="18"/>
          <w:lang w:val="en-CA"/>
        </w:rPr>
        <w:t>investmentpolicyhub.unctad.org/</w:t>
      </w:r>
      <w:r w:rsidRPr="00953281">
        <w:rPr>
          <w:szCs w:val="18"/>
          <w:lang w:val="en-CA"/>
        </w:rPr>
        <w:t>Download/</w:t>
      </w:r>
      <w:r>
        <w:rPr>
          <w:rFonts w:hint="eastAsia"/>
          <w:szCs w:val="18"/>
          <w:lang w:val="en-CA"/>
        </w:rPr>
        <w:t xml:space="preserve"> </w:t>
      </w:r>
      <w:r w:rsidRPr="00953281">
        <w:rPr>
          <w:szCs w:val="18"/>
          <w:lang w:val="en-CA"/>
        </w:rPr>
        <w:t>TreatyFile/126</w:t>
      </w:r>
      <w:r w:rsidRPr="00953281">
        <w:rPr>
          <w:rFonts w:hint="eastAsia"/>
          <w:szCs w:val="18"/>
          <w:lang w:val="en-CA"/>
        </w:rPr>
        <w:t xml:space="preserve"> </w:t>
      </w:r>
      <w:r w:rsidRPr="00953281">
        <w:rPr>
          <w:szCs w:val="18"/>
          <w:lang w:val="en-CA"/>
        </w:rPr>
        <w:t>&gt;</w:t>
      </w:r>
      <w:r w:rsidRPr="00953281">
        <w:rPr>
          <w:szCs w:val="18"/>
          <w:lang w:val="en-CA"/>
        </w:rPr>
        <w:t>。</w:t>
      </w:r>
    </w:p>
  </w:footnote>
  <w:footnote w:id="47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《中华人民共和国政府和秘鲁共和国政府关于鼓励和相互保护投资协定》，</w:t>
      </w:r>
      <w:r w:rsidRPr="00953281">
        <w:rPr>
          <w:szCs w:val="18"/>
          <w:lang w:val="en-CA"/>
        </w:rPr>
        <w:t>1994</w:t>
      </w:r>
      <w:r w:rsidRPr="00953281">
        <w:rPr>
          <w:szCs w:val="18"/>
          <w:lang w:val="en-CA"/>
        </w:rPr>
        <w:t>年</w:t>
      </w:r>
      <w:r w:rsidRPr="00953281">
        <w:rPr>
          <w:szCs w:val="18"/>
          <w:lang w:val="en-CA"/>
        </w:rPr>
        <w:t>6</w:t>
      </w:r>
      <w:r w:rsidRPr="00953281">
        <w:rPr>
          <w:szCs w:val="18"/>
          <w:lang w:val="en-CA"/>
        </w:rPr>
        <w:t>月</w:t>
      </w:r>
      <w:r w:rsidRPr="00953281">
        <w:rPr>
          <w:szCs w:val="18"/>
          <w:lang w:val="en-CA"/>
        </w:rPr>
        <w:t>9</w:t>
      </w:r>
      <w:r w:rsidRPr="00953281">
        <w:rPr>
          <w:szCs w:val="18"/>
          <w:lang w:val="en-CA"/>
        </w:rPr>
        <w:t>日在北京签署，第三条第一款和第三条第二款，可查阅</w:t>
      </w:r>
      <w:r w:rsidRPr="00953281">
        <w:rPr>
          <w:szCs w:val="18"/>
          <w:lang w:val="en-CA"/>
        </w:rPr>
        <w:t>&lt;http://investmentpolicyhub.unctad.org/IIA/</w:t>
      </w:r>
      <w:r w:rsidRPr="00953281">
        <w:rPr>
          <w:rFonts w:hint="eastAsia"/>
          <w:szCs w:val="18"/>
          <w:lang w:val="en-CA"/>
        </w:rPr>
        <w:t xml:space="preserve"> </w:t>
      </w:r>
      <w:r w:rsidRPr="00953281">
        <w:rPr>
          <w:szCs w:val="18"/>
          <w:lang w:val="en-CA"/>
        </w:rPr>
        <w:t>country/42/treaty/954&gt;</w:t>
      </w:r>
      <w:r w:rsidRPr="00953281">
        <w:rPr>
          <w:szCs w:val="18"/>
          <w:lang w:val="en-CA"/>
        </w:rPr>
        <w:t>。</w:t>
      </w:r>
    </w:p>
  </w:footnote>
  <w:footnote w:id="47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《关于相互促进和保护投资的协定》，</w:t>
      </w:r>
      <w:r w:rsidRPr="00953281">
        <w:rPr>
          <w:szCs w:val="18"/>
          <w:lang w:val="en-CA"/>
        </w:rPr>
        <w:t>1991</w:t>
      </w:r>
      <w:r w:rsidRPr="00953281">
        <w:rPr>
          <w:szCs w:val="18"/>
          <w:lang w:val="en-CA"/>
        </w:rPr>
        <w:t>年</w:t>
      </w:r>
      <w:r w:rsidRPr="00953281">
        <w:rPr>
          <w:szCs w:val="18"/>
          <w:lang w:val="en-CA"/>
        </w:rPr>
        <w:t>10</w:t>
      </w:r>
      <w:r w:rsidRPr="00953281">
        <w:rPr>
          <w:szCs w:val="18"/>
          <w:lang w:val="en-CA"/>
        </w:rPr>
        <w:t>月</w:t>
      </w:r>
      <w:r w:rsidRPr="00953281">
        <w:rPr>
          <w:szCs w:val="18"/>
          <w:lang w:val="en-CA"/>
        </w:rPr>
        <w:t>3</w:t>
      </w:r>
      <w:r w:rsidRPr="00953281">
        <w:rPr>
          <w:szCs w:val="18"/>
          <w:lang w:val="en-CA"/>
        </w:rPr>
        <w:t>日在布宜诺斯艾利斯签署，联合国</w:t>
      </w:r>
      <w:r w:rsidRPr="00953281">
        <w:rPr>
          <w:rFonts w:hint="eastAsia"/>
          <w:szCs w:val="18"/>
          <w:lang w:val="en-CA"/>
        </w:rPr>
        <w:t>,</w:t>
      </w:r>
      <w:r w:rsidRPr="00953281">
        <w:rPr>
          <w:szCs w:val="18"/>
          <w:lang w:val="en-CA"/>
        </w:rPr>
        <w:t>《条约汇编》，第</w:t>
      </w:r>
      <w:r w:rsidRPr="00953281">
        <w:rPr>
          <w:szCs w:val="18"/>
          <w:lang w:val="en-CA"/>
        </w:rPr>
        <w:t>1699</w:t>
      </w:r>
      <w:r w:rsidRPr="00953281">
        <w:rPr>
          <w:szCs w:val="18"/>
          <w:lang w:val="en-CA"/>
        </w:rPr>
        <w:t>卷，第</w:t>
      </w:r>
      <w:r w:rsidRPr="00953281">
        <w:rPr>
          <w:szCs w:val="18"/>
          <w:lang w:val="en-CA"/>
        </w:rPr>
        <w:t>187</w:t>
      </w:r>
      <w:r w:rsidRPr="00953281">
        <w:rPr>
          <w:szCs w:val="18"/>
          <w:lang w:val="en-CA"/>
        </w:rPr>
        <w:t>页。</w:t>
      </w:r>
    </w:p>
  </w:footnote>
  <w:footnote w:id="47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《北美自由贸易协定》规定了在投资的</w:t>
      </w:r>
      <w:r w:rsidRPr="00953281">
        <w:rPr>
          <w:rFonts w:hint="eastAsia"/>
          <w:szCs w:val="18"/>
          <w:lang w:val="en-CA"/>
        </w:rPr>
        <w:t>“</w:t>
      </w:r>
      <w:r w:rsidRPr="00953281">
        <w:rPr>
          <w:szCs w:val="18"/>
          <w:lang w:val="en-CA"/>
        </w:rPr>
        <w:t>设立、获取、扩大、管理、开展、运营、出售或其他处置</w:t>
      </w:r>
      <w:r w:rsidRPr="00953281">
        <w:rPr>
          <w:rFonts w:hint="eastAsia"/>
          <w:szCs w:val="18"/>
          <w:lang w:val="en-CA"/>
        </w:rPr>
        <w:t>”</w:t>
      </w:r>
      <w:r w:rsidRPr="00953281">
        <w:rPr>
          <w:szCs w:val="18"/>
          <w:lang w:val="en-CA"/>
        </w:rPr>
        <w:t>方面的最惠国待遇。《北美自由贸易协定》，第</w:t>
      </w:r>
      <w:r w:rsidRPr="00953281">
        <w:rPr>
          <w:szCs w:val="18"/>
          <w:lang w:val="en-CA"/>
        </w:rPr>
        <w:t>1103</w:t>
      </w:r>
      <w:r w:rsidRPr="00953281">
        <w:rPr>
          <w:szCs w:val="18"/>
          <w:lang w:val="en-CA"/>
        </w:rPr>
        <w:t>条。</w:t>
      </w:r>
    </w:p>
  </w:footnote>
  <w:footnote w:id="47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A3609D">
        <w:rPr>
          <w:rFonts w:ascii="楷体_GB2312" w:eastAsia="楷体_GB2312"/>
          <w:szCs w:val="18"/>
          <w:lang w:val="en-CA"/>
        </w:rPr>
        <w:t>同上</w:t>
      </w:r>
      <w:r w:rsidRPr="00953281">
        <w:rPr>
          <w:szCs w:val="18"/>
          <w:lang w:val="en-CA"/>
        </w:rPr>
        <w:t>。</w:t>
      </w:r>
    </w:p>
  </w:footnote>
  <w:footnote w:id="47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A3609D">
        <w:rPr>
          <w:rFonts w:ascii="楷体_GB2312" w:eastAsia="楷体_GB2312"/>
          <w:szCs w:val="18"/>
          <w:lang w:val="en-CA"/>
        </w:rPr>
        <w:t>同上</w:t>
      </w:r>
      <w:r w:rsidRPr="00953281">
        <w:rPr>
          <w:szCs w:val="18"/>
          <w:lang w:val="en-CA"/>
        </w:rPr>
        <w:t>。</w:t>
      </w:r>
    </w:p>
  </w:footnote>
  <w:footnote w:id="47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《土耳其共和国与土库曼斯坦关于相互促进和保护投资的协定》，</w:t>
      </w:r>
      <w:r w:rsidRPr="00953281">
        <w:rPr>
          <w:szCs w:val="18"/>
          <w:lang w:val="en-CA"/>
        </w:rPr>
        <w:t>1992</w:t>
      </w:r>
      <w:r w:rsidRPr="00953281">
        <w:rPr>
          <w:szCs w:val="18"/>
          <w:lang w:val="en-CA"/>
        </w:rPr>
        <w:t>年</w:t>
      </w:r>
      <w:r w:rsidRPr="00953281">
        <w:rPr>
          <w:szCs w:val="18"/>
          <w:lang w:val="en-CA"/>
        </w:rPr>
        <w:t>5</w:t>
      </w:r>
      <w:r w:rsidRPr="00953281">
        <w:rPr>
          <w:szCs w:val="18"/>
          <w:lang w:val="en-CA"/>
        </w:rPr>
        <w:t>月</w:t>
      </w:r>
      <w:r w:rsidRPr="00953281">
        <w:rPr>
          <w:szCs w:val="18"/>
          <w:lang w:val="en-CA"/>
        </w:rPr>
        <w:t>2</w:t>
      </w:r>
      <w:r w:rsidRPr="00953281">
        <w:rPr>
          <w:szCs w:val="18"/>
          <w:lang w:val="en-CA"/>
        </w:rPr>
        <w:t>日在阿什哈巴德签署，第</w:t>
      </w:r>
      <w:r w:rsidRPr="00953281">
        <w:rPr>
          <w:szCs w:val="18"/>
          <w:lang w:val="en-CA"/>
        </w:rPr>
        <w:t>2</w:t>
      </w:r>
      <w:r w:rsidRPr="00953281">
        <w:rPr>
          <w:szCs w:val="18"/>
          <w:lang w:val="en-CA"/>
        </w:rPr>
        <w:t>条，可查阅</w:t>
      </w:r>
      <w:r w:rsidRPr="00953281">
        <w:rPr>
          <w:szCs w:val="18"/>
          <w:lang w:val="en-CA"/>
        </w:rPr>
        <w:t>&lt;http://investorstatelawguide.com/documents/documents/BIT-0335%20-%20</w:t>
      </w:r>
      <w:r w:rsidRPr="00953281">
        <w:rPr>
          <w:rFonts w:hint="eastAsia"/>
          <w:szCs w:val="18"/>
          <w:lang w:val="en-CA"/>
        </w:rPr>
        <w:t xml:space="preserve"> </w:t>
      </w:r>
      <w:r w:rsidRPr="00953281">
        <w:rPr>
          <w:szCs w:val="18"/>
          <w:lang w:val="en-CA"/>
        </w:rPr>
        <w:t>Turkey%20-%20Turkmenistan%20(1992)%20[English].pdf&gt;</w:t>
      </w:r>
      <w:r w:rsidRPr="00953281">
        <w:rPr>
          <w:szCs w:val="18"/>
          <w:lang w:val="en-CA"/>
        </w:rPr>
        <w:t>。</w:t>
      </w:r>
    </w:p>
  </w:footnote>
  <w:footnote w:id="47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《约旦哈希姆王国政府与意大利共和国政府关于促进和保护投资的协定》，</w:t>
      </w:r>
      <w:r w:rsidRPr="00953281">
        <w:rPr>
          <w:szCs w:val="18"/>
          <w:lang w:val="en-CA"/>
        </w:rPr>
        <w:t>1996</w:t>
      </w:r>
      <w:r w:rsidRPr="00953281">
        <w:rPr>
          <w:szCs w:val="18"/>
          <w:lang w:val="en-CA"/>
        </w:rPr>
        <w:t>年</w:t>
      </w:r>
      <w:r w:rsidRPr="00953281">
        <w:rPr>
          <w:szCs w:val="18"/>
          <w:lang w:val="en-CA"/>
        </w:rPr>
        <w:t>7</w:t>
      </w:r>
      <w:r w:rsidRPr="00953281">
        <w:rPr>
          <w:szCs w:val="18"/>
          <w:lang w:val="en-CA"/>
        </w:rPr>
        <w:t>月</w:t>
      </w:r>
      <w:r w:rsidRPr="00953281">
        <w:rPr>
          <w:szCs w:val="18"/>
          <w:lang w:val="en-CA"/>
        </w:rPr>
        <w:t>21</w:t>
      </w:r>
      <w:r w:rsidRPr="00953281">
        <w:rPr>
          <w:szCs w:val="18"/>
          <w:lang w:val="en-CA"/>
        </w:rPr>
        <w:t>日在安曼签署，可查阅</w:t>
      </w:r>
      <w:r w:rsidRPr="00953281">
        <w:rPr>
          <w:szCs w:val="18"/>
          <w:lang w:val="en-CA"/>
        </w:rPr>
        <w:t>&lt;http://investmentpolicyhub.unctad.org/Download/TreatyFile/1681&gt;</w:t>
      </w:r>
      <w:r w:rsidRPr="00953281">
        <w:rPr>
          <w:szCs w:val="18"/>
          <w:lang w:val="en-CA"/>
        </w:rPr>
        <w:t>。</w:t>
      </w:r>
    </w:p>
  </w:footnote>
  <w:footnote w:id="47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《大不列颠及北爱尔兰联合王国政府与阿根廷共和国政府关于促进和保护投资的协定》，</w:t>
      </w:r>
      <w:r w:rsidRPr="00953281">
        <w:rPr>
          <w:szCs w:val="18"/>
          <w:lang w:val="en-CA"/>
        </w:rPr>
        <w:t>1990</w:t>
      </w:r>
      <w:r w:rsidRPr="00953281">
        <w:rPr>
          <w:szCs w:val="18"/>
          <w:lang w:val="en-CA"/>
        </w:rPr>
        <w:t>年</w:t>
      </w:r>
      <w:r w:rsidRPr="00953281">
        <w:rPr>
          <w:szCs w:val="18"/>
          <w:lang w:val="en-CA"/>
        </w:rPr>
        <w:t>12</w:t>
      </w:r>
      <w:r w:rsidRPr="00953281">
        <w:rPr>
          <w:szCs w:val="18"/>
          <w:lang w:val="en-CA"/>
        </w:rPr>
        <w:t>月</w:t>
      </w:r>
      <w:r w:rsidRPr="00953281">
        <w:rPr>
          <w:szCs w:val="18"/>
          <w:lang w:val="en-CA"/>
        </w:rPr>
        <w:t>11</w:t>
      </w:r>
      <w:r w:rsidRPr="00953281">
        <w:rPr>
          <w:szCs w:val="18"/>
          <w:lang w:val="en-CA"/>
        </w:rPr>
        <w:t>日在伦敦签署，第</w:t>
      </w:r>
      <w:r w:rsidRPr="00953281">
        <w:rPr>
          <w:szCs w:val="18"/>
          <w:lang w:val="en-CA"/>
        </w:rPr>
        <w:t>7</w:t>
      </w:r>
      <w:r w:rsidRPr="00953281">
        <w:rPr>
          <w:szCs w:val="18"/>
          <w:lang w:val="en-CA"/>
        </w:rPr>
        <w:t>条，可查阅</w:t>
      </w:r>
      <w:r w:rsidRPr="00953281">
        <w:rPr>
          <w:szCs w:val="18"/>
          <w:lang w:val="en-CA"/>
        </w:rPr>
        <w:t>&lt;http://investmentpolicyhub.unctad.org/Download/</w:t>
      </w:r>
      <w:r w:rsidRPr="00953281">
        <w:rPr>
          <w:rFonts w:hint="eastAsia"/>
          <w:szCs w:val="18"/>
          <w:lang w:val="en-CA"/>
        </w:rPr>
        <w:t xml:space="preserve"> </w:t>
      </w:r>
      <w:r w:rsidRPr="00953281">
        <w:rPr>
          <w:szCs w:val="18"/>
          <w:lang w:val="en-CA"/>
        </w:rPr>
        <w:t>TreatyFile/126&gt;</w:t>
      </w:r>
      <w:r w:rsidRPr="00953281">
        <w:rPr>
          <w:szCs w:val="18"/>
          <w:lang w:val="en-CA"/>
        </w:rPr>
        <w:t>。见经合组织，</w:t>
      </w:r>
      <w:r w:rsidRPr="00953281">
        <w:rPr>
          <w:rFonts w:hint="eastAsia"/>
          <w:szCs w:val="18"/>
          <w:lang w:val="en-CA"/>
        </w:rPr>
        <w:t>“</w:t>
      </w:r>
      <w:r w:rsidRPr="00953281">
        <w:rPr>
          <w:szCs w:val="18"/>
          <w:lang w:val="en-CA"/>
        </w:rPr>
        <w:t>国际法中的最惠国待遇</w:t>
      </w:r>
      <w:r w:rsidRPr="00953281">
        <w:rPr>
          <w:rFonts w:hint="eastAsia"/>
          <w:szCs w:val="18"/>
          <w:lang w:val="en-CA"/>
        </w:rPr>
        <w:t>”</w:t>
      </w:r>
      <w:r w:rsidRPr="00953281">
        <w:rPr>
          <w:szCs w:val="18"/>
          <w:lang w:val="en-CA"/>
        </w:rPr>
        <w:t>，《经合组织国际投资工作文件》，第二卷</w:t>
      </w:r>
      <w:r w:rsidRPr="00953281">
        <w:rPr>
          <w:szCs w:val="18"/>
          <w:lang w:val="en-CA"/>
        </w:rPr>
        <w:t>(2004</w:t>
      </w:r>
      <w:r w:rsidRPr="00953281">
        <w:rPr>
          <w:szCs w:val="18"/>
          <w:lang w:val="en-CA"/>
        </w:rPr>
        <w:t>年</w:t>
      </w:r>
      <w:r w:rsidRPr="00953281">
        <w:rPr>
          <w:szCs w:val="18"/>
          <w:lang w:val="en-CA"/>
        </w:rPr>
        <w:t>)</w:t>
      </w:r>
      <w:r w:rsidRPr="00953281">
        <w:rPr>
          <w:szCs w:val="18"/>
          <w:lang w:val="en-CA"/>
        </w:rPr>
        <w:t>，第</w:t>
      </w:r>
      <w:r w:rsidRPr="00953281">
        <w:rPr>
          <w:szCs w:val="18"/>
          <w:lang w:val="en-CA"/>
        </w:rPr>
        <w:t>5</w:t>
      </w:r>
      <w:r w:rsidRPr="00953281">
        <w:rPr>
          <w:szCs w:val="18"/>
          <w:lang w:val="en-CA"/>
        </w:rPr>
        <w:t>页。</w:t>
      </w:r>
    </w:p>
  </w:footnote>
  <w:footnote w:id="48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见下文第</w:t>
      </w:r>
      <w:r w:rsidRPr="00953281">
        <w:rPr>
          <w:szCs w:val="18"/>
          <w:lang w:val="en-CA"/>
        </w:rPr>
        <w:t>174</w:t>
      </w:r>
      <w:r w:rsidRPr="00953281">
        <w:rPr>
          <w:szCs w:val="18"/>
          <w:lang w:val="en-CA"/>
        </w:rPr>
        <w:t>至</w:t>
      </w:r>
      <w:r w:rsidRPr="00953281">
        <w:rPr>
          <w:szCs w:val="18"/>
          <w:lang w:val="en-CA"/>
        </w:rPr>
        <w:t>193</w:t>
      </w:r>
      <w:r w:rsidRPr="00953281">
        <w:rPr>
          <w:szCs w:val="18"/>
          <w:lang w:val="en-CA"/>
        </w:rPr>
        <w:t>段。</w:t>
      </w:r>
    </w:p>
  </w:footnote>
  <w:footnote w:id="48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《能源宪章条约》</w:t>
      </w:r>
      <w:r w:rsidRPr="00953281">
        <w:rPr>
          <w:szCs w:val="18"/>
          <w:lang w:val="en-CA"/>
        </w:rPr>
        <w:t>(</w:t>
      </w:r>
      <w:r w:rsidRPr="00953281">
        <w:rPr>
          <w:szCs w:val="18"/>
          <w:lang w:val="en-CA"/>
        </w:rPr>
        <w:t>《欧洲能源宪章会议最终法案》附件一</w:t>
      </w:r>
      <w:r w:rsidRPr="00953281">
        <w:rPr>
          <w:szCs w:val="18"/>
          <w:lang w:val="en-CA"/>
        </w:rPr>
        <w:t>)</w:t>
      </w:r>
      <w:r w:rsidRPr="00953281">
        <w:rPr>
          <w:szCs w:val="18"/>
          <w:lang w:val="en-CA"/>
        </w:rPr>
        <w:t>，</w:t>
      </w:r>
      <w:r w:rsidRPr="00953281">
        <w:rPr>
          <w:szCs w:val="18"/>
          <w:lang w:val="en-CA"/>
        </w:rPr>
        <w:t>1994</w:t>
      </w:r>
      <w:r w:rsidRPr="00953281">
        <w:rPr>
          <w:szCs w:val="18"/>
          <w:lang w:val="en-CA"/>
        </w:rPr>
        <w:t>年</w:t>
      </w:r>
      <w:r w:rsidRPr="00953281">
        <w:rPr>
          <w:szCs w:val="18"/>
          <w:lang w:val="en-CA"/>
        </w:rPr>
        <w:t>12</w:t>
      </w:r>
      <w:r w:rsidRPr="00953281">
        <w:rPr>
          <w:szCs w:val="18"/>
          <w:lang w:val="en-CA"/>
        </w:rPr>
        <w:t>月</w:t>
      </w:r>
      <w:r w:rsidRPr="00953281">
        <w:rPr>
          <w:szCs w:val="18"/>
          <w:lang w:val="en-CA"/>
        </w:rPr>
        <w:t>17</w:t>
      </w:r>
      <w:r w:rsidRPr="00953281">
        <w:rPr>
          <w:szCs w:val="18"/>
          <w:lang w:val="en-CA"/>
        </w:rPr>
        <w:t>日于里斯本签署，联合国</w:t>
      </w:r>
      <w:r w:rsidRPr="00953281">
        <w:rPr>
          <w:rFonts w:hint="eastAsia"/>
          <w:szCs w:val="18"/>
          <w:lang w:val="en-CA"/>
        </w:rPr>
        <w:t>,</w:t>
      </w:r>
      <w:r w:rsidRPr="00953281">
        <w:rPr>
          <w:rFonts w:eastAsia="楷体"/>
          <w:szCs w:val="18"/>
          <w:lang w:val="en-CA"/>
        </w:rPr>
        <w:t>《</w:t>
      </w:r>
      <w:r w:rsidRPr="00953281">
        <w:rPr>
          <w:rFonts w:ascii="Time New Roman" w:hAnsi="Time New Roman"/>
          <w:szCs w:val="18"/>
          <w:lang w:val="en-CA"/>
        </w:rPr>
        <w:t>条约汇编</w:t>
      </w:r>
      <w:r w:rsidRPr="00953281">
        <w:rPr>
          <w:rFonts w:eastAsia="楷体"/>
          <w:szCs w:val="18"/>
          <w:lang w:val="en-CA"/>
        </w:rPr>
        <w:t>》，</w:t>
      </w:r>
      <w:r w:rsidRPr="00953281">
        <w:rPr>
          <w:szCs w:val="18"/>
          <w:lang w:val="en-CA"/>
        </w:rPr>
        <w:t>第</w:t>
      </w:r>
      <w:r w:rsidRPr="00953281">
        <w:rPr>
          <w:szCs w:val="18"/>
          <w:lang w:val="en-CA"/>
        </w:rPr>
        <w:t>2080</w:t>
      </w:r>
      <w:r w:rsidRPr="00953281">
        <w:rPr>
          <w:szCs w:val="18"/>
          <w:lang w:val="en-CA"/>
        </w:rPr>
        <w:t>卷，第</w:t>
      </w:r>
      <w:r w:rsidRPr="00953281">
        <w:rPr>
          <w:szCs w:val="18"/>
          <w:lang w:val="en-CA"/>
        </w:rPr>
        <w:t>95</w:t>
      </w:r>
      <w:r w:rsidRPr="00953281">
        <w:rPr>
          <w:szCs w:val="18"/>
          <w:lang w:val="en-CA"/>
        </w:rPr>
        <w:t>页，第十条第</w:t>
      </w:r>
      <w:r w:rsidRPr="00953281">
        <w:rPr>
          <w:szCs w:val="18"/>
          <w:lang w:val="en-CA"/>
        </w:rPr>
        <w:t>7</w:t>
      </w:r>
      <w:r w:rsidRPr="00953281">
        <w:rPr>
          <w:szCs w:val="18"/>
          <w:lang w:val="en-CA"/>
        </w:rPr>
        <w:t>款。</w:t>
      </w:r>
    </w:p>
  </w:footnote>
  <w:footnote w:id="48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3E2764">
        <w:rPr>
          <w:rStyle w:val="aff0"/>
          <w:rFonts w:eastAsia="楷体"/>
          <w:b w:val="0"/>
          <w:bCs w:val="0"/>
          <w:i w:val="0"/>
          <w:iCs w:val="0"/>
          <w:szCs w:val="18"/>
          <w:lang w:val="en-CA"/>
        </w:rPr>
        <w:t>Salini Costruttori S.p.A.</w:t>
      </w:r>
      <w:r w:rsidRPr="003E2764">
        <w:rPr>
          <w:rStyle w:val="aff0"/>
          <w:rFonts w:eastAsia="楷体"/>
          <w:b w:val="0"/>
          <w:bCs w:val="0"/>
          <w:i w:val="0"/>
          <w:iCs w:val="0"/>
          <w:szCs w:val="18"/>
          <w:lang w:val="en-CA"/>
        </w:rPr>
        <w:t>和</w:t>
      </w:r>
      <w:r w:rsidRPr="003E2764">
        <w:rPr>
          <w:rStyle w:val="aff0"/>
          <w:rFonts w:eastAsia="楷体"/>
          <w:b w:val="0"/>
          <w:bCs w:val="0"/>
          <w:i w:val="0"/>
          <w:iCs w:val="0"/>
          <w:szCs w:val="18"/>
          <w:lang w:val="en-CA"/>
        </w:rPr>
        <w:t>Italstrade S.p.A.</w:t>
      </w:r>
      <w:r w:rsidRPr="003E2764">
        <w:rPr>
          <w:rStyle w:val="aff0"/>
          <w:rFonts w:eastAsia="楷体"/>
          <w:b w:val="0"/>
          <w:bCs w:val="0"/>
          <w:i w:val="0"/>
          <w:iCs w:val="0"/>
          <w:szCs w:val="18"/>
          <w:lang w:val="en-CA"/>
        </w:rPr>
        <w:t>诉</w:t>
      </w:r>
      <w:r w:rsidRPr="003E2764">
        <w:rPr>
          <w:rStyle w:val="aff0"/>
          <w:rFonts w:eastAsia="楷体" w:hint="eastAsia"/>
          <w:b w:val="0"/>
          <w:bCs w:val="0"/>
          <w:i w:val="0"/>
          <w:iCs w:val="0"/>
          <w:szCs w:val="18"/>
          <w:lang w:val="en-CA"/>
        </w:rPr>
        <w:t>摩洛哥</w:t>
      </w:r>
      <w:r w:rsidRPr="003E2764">
        <w:rPr>
          <w:rStyle w:val="aff0"/>
          <w:rFonts w:eastAsia="楷体"/>
          <w:b w:val="0"/>
          <w:bCs w:val="0"/>
          <w:i w:val="0"/>
          <w:iCs w:val="0"/>
          <w:szCs w:val="18"/>
          <w:lang w:val="en-CA"/>
        </w:rPr>
        <w:t>王国案</w:t>
      </w:r>
      <w:r w:rsidRPr="003E2764">
        <w:rPr>
          <w:rStyle w:val="aff0"/>
          <w:b w:val="0"/>
          <w:bCs w:val="0"/>
          <w:i w:val="0"/>
          <w:iCs w:val="0"/>
          <w:szCs w:val="18"/>
          <w:lang w:val="en-CA"/>
        </w:rPr>
        <w:t>，</w:t>
      </w:r>
      <w:r w:rsidRPr="00953281">
        <w:rPr>
          <w:szCs w:val="18"/>
          <w:lang w:val="en-CA"/>
        </w:rPr>
        <w:t>关于管辖权的裁决，国际投资争端解决中心第</w:t>
      </w:r>
      <w:r w:rsidRPr="00953281">
        <w:rPr>
          <w:rStyle w:val="caps"/>
          <w:szCs w:val="18"/>
          <w:lang w:val="en-CA"/>
        </w:rPr>
        <w:t>ARB/00/4</w:t>
      </w:r>
      <w:r w:rsidRPr="00953281">
        <w:rPr>
          <w:szCs w:val="18"/>
          <w:lang w:val="en-CA"/>
        </w:rPr>
        <w:t>号案件，</w:t>
      </w:r>
      <w:r w:rsidRPr="00953281">
        <w:rPr>
          <w:rFonts w:eastAsia="楷体"/>
          <w:szCs w:val="18"/>
          <w:lang w:val="en-CA"/>
        </w:rPr>
        <w:t>第</w:t>
      </w:r>
      <w:r w:rsidRPr="00953281">
        <w:rPr>
          <w:rFonts w:hint="eastAsia"/>
          <w:szCs w:val="18"/>
          <w:lang w:val="en-CA"/>
        </w:rPr>
        <w:t>52</w:t>
      </w:r>
      <w:r w:rsidRPr="00953281">
        <w:rPr>
          <w:rFonts w:eastAsia="楷体"/>
          <w:szCs w:val="18"/>
          <w:lang w:val="en-CA"/>
        </w:rPr>
        <w:t>段</w:t>
      </w:r>
      <w:r w:rsidRPr="00953281">
        <w:rPr>
          <w:szCs w:val="18"/>
          <w:lang w:val="en-CA"/>
        </w:rPr>
        <w:t>；及近期的</w:t>
      </w:r>
      <w:r w:rsidRPr="00953281">
        <w:rPr>
          <w:rFonts w:eastAsia="楷体"/>
          <w:szCs w:val="18"/>
          <w:lang w:val="en-CA"/>
        </w:rPr>
        <w:t>渣打银行诉坦桑尼亚联合共和国案</w:t>
      </w:r>
      <w:r w:rsidRPr="00953281">
        <w:rPr>
          <w:szCs w:val="18"/>
          <w:lang w:val="en-CA"/>
        </w:rPr>
        <w:t>，裁决，国际投资争端解决中心第</w:t>
      </w:r>
      <w:r w:rsidRPr="00953281">
        <w:rPr>
          <w:szCs w:val="18"/>
          <w:lang w:val="en-CA"/>
        </w:rPr>
        <w:t>ARB/10/12</w:t>
      </w:r>
      <w:r w:rsidRPr="00953281">
        <w:rPr>
          <w:szCs w:val="18"/>
          <w:lang w:val="en-CA"/>
        </w:rPr>
        <w:t>号案件，</w:t>
      </w:r>
      <w:r w:rsidRPr="00953281">
        <w:rPr>
          <w:szCs w:val="18"/>
          <w:lang w:val="en-CA"/>
        </w:rPr>
        <w:t>2012</w:t>
      </w:r>
      <w:r w:rsidRPr="00953281">
        <w:rPr>
          <w:szCs w:val="18"/>
          <w:lang w:val="en-CA"/>
        </w:rPr>
        <w:t>年</w:t>
      </w:r>
      <w:r w:rsidRPr="00953281">
        <w:rPr>
          <w:szCs w:val="18"/>
          <w:lang w:val="en-CA"/>
        </w:rPr>
        <w:t>11</w:t>
      </w:r>
      <w:r w:rsidRPr="00953281">
        <w:rPr>
          <w:szCs w:val="18"/>
          <w:lang w:val="en-CA"/>
        </w:rPr>
        <w:t>月</w:t>
      </w:r>
      <w:r w:rsidRPr="00953281">
        <w:rPr>
          <w:szCs w:val="18"/>
          <w:lang w:val="en-CA"/>
        </w:rPr>
        <w:t>2</w:t>
      </w:r>
      <w:r w:rsidRPr="00953281">
        <w:rPr>
          <w:szCs w:val="18"/>
          <w:lang w:val="en-CA"/>
        </w:rPr>
        <w:t>日。</w:t>
      </w:r>
    </w:p>
  </w:footnote>
  <w:footnote w:id="48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见第五条草案评注，</w:t>
      </w:r>
      <w:r w:rsidRPr="00953281">
        <w:rPr>
          <w:szCs w:val="18"/>
          <w:lang w:val="en-CA" w:bidi="en-US"/>
        </w:rPr>
        <w:t>《</w:t>
      </w:r>
      <w:r w:rsidRPr="00953281">
        <w:rPr>
          <w:szCs w:val="18"/>
          <w:lang w:val="en-CA" w:bidi="en-US"/>
        </w:rPr>
        <w:t>1978</w:t>
      </w:r>
      <w:r w:rsidRPr="00953281">
        <w:rPr>
          <w:rFonts w:hint="eastAsia"/>
          <w:szCs w:val="18"/>
          <w:lang w:val="en-CA" w:bidi="en-US"/>
        </w:rPr>
        <w:t>年……</w:t>
      </w:r>
      <w:r w:rsidRPr="00953281">
        <w:rPr>
          <w:szCs w:val="18"/>
          <w:lang w:val="en-CA" w:bidi="en-US"/>
        </w:rPr>
        <w:t>年鉴》</w:t>
      </w:r>
      <w:r w:rsidRPr="00953281">
        <w:rPr>
          <w:rFonts w:eastAsia="楷体"/>
          <w:szCs w:val="18"/>
          <w:lang w:val="en-CA" w:bidi="en-US"/>
        </w:rPr>
        <w:t>，</w:t>
      </w:r>
      <w:r w:rsidRPr="00953281">
        <w:rPr>
          <w:rFonts w:ascii="Time New Roman" w:hAnsi="Time New Roman"/>
          <w:szCs w:val="18"/>
          <w:lang w:val="en-CA" w:bidi="en-US"/>
        </w:rPr>
        <w:t>第二卷</w:t>
      </w:r>
      <w:r w:rsidRPr="00953281">
        <w:rPr>
          <w:rFonts w:ascii="Time New Roman" w:hAnsi="Time New Roman"/>
          <w:szCs w:val="18"/>
          <w:lang w:val="en-CA" w:bidi="en-US"/>
        </w:rPr>
        <w:t>(</w:t>
      </w:r>
      <w:r w:rsidRPr="00953281">
        <w:rPr>
          <w:rFonts w:ascii="Time New Roman" w:hAnsi="Time New Roman"/>
          <w:szCs w:val="18"/>
          <w:lang w:val="en-CA" w:bidi="en-US"/>
        </w:rPr>
        <w:t>第二部分</w:t>
      </w:r>
      <w:r w:rsidRPr="00953281">
        <w:rPr>
          <w:rFonts w:ascii="Time New Roman" w:hAnsi="Time New Roman"/>
          <w:szCs w:val="18"/>
          <w:lang w:val="en-CA" w:bidi="en-US"/>
        </w:rPr>
        <w:t>)</w:t>
      </w:r>
      <w:r w:rsidRPr="00953281">
        <w:rPr>
          <w:rFonts w:ascii="Time New Roman" w:hAnsi="Time New Roman"/>
          <w:szCs w:val="18"/>
          <w:lang w:val="en-CA" w:bidi="en-US"/>
        </w:rPr>
        <w:t>，第</w:t>
      </w:r>
      <w:r w:rsidRPr="00953281">
        <w:rPr>
          <w:szCs w:val="18"/>
          <w:lang w:val="en-CA" w:bidi="en-US"/>
        </w:rPr>
        <w:t>21</w:t>
      </w:r>
      <w:r w:rsidRPr="00953281">
        <w:rPr>
          <w:szCs w:val="18"/>
          <w:lang w:val="en-CA" w:bidi="en-US"/>
        </w:rPr>
        <w:t>页。</w:t>
      </w:r>
    </w:p>
  </w:footnote>
  <w:footnote w:id="48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1E66AC">
        <w:rPr>
          <w:rFonts w:asciiTheme="majorBidi" w:hAnsiTheme="majorBidi" w:cstheme="majorBidi"/>
          <w:szCs w:val="18"/>
          <w:lang w:val="en-CA"/>
        </w:rPr>
        <w:t xml:space="preserve">Todd Weiler, </w:t>
      </w:r>
      <w:r w:rsidRPr="001E66AC">
        <w:rPr>
          <w:rFonts w:asciiTheme="majorBidi" w:hAnsiTheme="majorBidi" w:cstheme="majorBidi"/>
          <w:i/>
          <w:iCs/>
          <w:szCs w:val="18"/>
          <w:lang w:val="en-CA"/>
        </w:rPr>
        <w:t>The Interpretation Of International Investment Law</w:t>
      </w:r>
      <w:r>
        <w:rPr>
          <w:rFonts w:asciiTheme="majorBidi" w:hAnsiTheme="majorBidi" w:cstheme="majorBidi" w:hint="eastAsia"/>
          <w:i/>
          <w:iCs/>
          <w:szCs w:val="18"/>
          <w:lang w:val="en-CA"/>
        </w:rPr>
        <w:t xml:space="preserve">: </w:t>
      </w:r>
      <w:r w:rsidRPr="001E66AC">
        <w:rPr>
          <w:rFonts w:asciiTheme="majorBidi" w:hAnsiTheme="majorBidi" w:cstheme="majorBidi"/>
          <w:i/>
          <w:iCs/>
          <w:szCs w:val="18"/>
          <w:lang w:val="en-CA"/>
        </w:rPr>
        <w:t>Equality, Discrimination, and Minimum Standards Of</w:t>
      </w:r>
      <w:r w:rsidRPr="001E66AC">
        <w:rPr>
          <w:rFonts w:asciiTheme="majorBidi" w:hAnsiTheme="majorBidi" w:cstheme="majorBidi"/>
          <w:i/>
          <w:iCs/>
          <w:szCs w:val="18"/>
        </w:rPr>
        <w:t> </w:t>
      </w:r>
      <w:r w:rsidRPr="001E66AC">
        <w:rPr>
          <w:rFonts w:asciiTheme="majorBidi" w:hAnsiTheme="majorBidi" w:cstheme="majorBidi"/>
          <w:i/>
          <w:iCs/>
          <w:szCs w:val="18"/>
          <w:lang w:val="en-CA"/>
        </w:rPr>
        <w:t xml:space="preserve">Treatment In Historical </w:t>
      </w:r>
      <w:r w:rsidRPr="001E66AC">
        <w:rPr>
          <w:rFonts w:asciiTheme="majorBidi" w:hAnsiTheme="majorBidi" w:cstheme="majorBidi"/>
          <w:i/>
          <w:iCs/>
          <w:szCs w:val="18"/>
          <w:lang w:val="en-CA" w:bidi="en-US"/>
        </w:rPr>
        <w:t>Context</w:t>
      </w:r>
      <w:r w:rsidRPr="001E66AC">
        <w:rPr>
          <w:rFonts w:asciiTheme="majorBidi" w:hAnsiTheme="majorBidi" w:cstheme="majorBidi"/>
          <w:szCs w:val="18"/>
          <w:lang w:val="en-CA" w:bidi="en-US"/>
        </w:rPr>
        <w:t xml:space="preserve"> (Leiden</w:t>
      </w:r>
      <w:r>
        <w:rPr>
          <w:rFonts w:asciiTheme="majorBidi" w:hAnsiTheme="majorBidi" w:cstheme="majorBidi" w:hint="eastAsia"/>
          <w:szCs w:val="18"/>
          <w:lang w:val="en-CA" w:bidi="en-US"/>
        </w:rPr>
        <w:t xml:space="preserve">: </w:t>
      </w:r>
      <w:r w:rsidRPr="001E66AC">
        <w:rPr>
          <w:rFonts w:asciiTheme="majorBidi" w:hAnsiTheme="majorBidi" w:cstheme="majorBidi"/>
          <w:szCs w:val="18"/>
          <w:lang w:val="en-CA" w:bidi="en-US"/>
        </w:rPr>
        <w:t>3tinus Nijhoff Publishers, 2013)</w:t>
      </w:r>
      <w:r w:rsidRPr="001E66AC">
        <w:rPr>
          <w:rFonts w:asciiTheme="majorBidi" w:hAnsiTheme="majorBidi" w:cstheme="majorBidi"/>
          <w:szCs w:val="18"/>
          <w:lang w:val="en-CA" w:bidi="en-US"/>
        </w:rPr>
        <w:t>，</w:t>
      </w:r>
      <w:r w:rsidRPr="00953281">
        <w:rPr>
          <w:szCs w:val="18"/>
          <w:lang w:val="en-CA" w:bidi="en-US"/>
        </w:rPr>
        <w:t>第</w:t>
      </w:r>
      <w:r w:rsidRPr="00953281">
        <w:rPr>
          <w:szCs w:val="18"/>
          <w:lang w:val="en-CA" w:bidi="en-US"/>
        </w:rPr>
        <w:t>415-416</w:t>
      </w:r>
      <w:r w:rsidRPr="00953281">
        <w:rPr>
          <w:szCs w:val="18"/>
          <w:lang w:val="en-CA" w:bidi="en-US"/>
        </w:rPr>
        <w:t>页</w:t>
      </w:r>
      <w:r w:rsidRPr="00953281">
        <w:rPr>
          <w:szCs w:val="18"/>
          <w:lang w:val="en-CA"/>
        </w:rPr>
        <w:t>。</w:t>
      </w:r>
    </w:p>
  </w:footnote>
  <w:footnote w:id="48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t>DiMascio</w:t>
      </w:r>
      <w:r w:rsidRPr="00953281">
        <w:rPr>
          <w:szCs w:val="18"/>
          <w:lang w:val="en-CA"/>
        </w:rPr>
        <w:t>和</w:t>
      </w:r>
      <w:r w:rsidRPr="00953281">
        <w:rPr>
          <w:szCs w:val="18"/>
          <w:lang w:val="en-CA"/>
        </w:rPr>
        <w:t>Pauwelyn</w:t>
      </w:r>
      <w:r w:rsidRPr="00953281">
        <w:rPr>
          <w:szCs w:val="18"/>
          <w:lang w:val="en-CA"/>
        </w:rPr>
        <w:t>。</w:t>
      </w:r>
    </w:p>
  </w:footnote>
  <w:footnote w:id="48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bidi="en-US"/>
        </w:rPr>
        <w:t>《</w:t>
      </w:r>
      <w:r w:rsidRPr="00953281">
        <w:rPr>
          <w:szCs w:val="18"/>
          <w:lang w:val="en-CA" w:bidi="en-US"/>
        </w:rPr>
        <w:t>1978</w:t>
      </w:r>
      <w:r w:rsidRPr="00953281">
        <w:rPr>
          <w:rFonts w:hint="eastAsia"/>
          <w:szCs w:val="18"/>
          <w:lang w:val="en-CA" w:bidi="en-US"/>
        </w:rPr>
        <w:t>年……</w:t>
      </w:r>
      <w:r w:rsidRPr="00953281">
        <w:rPr>
          <w:szCs w:val="18"/>
          <w:lang w:val="en-CA" w:bidi="en-US"/>
        </w:rPr>
        <w:t>年鉴》</w:t>
      </w:r>
      <w:r w:rsidRPr="00953281">
        <w:rPr>
          <w:rFonts w:eastAsia="楷体"/>
          <w:szCs w:val="18"/>
          <w:lang w:val="en-CA" w:bidi="en-US"/>
        </w:rPr>
        <w:t>，</w:t>
      </w:r>
      <w:r w:rsidRPr="00953281">
        <w:rPr>
          <w:rFonts w:ascii="Time New Roman" w:hAnsi="Time New Roman"/>
          <w:szCs w:val="18"/>
          <w:lang w:val="en-CA" w:bidi="en-US"/>
        </w:rPr>
        <w:t>第二卷</w:t>
      </w:r>
      <w:r w:rsidRPr="00953281">
        <w:rPr>
          <w:rFonts w:ascii="Time New Roman" w:hAnsi="Time New Roman"/>
          <w:szCs w:val="18"/>
          <w:lang w:val="en-CA" w:bidi="en-US"/>
        </w:rPr>
        <w:t>(</w:t>
      </w:r>
      <w:r w:rsidRPr="00953281">
        <w:rPr>
          <w:rFonts w:ascii="Time New Roman" w:hAnsi="Time New Roman"/>
          <w:szCs w:val="18"/>
          <w:lang w:val="en-CA" w:bidi="en-US"/>
        </w:rPr>
        <w:t>第二部分</w:t>
      </w:r>
      <w:r w:rsidRPr="00953281">
        <w:rPr>
          <w:rFonts w:ascii="Time New Roman" w:hAnsi="Time New Roman"/>
          <w:szCs w:val="18"/>
          <w:lang w:val="en-CA" w:bidi="en-US"/>
        </w:rPr>
        <w:t>)</w:t>
      </w:r>
      <w:r w:rsidRPr="00953281">
        <w:rPr>
          <w:rFonts w:ascii="Time New Roman" w:hAnsi="Time New Roman"/>
          <w:szCs w:val="18"/>
          <w:lang w:val="en-CA" w:bidi="en-US"/>
        </w:rPr>
        <w:t>，第</w:t>
      </w:r>
      <w:r w:rsidRPr="00953281">
        <w:rPr>
          <w:rFonts w:ascii="Time New Roman" w:hAnsi="Time New Roman"/>
          <w:szCs w:val="18"/>
          <w:lang w:val="en-CA" w:bidi="en-US"/>
        </w:rPr>
        <w:t>51</w:t>
      </w:r>
      <w:r w:rsidRPr="00953281">
        <w:rPr>
          <w:rFonts w:ascii="Time New Roman" w:hAnsi="Time New Roman"/>
          <w:szCs w:val="18"/>
          <w:lang w:val="en-CA" w:bidi="en-US"/>
        </w:rPr>
        <w:t>页</w:t>
      </w:r>
      <w:r w:rsidRPr="00953281">
        <w:rPr>
          <w:szCs w:val="18"/>
          <w:lang w:val="en-CA" w:bidi="en-US"/>
        </w:rPr>
        <w:t>(</w:t>
      </w:r>
      <w:r w:rsidRPr="00953281">
        <w:rPr>
          <w:szCs w:val="18"/>
          <w:lang w:val="en-CA" w:bidi="en-US"/>
        </w:rPr>
        <w:t>第</w:t>
      </w:r>
      <w:r w:rsidRPr="00953281">
        <w:rPr>
          <w:szCs w:val="18"/>
          <w:lang w:val="en-CA"/>
        </w:rPr>
        <w:t>十九条草案</w:t>
      </w:r>
      <w:r w:rsidRPr="00953281">
        <w:rPr>
          <w:szCs w:val="18"/>
          <w:lang w:val="en-CA"/>
        </w:rPr>
        <w:t>)</w:t>
      </w:r>
      <w:r w:rsidRPr="00953281">
        <w:rPr>
          <w:szCs w:val="18"/>
          <w:lang w:val="en-CA"/>
        </w:rPr>
        <w:t>。</w:t>
      </w:r>
    </w:p>
  </w:footnote>
  <w:footnote w:id="48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27</w:t>
      </w:r>
      <w:r w:rsidRPr="00953281">
        <w:rPr>
          <w:szCs w:val="18"/>
          <w:lang w:val="en-CA"/>
        </w:rPr>
        <w:t>页</w:t>
      </w:r>
      <w:r w:rsidRPr="00953281">
        <w:rPr>
          <w:szCs w:val="18"/>
          <w:lang w:val="en-CA"/>
        </w:rPr>
        <w:t>(</w:t>
      </w:r>
      <w:r w:rsidRPr="00953281">
        <w:rPr>
          <w:szCs w:val="18"/>
          <w:lang w:val="en-CA"/>
        </w:rPr>
        <w:t>第九条草案案文</w:t>
      </w:r>
      <w:r w:rsidRPr="00953281">
        <w:rPr>
          <w:szCs w:val="18"/>
          <w:lang w:val="en-CA"/>
        </w:rPr>
        <w:t>)</w:t>
      </w:r>
      <w:r w:rsidRPr="00953281">
        <w:rPr>
          <w:szCs w:val="18"/>
          <w:lang w:val="en-CA"/>
        </w:rPr>
        <w:t>。</w:t>
      </w:r>
    </w:p>
  </w:footnote>
  <w:footnote w:id="48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w:t>
      </w:r>
      <w:r w:rsidRPr="00953281">
        <w:rPr>
          <w:szCs w:val="18"/>
          <w:lang w:val="en-CA"/>
        </w:rPr>
        <w:t>第九条和第十条草案评注</w:t>
      </w:r>
      <w:r w:rsidRPr="00953281">
        <w:rPr>
          <w:szCs w:val="18"/>
          <w:lang w:val="en-CA"/>
        </w:rPr>
        <w:t>)</w:t>
      </w:r>
      <w:r w:rsidRPr="00953281">
        <w:rPr>
          <w:szCs w:val="18"/>
          <w:lang w:val="en-CA"/>
        </w:rPr>
        <w:t>。</w:t>
      </w:r>
    </w:p>
  </w:footnote>
  <w:footnote w:id="48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A3609D">
        <w:rPr>
          <w:rFonts w:ascii="楷体_GB2312" w:eastAsia="楷体_GB2312"/>
          <w:szCs w:val="18"/>
          <w:lang w:val="en-CA"/>
        </w:rPr>
        <w:t>安巴提洛斯</w:t>
      </w:r>
      <w:r w:rsidRPr="00A3609D">
        <w:rPr>
          <w:rFonts w:ascii="楷体_GB2312" w:eastAsia="楷体_GB2312"/>
          <w:szCs w:val="18"/>
        </w:rPr>
        <w:t>案</w:t>
      </w:r>
      <w:r w:rsidRPr="00953281">
        <w:rPr>
          <w:szCs w:val="18"/>
          <w:lang w:val="en-CA"/>
        </w:rPr>
        <w:t>(</w:t>
      </w:r>
      <w:r w:rsidRPr="00A3609D">
        <w:rPr>
          <w:rFonts w:ascii="楷体_GB2312" w:eastAsia="楷体_GB2312"/>
          <w:szCs w:val="18"/>
          <w:lang w:val="en-CA"/>
        </w:rPr>
        <w:t>希腊诉大不列颠及北爱尔兰联合王国</w:t>
      </w:r>
      <w:r w:rsidRPr="00953281">
        <w:rPr>
          <w:szCs w:val="18"/>
          <w:lang w:val="en-CA"/>
        </w:rPr>
        <w:t>)</w:t>
      </w:r>
      <w:r w:rsidRPr="00953281">
        <w:rPr>
          <w:szCs w:val="18"/>
          <w:lang w:val="en-CA"/>
        </w:rPr>
        <w:t>，联合国《</w:t>
      </w:r>
      <w:r w:rsidRPr="00953281">
        <w:rPr>
          <w:rFonts w:ascii="Time New Roman" w:hAnsi="Time New Roman"/>
          <w:szCs w:val="18"/>
          <w:lang w:val="en-CA"/>
        </w:rPr>
        <w:t>国际仲裁裁决汇编</w:t>
      </w:r>
      <w:r w:rsidRPr="00953281">
        <w:rPr>
          <w:szCs w:val="18"/>
          <w:lang w:val="en-CA"/>
        </w:rPr>
        <w:t>》，第十二卷，第</w:t>
      </w:r>
      <w:r w:rsidRPr="00953281">
        <w:rPr>
          <w:szCs w:val="18"/>
          <w:lang w:val="en-CA"/>
        </w:rPr>
        <w:t>83</w:t>
      </w:r>
      <w:r w:rsidRPr="00953281">
        <w:rPr>
          <w:szCs w:val="18"/>
          <w:lang w:val="en-CA"/>
        </w:rPr>
        <w:t>页。</w:t>
      </w:r>
    </w:p>
  </w:footnote>
  <w:footnote w:id="49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107</w:t>
      </w:r>
      <w:r w:rsidRPr="00953281">
        <w:rPr>
          <w:szCs w:val="18"/>
          <w:lang w:val="en-CA"/>
        </w:rPr>
        <w:t>页。</w:t>
      </w:r>
    </w:p>
  </w:footnote>
  <w:footnote w:id="49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Fonts w:eastAsia="楷体"/>
          <w:szCs w:val="18"/>
          <w:lang w:val="en-CA"/>
        </w:rPr>
        <w:tab/>
      </w:r>
      <w:r w:rsidRPr="00953281">
        <w:rPr>
          <w:rStyle w:val="a3"/>
          <w:sz w:val="21"/>
          <w:szCs w:val="18"/>
        </w:rPr>
        <w:footnoteRef/>
      </w:r>
      <w:r w:rsidRPr="00953281">
        <w:rPr>
          <w:rFonts w:eastAsia="楷体"/>
          <w:szCs w:val="18"/>
          <w:lang w:val="en-CA"/>
        </w:rPr>
        <w:tab/>
      </w:r>
      <w:r w:rsidRPr="00953281">
        <w:rPr>
          <w:rFonts w:eastAsia="楷体"/>
          <w:szCs w:val="18"/>
          <w:lang w:val="en-CA"/>
        </w:rPr>
        <w:t>埃米利奥</w:t>
      </w:r>
      <w:r w:rsidRPr="00953281">
        <w:rPr>
          <w:rFonts w:hint="eastAsia"/>
          <w:szCs w:val="18"/>
          <w:lang w:val="en-CA"/>
        </w:rPr>
        <w:t>·</w:t>
      </w:r>
      <w:r w:rsidRPr="00953281">
        <w:rPr>
          <w:rFonts w:eastAsia="楷体"/>
          <w:szCs w:val="18"/>
          <w:lang w:val="en-CA"/>
        </w:rPr>
        <w:t>奥古斯丁</w:t>
      </w:r>
      <w:r w:rsidRPr="00953281">
        <w:rPr>
          <w:rFonts w:hint="eastAsia"/>
          <w:szCs w:val="18"/>
          <w:lang w:val="en-CA"/>
        </w:rPr>
        <w:t>·</w:t>
      </w:r>
      <w:r w:rsidRPr="00953281">
        <w:rPr>
          <w:rFonts w:eastAsia="楷体"/>
          <w:szCs w:val="18"/>
          <w:lang w:val="en-CA"/>
        </w:rPr>
        <w:t>马菲基尼诉西班牙王国案</w:t>
      </w:r>
      <w:r w:rsidRPr="00953281">
        <w:rPr>
          <w:szCs w:val="18"/>
          <w:lang w:val="en-CA"/>
        </w:rPr>
        <w:t>，法庭关于反对管辖权的裁决，国际投资争端解决中心第</w:t>
      </w:r>
      <w:r w:rsidRPr="00953281">
        <w:rPr>
          <w:szCs w:val="18"/>
          <w:lang w:val="en-CA"/>
        </w:rPr>
        <w:t>ARB</w:t>
      </w:r>
      <w:r w:rsidRPr="00953281">
        <w:rPr>
          <w:rFonts w:hint="eastAsia"/>
          <w:szCs w:val="18"/>
          <w:lang w:val="en-CA"/>
        </w:rPr>
        <w:t xml:space="preserve"> </w:t>
      </w:r>
      <w:r w:rsidRPr="00953281">
        <w:rPr>
          <w:szCs w:val="18"/>
          <w:lang w:val="en-CA"/>
        </w:rPr>
        <w:t>97/7</w:t>
      </w:r>
      <w:r w:rsidRPr="00953281">
        <w:rPr>
          <w:szCs w:val="18"/>
          <w:lang w:val="en-CA"/>
        </w:rPr>
        <w:t>号案件，</w:t>
      </w:r>
      <w:r w:rsidRPr="00953281">
        <w:rPr>
          <w:szCs w:val="18"/>
          <w:lang w:val="en-CA"/>
        </w:rPr>
        <w:t>2000</w:t>
      </w:r>
      <w:r w:rsidRPr="00953281">
        <w:rPr>
          <w:szCs w:val="18"/>
          <w:lang w:val="en-CA"/>
        </w:rPr>
        <w:t>年</w:t>
      </w:r>
      <w:r w:rsidRPr="00953281">
        <w:rPr>
          <w:szCs w:val="18"/>
          <w:lang w:val="en-CA"/>
        </w:rPr>
        <w:t>1</w:t>
      </w:r>
      <w:r w:rsidRPr="00953281">
        <w:rPr>
          <w:szCs w:val="18"/>
          <w:lang w:val="en-CA"/>
        </w:rPr>
        <w:t>月</w:t>
      </w:r>
      <w:r w:rsidRPr="00953281">
        <w:rPr>
          <w:szCs w:val="18"/>
          <w:lang w:val="en-CA"/>
        </w:rPr>
        <w:t>25</w:t>
      </w:r>
      <w:r w:rsidRPr="00953281">
        <w:rPr>
          <w:szCs w:val="18"/>
          <w:lang w:val="en-CA"/>
        </w:rPr>
        <w:t>日，国际投资争端解决中心报告，第</w:t>
      </w:r>
      <w:r w:rsidRPr="00953281">
        <w:rPr>
          <w:szCs w:val="18"/>
          <w:lang w:val="en-CA"/>
        </w:rPr>
        <w:t>5</w:t>
      </w:r>
      <w:r w:rsidRPr="00953281">
        <w:rPr>
          <w:szCs w:val="18"/>
          <w:lang w:val="en-CA"/>
        </w:rPr>
        <w:t>卷，第</w:t>
      </w:r>
      <w:r w:rsidRPr="00953281">
        <w:rPr>
          <w:szCs w:val="18"/>
          <w:lang w:val="en-CA"/>
        </w:rPr>
        <w:t>396</w:t>
      </w:r>
      <w:r w:rsidRPr="00953281">
        <w:rPr>
          <w:szCs w:val="18"/>
          <w:lang w:val="en-CA"/>
        </w:rPr>
        <w:t>页。</w:t>
      </w:r>
    </w:p>
  </w:footnote>
  <w:footnote w:id="49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39</w:t>
      </w:r>
      <w:r w:rsidRPr="00953281">
        <w:rPr>
          <w:szCs w:val="18"/>
          <w:lang w:val="en-CA"/>
        </w:rPr>
        <w:t>段。</w:t>
      </w:r>
    </w:p>
  </w:footnote>
  <w:footnote w:id="49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w:t>
      </w:r>
      <w:r w:rsidRPr="00953281">
        <w:rPr>
          <w:rFonts w:hint="eastAsia"/>
          <w:szCs w:val="18"/>
          <w:lang w:val="en-CA"/>
        </w:rPr>
        <w:t>关于相互</w:t>
      </w:r>
      <w:r w:rsidRPr="00953281">
        <w:rPr>
          <w:szCs w:val="18"/>
          <w:lang w:val="en-CA"/>
        </w:rPr>
        <w:t>促进和保护投资</w:t>
      </w:r>
      <w:r w:rsidRPr="00953281">
        <w:rPr>
          <w:rFonts w:hint="eastAsia"/>
          <w:szCs w:val="18"/>
          <w:lang w:val="en-CA"/>
        </w:rPr>
        <w:t>的协定</w:t>
      </w:r>
      <w:r w:rsidRPr="00953281">
        <w:rPr>
          <w:szCs w:val="18"/>
          <w:lang w:val="en-CA"/>
        </w:rPr>
        <w:t>》，</w:t>
      </w:r>
      <w:r w:rsidRPr="00953281">
        <w:rPr>
          <w:szCs w:val="18"/>
          <w:lang w:val="en-CA"/>
        </w:rPr>
        <w:t>1991</w:t>
      </w:r>
      <w:r w:rsidRPr="00953281">
        <w:rPr>
          <w:szCs w:val="18"/>
          <w:lang w:val="en-CA"/>
        </w:rPr>
        <w:t>年</w:t>
      </w:r>
      <w:r w:rsidRPr="00953281">
        <w:rPr>
          <w:szCs w:val="18"/>
          <w:lang w:val="en-CA"/>
        </w:rPr>
        <w:t>10</w:t>
      </w:r>
      <w:r w:rsidRPr="00953281">
        <w:rPr>
          <w:szCs w:val="18"/>
          <w:lang w:val="en-CA"/>
        </w:rPr>
        <w:t>月</w:t>
      </w:r>
      <w:r w:rsidRPr="00953281">
        <w:rPr>
          <w:szCs w:val="18"/>
          <w:lang w:val="en-CA"/>
        </w:rPr>
        <w:t>3</w:t>
      </w:r>
      <w:r w:rsidRPr="00953281">
        <w:rPr>
          <w:szCs w:val="18"/>
          <w:lang w:val="en-CA"/>
        </w:rPr>
        <w:t>日在布宜诺斯艾利斯签署，联合国</w:t>
      </w:r>
      <w:r w:rsidRPr="00953281">
        <w:rPr>
          <w:szCs w:val="18"/>
          <w:lang w:val="en-CA"/>
        </w:rPr>
        <w:t>,</w:t>
      </w:r>
      <w:r w:rsidRPr="00953281">
        <w:rPr>
          <w:szCs w:val="18"/>
          <w:lang w:val="en-CA"/>
        </w:rPr>
        <w:t>《条约汇编》，第</w:t>
      </w:r>
      <w:r w:rsidRPr="00953281">
        <w:rPr>
          <w:szCs w:val="18"/>
          <w:lang w:val="en-CA"/>
        </w:rPr>
        <w:t>1699</w:t>
      </w:r>
      <w:r w:rsidRPr="00953281">
        <w:rPr>
          <w:szCs w:val="18"/>
          <w:lang w:val="en-CA"/>
        </w:rPr>
        <w:t>卷，第</w:t>
      </w:r>
      <w:r w:rsidRPr="00953281">
        <w:rPr>
          <w:szCs w:val="18"/>
          <w:lang w:val="en-CA"/>
        </w:rPr>
        <w:t>187</w:t>
      </w:r>
      <w:r w:rsidRPr="00953281">
        <w:rPr>
          <w:szCs w:val="18"/>
          <w:lang w:val="en-CA"/>
        </w:rPr>
        <w:t>页，第四条。</w:t>
      </w:r>
    </w:p>
  </w:footnote>
  <w:footnote w:id="49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马菲基尼案，</w:t>
      </w:r>
      <w:r w:rsidRPr="00953281">
        <w:rPr>
          <w:szCs w:val="18"/>
          <w:lang w:val="es-ES"/>
        </w:rPr>
        <w:t>第</w:t>
      </w:r>
      <w:r w:rsidRPr="00953281">
        <w:rPr>
          <w:szCs w:val="18"/>
          <w:lang w:val="en-CA"/>
        </w:rPr>
        <w:t>49</w:t>
      </w:r>
      <w:r w:rsidRPr="00953281">
        <w:rPr>
          <w:szCs w:val="18"/>
          <w:lang w:val="es-ES"/>
        </w:rPr>
        <w:t>段。</w:t>
      </w:r>
    </w:p>
  </w:footnote>
  <w:footnote w:id="49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安巴提洛斯案</w:t>
      </w:r>
      <w:r w:rsidRPr="00953281">
        <w:rPr>
          <w:szCs w:val="18"/>
          <w:lang w:val="en-CA"/>
        </w:rPr>
        <w:t>，</w:t>
      </w:r>
      <w:r w:rsidRPr="00953281">
        <w:rPr>
          <w:szCs w:val="18"/>
          <w:lang w:val="es-ES"/>
        </w:rPr>
        <w:t>第</w:t>
      </w:r>
      <w:r w:rsidRPr="00953281">
        <w:rPr>
          <w:szCs w:val="18"/>
          <w:lang w:val="en-CA"/>
        </w:rPr>
        <w:t>107</w:t>
      </w:r>
      <w:r w:rsidRPr="00953281">
        <w:rPr>
          <w:szCs w:val="18"/>
          <w:lang w:val="es-ES"/>
        </w:rPr>
        <w:t>页。</w:t>
      </w:r>
    </w:p>
  </w:footnote>
  <w:footnote w:id="49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马菲基尼案</w:t>
      </w:r>
      <w:r w:rsidRPr="00953281">
        <w:rPr>
          <w:szCs w:val="18"/>
          <w:lang w:val="en-CA"/>
        </w:rPr>
        <w:t>，</w:t>
      </w:r>
      <w:r w:rsidRPr="00953281">
        <w:rPr>
          <w:szCs w:val="18"/>
          <w:lang w:val="es-ES"/>
        </w:rPr>
        <w:t>第</w:t>
      </w:r>
      <w:r w:rsidRPr="00953281">
        <w:rPr>
          <w:szCs w:val="18"/>
          <w:lang w:val="en-CA"/>
        </w:rPr>
        <w:t>56</w:t>
      </w:r>
      <w:r w:rsidRPr="00953281">
        <w:rPr>
          <w:szCs w:val="18"/>
          <w:lang w:val="es-ES"/>
        </w:rPr>
        <w:t>段</w:t>
      </w:r>
      <w:r w:rsidRPr="00953281">
        <w:rPr>
          <w:rFonts w:eastAsia="楷体"/>
          <w:szCs w:val="18"/>
          <w:lang w:val="es-ES"/>
        </w:rPr>
        <w:t>。</w:t>
      </w:r>
    </w:p>
  </w:footnote>
  <w:footnote w:id="49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s-ES"/>
        </w:rPr>
        <w:t>同上</w:t>
      </w:r>
      <w:r w:rsidRPr="00953281">
        <w:rPr>
          <w:rFonts w:eastAsia="楷体"/>
          <w:szCs w:val="18"/>
          <w:lang w:val="en-CA"/>
        </w:rPr>
        <w:t>，</w:t>
      </w:r>
      <w:r w:rsidRPr="00953281">
        <w:rPr>
          <w:szCs w:val="18"/>
          <w:lang w:val="es-ES"/>
        </w:rPr>
        <w:t>第</w:t>
      </w:r>
      <w:r w:rsidRPr="00953281">
        <w:rPr>
          <w:szCs w:val="18"/>
          <w:lang w:val="en-CA"/>
        </w:rPr>
        <w:t>62</w:t>
      </w:r>
      <w:r w:rsidRPr="00953281">
        <w:rPr>
          <w:szCs w:val="18"/>
          <w:lang w:val="es-ES"/>
        </w:rPr>
        <w:t>段</w:t>
      </w:r>
      <w:r w:rsidRPr="00953281">
        <w:rPr>
          <w:rFonts w:eastAsia="楷体"/>
          <w:szCs w:val="18"/>
          <w:lang w:val="es-ES"/>
        </w:rPr>
        <w:t>。</w:t>
      </w:r>
    </w:p>
  </w:footnote>
  <w:footnote w:id="49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s-ES"/>
        </w:rPr>
        <w:t>同上</w:t>
      </w:r>
      <w:r w:rsidRPr="00953281">
        <w:rPr>
          <w:rFonts w:eastAsia="楷体"/>
          <w:szCs w:val="18"/>
          <w:lang w:val="en-CA"/>
        </w:rPr>
        <w:t>，</w:t>
      </w:r>
      <w:r w:rsidRPr="00953281">
        <w:rPr>
          <w:szCs w:val="18"/>
          <w:lang w:val="es-ES"/>
        </w:rPr>
        <w:t>第</w:t>
      </w:r>
      <w:r w:rsidRPr="00953281">
        <w:rPr>
          <w:szCs w:val="18"/>
          <w:lang w:val="en-CA"/>
        </w:rPr>
        <w:t>63</w:t>
      </w:r>
      <w:r w:rsidRPr="00953281">
        <w:rPr>
          <w:szCs w:val="18"/>
          <w:lang w:val="es-ES"/>
        </w:rPr>
        <w:t>段</w:t>
      </w:r>
      <w:r w:rsidRPr="00953281">
        <w:rPr>
          <w:rFonts w:eastAsia="楷体"/>
          <w:szCs w:val="18"/>
          <w:lang w:val="es-ES"/>
        </w:rPr>
        <w:t>。</w:t>
      </w:r>
    </w:p>
  </w:footnote>
  <w:footnote w:id="49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s-ES"/>
        </w:rPr>
        <w:t>第</w:t>
      </w:r>
      <w:r w:rsidRPr="00953281">
        <w:rPr>
          <w:szCs w:val="18"/>
          <w:lang w:val="en-CA"/>
        </w:rPr>
        <w:t>62</w:t>
      </w:r>
      <w:r w:rsidRPr="00953281">
        <w:rPr>
          <w:szCs w:val="18"/>
          <w:lang w:val="es-ES"/>
        </w:rPr>
        <w:t>段</w:t>
      </w:r>
      <w:r w:rsidRPr="00953281">
        <w:rPr>
          <w:rFonts w:eastAsia="楷体"/>
          <w:szCs w:val="18"/>
          <w:lang w:val="es-ES"/>
        </w:rPr>
        <w:t>。</w:t>
      </w:r>
    </w:p>
  </w:footnote>
  <w:footnote w:id="50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lang w:val="en-CA"/>
        </w:rPr>
        <w:t>同上</w:t>
      </w:r>
      <w:r w:rsidRPr="00953281">
        <w:rPr>
          <w:rFonts w:eastAsia="楷体"/>
          <w:szCs w:val="18"/>
        </w:rPr>
        <w:t>，</w:t>
      </w:r>
      <w:r w:rsidRPr="00953281">
        <w:rPr>
          <w:szCs w:val="18"/>
          <w:lang w:val="es-ES"/>
        </w:rPr>
        <w:t>第</w:t>
      </w:r>
      <w:r w:rsidRPr="00953281">
        <w:rPr>
          <w:szCs w:val="18"/>
        </w:rPr>
        <w:t>63</w:t>
      </w:r>
      <w:r w:rsidRPr="00953281">
        <w:rPr>
          <w:szCs w:val="18"/>
          <w:lang w:val="es-ES"/>
        </w:rPr>
        <w:t>段</w:t>
      </w:r>
      <w:r w:rsidRPr="00953281">
        <w:rPr>
          <w:rFonts w:eastAsia="楷体"/>
          <w:szCs w:val="18"/>
          <w:lang w:val="es-ES"/>
        </w:rPr>
        <w:t>。</w:t>
      </w:r>
    </w:p>
  </w:footnote>
  <w:footnote w:id="50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rStyle w:val="aff0"/>
          <w:rFonts w:eastAsia="楷体"/>
          <w:szCs w:val="18"/>
          <w:lang w:val="en-CA"/>
        </w:rPr>
        <w:tab/>
      </w:r>
      <w:r w:rsidRPr="00A3609D">
        <w:rPr>
          <w:rFonts w:eastAsia="楷体"/>
          <w:szCs w:val="18"/>
          <w:lang w:val="en-CA"/>
        </w:rPr>
        <w:t>同上</w:t>
      </w:r>
      <w:r w:rsidRPr="00953281">
        <w:rPr>
          <w:szCs w:val="18"/>
          <w:lang w:val="es-ES"/>
        </w:rPr>
        <w:t>。</w:t>
      </w:r>
    </w:p>
  </w:footnote>
  <w:footnote w:id="50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萨利尼案</w:t>
      </w:r>
      <w:r w:rsidRPr="00953281">
        <w:rPr>
          <w:szCs w:val="18"/>
        </w:rPr>
        <w:t>；</w:t>
      </w:r>
      <w:r w:rsidRPr="003E2764">
        <w:rPr>
          <w:rStyle w:val="aff0"/>
          <w:rFonts w:eastAsia="楷体"/>
          <w:b w:val="0"/>
          <w:bCs w:val="0"/>
          <w:i w:val="0"/>
          <w:iCs w:val="0"/>
          <w:szCs w:val="18"/>
        </w:rPr>
        <w:t>西门子集团诉阿根廷共和国案</w:t>
      </w:r>
      <w:r w:rsidRPr="003E2764">
        <w:rPr>
          <w:rStyle w:val="aff0"/>
          <w:b w:val="0"/>
          <w:bCs w:val="0"/>
          <w:i w:val="0"/>
          <w:iCs w:val="0"/>
          <w:szCs w:val="18"/>
        </w:rPr>
        <w:t>，关于管辖权的裁决，</w:t>
      </w:r>
      <w:r w:rsidRPr="00953281">
        <w:rPr>
          <w:rStyle w:val="caps"/>
          <w:szCs w:val="18"/>
          <w:lang w:val="en-CA"/>
        </w:rPr>
        <w:t>国际投资争端解决中心第</w:t>
      </w:r>
      <w:r w:rsidRPr="00953281">
        <w:rPr>
          <w:rStyle w:val="caps"/>
          <w:szCs w:val="18"/>
        </w:rPr>
        <w:t>ARB</w:t>
      </w:r>
      <w:r w:rsidRPr="00953281">
        <w:rPr>
          <w:szCs w:val="18"/>
        </w:rPr>
        <w:t>/02/8</w:t>
      </w:r>
      <w:r w:rsidRPr="00953281">
        <w:rPr>
          <w:szCs w:val="18"/>
        </w:rPr>
        <w:t>号案件</w:t>
      </w:r>
      <w:r w:rsidRPr="00953281">
        <w:rPr>
          <w:szCs w:val="18"/>
        </w:rPr>
        <w:t>(2004</w:t>
      </w:r>
      <w:r w:rsidRPr="00953281">
        <w:rPr>
          <w:szCs w:val="18"/>
        </w:rPr>
        <w:t>年</w:t>
      </w:r>
      <w:r w:rsidRPr="00953281">
        <w:rPr>
          <w:szCs w:val="18"/>
        </w:rPr>
        <w:t>8</w:t>
      </w:r>
      <w:r w:rsidRPr="00953281">
        <w:rPr>
          <w:szCs w:val="18"/>
        </w:rPr>
        <w:t>月</w:t>
      </w:r>
      <w:r w:rsidRPr="00953281">
        <w:rPr>
          <w:szCs w:val="18"/>
        </w:rPr>
        <w:t>3</w:t>
      </w:r>
      <w:r w:rsidRPr="00953281">
        <w:rPr>
          <w:szCs w:val="18"/>
        </w:rPr>
        <w:t>日</w:t>
      </w:r>
      <w:r w:rsidRPr="00953281">
        <w:rPr>
          <w:szCs w:val="18"/>
        </w:rPr>
        <w:t>)(</w:t>
      </w:r>
      <w:r w:rsidRPr="00953281">
        <w:rPr>
          <w:szCs w:val="18"/>
        </w:rPr>
        <w:t>《阿根廷与德国双边投资条约》</w:t>
      </w:r>
      <w:r w:rsidRPr="00953281">
        <w:rPr>
          <w:szCs w:val="18"/>
        </w:rPr>
        <w:t>)</w:t>
      </w:r>
      <w:r w:rsidRPr="00953281">
        <w:rPr>
          <w:rFonts w:hint="eastAsia"/>
          <w:szCs w:val="18"/>
        </w:rPr>
        <w:t>，可查阅</w:t>
      </w:r>
      <w:r w:rsidRPr="00953281">
        <w:rPr>
          <w:szCs w:val="18"/>
        </w:rPr>
        <w:t>&lt;http://www.</w:t>
      </w:r>
      <w:r>
        <w:rPr>
          <w:rFonts w:hint="eastAsia"/>
          <w:szCs w:val="18"/>
        </w:rPr>
        <w:t xml:space="preserve"> </w:t>
      </w:r>
      <w:r w:rsidRPr="00953281">
        <w:rPr>
          <w:szCs w:val="18"/>
        </w:rPr>
        <w:t>italaw.com/sites/default/files/case-documents/ita0788.pdf&gt;</w:t>
      </w:r>
      <w:r w:rsidRPr="00953281">
        <w:rPr>
          <w:rFonts w:hint="eastAsia"/>
          <w:szCs w:val="18"/>
        </w:rPr>
        <w:t>。</w:t>
      </w:r>
    </w:p>
  </w:footnote>
  <w:footnote w:id="50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马菲基尼案，</w:t>
      </w:r>
      <w:r w:rsidRPr="00953281">
        <w:rPr>
          <w:szCs w:val="18"/>
          <w:lang w:val="es-ES"/>
        </w:rPr>
        <w:t>第</w:t>
      </w:r>
      <w:r w:rsidRPr="00953281">
        <w:rPr>
          <w:szCs w:val="18"/>
        </w:rPr>
        <w:t>46</w:t>
      </w:r>
      <w:r w:rsidRPr="00953281">
        <w:rPr>
          <w:szCs w:val="18"/>
          <w:lang w:val="es-ES"/>
        </w:rPr>
        <w:t>段。</w:t>
      </w:r>
    </w:p>
  </w:footnote>
  <w:footnote w:id="50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lang w:val="es-ES"/>
        </w:rPr>
        <w:t>同上</w:t>
      </w:r>
      <w:r w:rsidRPr="00953281">
        <w:rPr>
          <w:szCs w:val="18"/>
        </w:rPr>
        <w:t>，</w:t>
      </w:r>
      <w:r w:rsidRPr="00953281">
        <w:rPr>
          <w:szCs w:val="18"/>
          <w:lang w:val="es-ES"/>
        </w:rPr>
        <w:t>第</w:t>
      </w:r>
      <w:r w:rsidRPr="00953281">
        <w:rPr>
          <w:szCs w:val="18"/>
        </w:rPr>
        <w:t>56</w:t>
      </w:r>
      <w:r w:rsidRPr="00953281">
        <w:rPr>
          <w:szCs w:val="18"/>
          <w:lang w:val="es-ES"/>
        </w:rPr>
        <w:t>段</w:t>
      </w:r>
      <w:r w:rsidRPr="00953281">
        <w:rPr>
          <w:rFonts w:eastAsia="楷体"/>
          <w:szCs w:val="18"/>
          <w:lang w:val="es-ES"/>
        </w:rPr>
        <w:t>。</w:t>
      </w:r>
    </w:p>
  </w:footnote>
  <w:footnote w:id="50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lang w:val="es-ES"/>
        </w:rPr>
        <w:t>同上</w:t>
      </w:r>
      <w:r w:rsidRPr="00953281">
        <w:rPr>
          <w:rFonts w:eastAsia="楷体"/>
          <w:szCs w:val="18"/>
        </w:rPr>
        <w:t>，</w:t>
      </w:r>
      <w:r w:rsidRPr="00953281">
        <w:rPr>
          <w:szCs w:val="18"/>
          <w:lang w:val="es-ES"/>
        </w:rPr>
        <w:t>第</w:t>
      </w:r>
      <w:r w:rsidRPr="00953281">
        <w:rPr>
          <w:szCs w:val="18"/>
        </w:rPr>
        <w:t>54</w:t>
      </w:r>
      <w:r w:rsidRPr="00953281">
        <w:rPr>
          <w:szCs w:val="18"/>
          <w:lang w:val="es-ES"/>
        </w:rPr>
        <w:t>段。</w:t>
      </w:r>
    </w:p>
  </w:footnote>
  <w:footnote w:id="50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6578DB">
        <w:rPr>
          <w:rStyle w:val="aff0"/>
          <w:rFonts w:eastAsia="楷体"/>
          <w:b w:val="0"/>
          <w:bCs w:val="0"/>
          <w:i w:val="0"/>
          <w:iCs w:val="0"/>
          <w:szCs w:val="18"/>
        </w:rPr>
        <w:t>西门子案</w:t>
      </w:r>
      <w:r w:rsidRPr="00953281">
        <w:rPr>
          <w:szCs w:val="18"/>
        </w:rPr>
        <w:t>，</w:t>
      </w:r>
      <w:r w:rsidRPr="00953281">
        <w:rPr>
          <w:szCs w:val="18"/>
          <w:lang w:val="es-ES"/>
        </w:rPr>
        <w:t>第</w:t>
      </w:r>
      <w:r w:rsidRPr="00953281">
        <w:rPr>
          <w:szCs w:val="18"/>
        </w:rPr>
        <w:t>102</w:t>
      </w:r>
      <w:r w:rsidRPr="00953281">
        <w:rPr>
          <w:szCs w:val="18"/>
          <w:lang w:val="es-ES"/>
        </w:rPr>
        <w:t>段。</w:t>
      </w:r>
    </w:p>
  </w:footnote>
  <w:footnote w:id="50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s-ES"/>
        </w:rPr>
      </w:pPr>
      <w:r w:rsidRPr="00953281">
        <w:rPr>
          <w:szCs w:val="18"/>
        </w:rPr>
        <w:tab/>
      </w:r>
      <w:r w:rsidRPr="00953281">
        <w:rPr>
          <w:rStyle w:val="a3"/>
          <w:sz w:val="21"/>
          <w:szCs w:val="18"/>
        </w:rPr>
        <w:footnoteRef/>
      </w:r>
      <w:r w:rsidRPr="00953281">
        <w:rPr>
          <w:szCs w:val="18"/>
        </w:rPr>
        <w:tab/>
      </w:r>
      <w:r w:rsidRPr="006578DB">
        <w:rPr>
          <w:rStyle w:val="aff0"/>
          <w:rFonts w:ascii="楷体" w:eastAsia="楷体" w:hAnsi="楷体"/>
          <w:b w:val="0"/>
          <w:bCs w:val="0"/>
          <w:i w:val="0"/>
          <w:iCs w:val="0"/>
          <w:szCs w:val="18"/>
        </w:rPr>
        <w:t>AWG集团有限公司诉阿根廷共和国案</w:t>
      </w:r>
      <w:r w:rsidRPr="00953281">
        <w:rPr>
          <w:szCs w:val="18"/>
        </w:rPr>
        <w:t>，关于管辖权的裁决，联合国国际贸易法委员会</w:t>
      </w:r>
      <w:r w:rsidRPr="00953281">
        <w:rPr>
          <w:szCs w:val="18"/>
        </w:rPr>
        <w:t>(</w:t>
      </w:r>
      <w:r w:rsidRPr="00953281">
        <w:rPr>
          <w:spacing w:val="-4"/>
          <w:szCs w:val="18"/>
        </w:rPr>
        <w:t>2006</w:t>
      </w:r>
      <w:r w:rsidRPr="00953281">
        <w:rPr>
          <w:spacing w:val="-4"/>
          <w:szCs w:val="18"/>
        </w:rPr>
        <w:t>年</w:t>
      </w:r>
      <w:r w:rsidRPr="00953281">
        <w:rPr>
          <w:spacing w:val="-4"/>
          <w:szCs w:val="18"/>
        </w:rPr>
        <w:t>8</w:t>
      </w:r>
      <w:r w:rsidRPr="00953281">
        <w:rPr>
          <w:spacing w:val="-4"/>
          <w:szCs w:val="18"/>
        </w:rPr>
        <w:t>月</w:t>
      </w:r>
      <w:r w:rsidRPr="00953281">
        <w:rPr>
          <w:spacing w:val="-4"/>
          <w:szCs w:val="18"/>
        </w:rPr>
        <w:t>3</w:t>
      </w:r>
      <w:r w:rsidRPr="00953281">
        <w:rPr>
          <w:spacing w:val="-4"/>
          <w:szCs w:val="18"/>
        </w:rPr>
        <w:t>日</w:t>
      </w:r>
      <w:r w:rsidRPr="00953281">
        <w:rPr>
          <w:spacing w:val="-4"/>
          <w:szCs w:val="18"/>
        </w:rPr>
        <w:t>)</w:t>
      </w:r>
      <w:r w:rsidRPr="00953281">
        <w:rPr>
          <w:spacing w:val="-4"/>
          <w:szCs w:val="18"/>
        </w:rPr>
        <w:t>，</w:t>
      </w:r>
      <w:r w:rsidRPr="00953281">
        <w:rPr>
          <w:spacing w:val="-4"/>
          <w:szCs w:val="18"/>
          <w:lang w:val="en-CA"/>
        </w:rPr>
        <w:t>第</w:t>
      </w:r>
      <w:r w:rsidRPr="00953281">
        <w:rPr>
          <w:spacing w:val="-4"/>
          <w:szCs w:val="18"/>
        </w:rPr>
        <w:t>59</w:t>
      </w:r>
      <w:r w:rsidRPr="00953281">
        <w:rPr>
          <w:spacing w:val="-4"/>
          <w:szCs w:val="18"/>
          <w:lang w:val="en-CA"/>
        </w:rPr>
        <w:t>段</w:t>
      </w:r>
      <w:r w:rsidRPr="00953281">
        <w:rPr>
          <w:spacing w:val="-6"/>
          <w:szCs w:val="18"/>
        </w:rPr>
        <w:t>(</w:t>
      </w:r>
      <w:r w:rsidRPr="00953281">
        <w:rPr>
          <w:spacing w:val="-6"/>
          <w:szCs w:val="18"/>
        </w:rPr>
        <w:t>《阿根廷与联合王国双边投资条约》</w:t>
      </w:r>
      <w:r w:rsidRPr="00953281">
        <w:rPr>
          <w:spacing w:val="-6"/>
          <w:szCs w:val="18"/>
        </w:rPr>
        <w:t>)</w:t>
      </w:r>
      <w:r w:rsidRPr="00953281">
        <w:rPr>
          <w:spacing w:val="-6"/>
          <w:szCs w:val="18"/>
        </w:rPr>
        <w:t>，可查阅</w:t>
      </w:r>
      <w:r w:rsidRPr="00953281">
        <w:rPr>
          <w:szCs w:val="18"/>
        </w:rPr>
        <w:t>&lt;</w:t>
      </w:r>
      <w:r w:rsidRPr="004F5F28">
        <w:rPr>
          <w:szCs w:val="18"/>
        </w:rPr>
        <w:t>http://www.italaw.com/ cases/106</w:t>
      </w:r>
      <w:r w:rsidRPr="00953281">
        <w:rPr>
          <w:rStyle w:val="ad"/>
          <w:rFonts w:hint="eastAsia"/>
          <w:szCs w:val="18"/>
        </w:rPr>
        <w:t>&gt;</w:t>
      </w:r>
      <w:r w:rsidRPr="00953281">
        <w:rPr>
          <w:szCs w:val="18"/>
        </w:rPr>
        <w:t>。</w:t>
      </w:r>
      <w:r w:rsidRPr="00953281">
        <w:rPr>
          <w:szCs w:val="18"/>
          <w:lang w:val="en-CA"/>
        </w:rPr>
        <w:t>另见</w:t>
      </w:r>
      <w:r w:rsidRPr="00953281">
        <w:rPr>
          <w:rFonts w:eastAsia="楷体"/>
          <w:szCs w:val="18"/>
        </w:rPr>
        <w:t>国家电网公司诉阿根廷共和国案</w:t>
      </w:r>
      <w:r w:rsidRPr="00953281">
        <w:rPr>
          <w:szCs w:val="18"/>
          <w:lang w:val="es-ES"/>
        </w:rPr>
        <w:t>，</w:t>
      </w:r>
      <w:r w:rsidRPr="00953281">
        <w:rPr>
          <w:szCs w:val="18"/>
        </w:rPr>
        <w:t>关于管辖权的裁决</w:t>
      </w:r>
      <w:r w:rsidRPr="00953281">
        <w:rPr>
          <w:szCs w:val="18"/>
          <w:lang w:val="es-ES"/>
        </w:rPr>
        <w:t>，</w:t>
      </w:r>
      <w:r w:rsidRPr="00953281">
        <w:rPr>
          <w:szCs w:val="18"/>
        </w:rPr>
        <w:t>联合国国际贸易法委员会</w:t>
      </w:r>
      <w:r w:rsidRPr="00953281">
        <w:rPr>
          <w:szCs w:val="18"/>
          <w:lang w:val="es-ES"/>
        </w:rPr>
        <w:t>(2006</w:t>
      </w:r>
      <w:r w:rsidRPr="00953281">
        <w:rPr>
          <w:szCs w:val="18"/>
        </w:rPr>
        <w:t>年</w:t>
      </w:r>
      <w:r w:rsidRPr="00953281">
        <w:rPr>
          <w:szCs w:val="18"/>
          <w:lang w:val="es-ES"/>
        </w:rPr>
        <w:t>6</w:t>
      </w:r>
      <w:r w:rsidRPr="00953281">
        <w:rPr>
          <w:szCs w:val="18"/>
        </w:rPr>
        <w:t>月</w:t>
      </w:r>
      <w:r w:rsidRPr="00953281">
        <w:rPr>
          <w:szCs w:val="18"/>
          <w:lang w:val="es-ES"/>
        </w:rPr>
        <w:t>20</w:t>
      </w:r>
      <w:r w:rsidRPr="00953281">
        <w:rPr>
          <w:szCs w:val="18"/>
        </w:rPr>
        <w:t>日</w:t>
      </w:r>
      <w:r w:rsidRPr="00953281">
        <w:rPr>
          <w:szCs w:val="18"/>
          <w:lang w:val="es-ES"/>
        </w:rPr>
        <w:t>)</w:t>
      </w:r>
      <w:r w:rsidRPr="00953281">
        <w:rPr>
          <w:szCs w:val="18"/>
          <w:lang w:val="es-ES"/>
        </w:rPr>
        <w:t>，</w:t>
      </w:r>
      <w:r w:rsidRPr="00953281">
        <w:rPr>
          <w:szCs w:val="18"/>
          <w:lang w:val="en-CA"/>
        </w:rPr>
        <w:t>第</w:t>
      </w:r>
      <w:r w:rsidRPr="00953281">
        <w:rPr>
          <w:szCs w:val="18"/>
          <w:lang w:val="es-ES"/>
        </w:rPr>
        <w:t>89</w:t>
      </w:r>
      <w:r w:rsidRPr="00953281">
        <w:rPr>
          <w:szCs w:val="18"/>
          <w:lang w:val="en-CA"/>
        </w:rPr>
        <w:t>段</w:t>
      </w:r>
      <w:r w:rsidRPr="00953281">
        <w:rPr>
          <w:spacing w:val="-4"/>
          <w:szCs w:val="18"/>
          <w:lang w:val="es-ES"/>
        </w:rPr>
        <w:t>(</w:t>
      </w:r>
      <w:r w:rsidRPr="00953281">
        <w:rPr>
          <w:spacing w:val="-4"/>
          <w:szCs w:val="18"/>
        </w:rPr>
        <w:t>《阿根廷与联合王国双边投资条约》</w:t>
      </w:r>
      <w:r w:rsidRPr="00953281">
        <w:rPr>
          <w:spacing w:val="-4"/>
          <w:szCs w:val="18"/>
          <w:lang w:val="es-ES"/>
        </w:rPr>
        <w:t>)</w:t>
      </w:r>
      <w:r w:rsidRPr="00953281">
        <w:rPr>
          <w:spacing w:val="-4"/>
          <w:szCs w:val="18"/>
          <w:lang w:val="es-ES"/>
        </w:rPr>
        <w:t>，</w:t>
      </w:r>
      <w:r w:rsidRPr="00953281">
        <w:rPr>
          <w:spacing w:val="-4"/>
          <w:szCs w:val="18"/>
        </w:rPr>
        <w:t>可查阅</w:t>
      </w:r>
      <w:r w:rsidRPr="00953281">
        <w:rPr>
          <w:szCs w:val="18"/>
          <w:lang w:val="es-ES"/>
        </w:rPr>
        <w:t>&lt;</w:t>
      </w:r>
      <w:r w:rsidRPr="004F5F28">
        <w:rPr>
          <w:szCs w:val="18"/>
          <w:lang w:val="es-ES"/>
        </w:rPr>
        <w:t>http://www.italaw.com/cases/732</w:t>
      </w:r>
      <w:r w:rsidRPr="00953281">
        <w:rPr>
          <w:rStyle w:val="ad"/>
          <w:szCs w:val="18"/>
          <w:lang w:val="es-ES"/>
        </w:rPr>
        <w:t>&gt;</w:t>
      </w:r>
      <w:r w:rsidRPr="00953281">
        <w:rPr>
          <w:szCs w:val="18"/>
          <w:lang w:val="es-ES"/>
        </w:rPr>
        <w:t>；</w:t>
      </w:r>
      <w:r w:rsidRPr="00953281">
        <w:rPr>
          <w:rFonts w:eastAsia="楷体"/>
          <w:szCs w:val="18"/>
          <w:lang w:val="es-ES"/>
        </w:rPr>
        <w:t>SDG</w:t>
      </w:r>
      <w:r w:rsidRPr="00953281">
        <w:rPr>
          <w:rFonts w:eastAsia="楷体"/>
          <w:szCs w:val="18"/>
        </w:rPr>
        <w:t>天然气公司诉阿根廷共和国案</w:t>
      </w:r>
      <w:r w:rsidRPr="00953281">
        <w:rPr>
          <w:szCs w:val="18"/>
          <w:lang w:val="es-ES"/>
        </w:rPr>
        <w:t>，</w:t>
      </w:r>
      <w:r w:rsidRPr="00953281">
        <w:rPr>
          <w:szCs w:val="18"/>
        </w:rPr>
        <w:t>关于管辖权的裁决</w:t>
      </w:r>
      <w:r w:rsidRPr="00953281">
        <w:rPr>
          <w:szCs w:val="18"/>
          <w:lang w:val="es-ES"/>
        </w:rPr>
        <w:t>，</w:t>
      </w:r>
      <w:r w:rsidRPr="00953281">
        <w:rPr>
          <w:rStyle w:val="caps"/>
          <w:szCs w:val="18"/>
        </w:rPr>
        <w:t>国际投资争端解决中心第</w:t>
      </w:r>
      <w:r w:rsidRPr="00953281">
        <w:rPr>
          <w:rStyle w:val="caps"/>
          <w:szCs w:val="18"/>
          <w:lang w:val="es-ES"/>
        </w:rPr>
        <w:t>ARB</w:t>
      </w:r>
      <w:r w:rsidRPr="00953281">
        <w:rPr>
          <w:szCs w:val="18"/>
          <w:lang w:val="es-ES"/>
        </w:rPr>
        <w:t>/03/10</w:t>
      </w:r>
      <w:r w:rsidRPr="00953281">
        <w:rPr>
          <w:szCs w:val="18"/>
          <w:lang w:val="es-ES"/>
        </w:rPr>
        <w:t>号案件</w:t>
      </w:r>
      <w:r w:rsidRPr="00953281">
        <w:rPr>
          <w:szCs w:val="18"/>
          <w:lang w:val="es-ES"/>
        </w:rPr>
        <w:t>(2005</w:t>
      </w:r>
      <w:r w:rsidRPr="00953281">
        <w:rPr>
          <w:szCs w:val="18"/>
        </w:rPr>
        <w:t>年</w:t>
      </w:r>
      <w:r w:rsidRPr="00953281">
        <w:rPr>
          <w:szCs w:val="18"/>
          <w:lang w:val="es-ES"/>
        </w:rPr>
        <w:t>6</w:t>
      </w:r>
      <w:r w:rsidRPr="00953281">
        <w:rPr>
          <w:szCs w:val="18"/>
        </w:rPr>
        <w:t>月</w:t>
      </w:r>
      <w:r w:rsidRPr="00953281">
        <w:rPr>
          <w:szCs w:val="18"/>
          <w:lang w:val="es-ES"/>
        </w:rPr>
        <w:t>17</w:t>
      </w:r>
      <w:r w:rsidRPr="00953281">
        <w:rPr>
          <w:szCs w:val="18"/>
        </w:rPr>
        <w:t>日</w:t>
      </w:r>
      <w:r w:rsidRPr="00953281">
        <w:rPr>
          <w:szCs w:val="18"/>
          <w:lang w:val="es-ES"/>
        </w:rPr>
        <w:t>)</w:t>
      </w:r>
      <w:r w:rsidRPr="00953281">
        <w:rPr>
          <w:szCs w:val="18"/>
          <w:lang w:val="es-ES"/>
        </w:rPr>
        <w:t>，</w:t>
      </w:r>
      <w:r w:rsidRPr="00953281">
        <w:rPr>
          <w:szCs w:val="18"/>
          <w:lang w:val="en-CA"/>
        </w:rPr>
        <w:t>第</w:t>
      </w:r>
      <w:r w:rsidRPr="00953281">
        <w:rPr>
          <w:szCs w:val="18"/>
          <w:lang w:val="es-ES"/>
        </w:rPr>
        <w:t>29</w:t>
      </w:r>
      <w:r w:rsidRPr="00953281">
        <w:rPr>
          <w:szCs w:val="18"/>
          <w:lang w:val="en-CA"/>
        </w:rPr>
        <w:t>段</w:t>
      </w:r>
      <w:r w:rsidRPr="00953281">
        <w:rPr>
          <w:szCs w:val="18"/>
          <w:lang w:val="es-ES"/>
        </w:rPr>
        <w:t>(</w:t>
      </w:r>
      <w:r w:rsidRPr="00953281">
        <w:rPr>
          <w:szCs w:val="18"/>
        </w:rPr>
        <w:t>《阿根廷与西班牙双边投资条约》</w:t>
      </w:r>
      <w:r w:rsidRPr="00953281">
        <w:rPr>
          <w:szCs w:val="18"/>
          <w:lang w:val="es-ES"/>
        </w:rPr>
        <w:t>)</w:t>
      </w:r>
      <w:r w:rsidRPr="00953281">
        <w:rPr>
          <w:rFonts w:hint="eastAsia"/>
          <w:szCs w:val="18"/>
          <w:lang w:val="es-ES"/>
        </w:rPr>
        <w:t>，可查阅</w:t>
      </w:r>
      <w:r w:rsidRPr="00953281">
        <w:rPr>
          <w:szCs w:val="18"/>
          <w:lang w:val="es-ES"/>
        </w:rPr>
        <w:t>&lt;http://www.</w:t>
      </w:r>
      <w:r>
        <w:rPr>
          <w:rFonts w:hint="eastAsia"/>
          <w:szCs w:val="18"/>
          <w:lang w:val="es-ES"/>
        </w:rPr>
        <w:t xml:space="preserve"> </w:t>
      </w:r>
      <w:r w:rsidRPr="00953281">
        <w:rPr>
          <w:szCs w:val="18"/>
          <w:lang w:val="es-ES"/>
        </w:rPr>
        <w:t>italaw.com/documents/GasNaturalSDG-DecisiononPreliminaryQuestionsonJurisdiction.pdf&gt;</w:t>
      </w:r>
      <w:r w:rsidRPr="00953281">
        <w:rPr>
          <w:szCs w:val="18"/>
          <w:lang w:val="es-ES"/>
        </w:rPr>
        <w:t>；</w:t>
      </w:r>
      <w:r w:rsidRPr="00953281">
        <w:rPr>
          <w:rFonts w:eastAsia="楷体"/>
          <w:szCs w:val="18"/>
        </w:rPr>
        <w:t>联合王国罗斯投资有限公司诉俄罗斯联邦案</w:t>
      </w:r>
      <w:r w:rsidRPr="00953281">
        <w:rPr>
          <w:rFonts w:eastAsia="楷体"/>
          <w:szCs w:val="18"/>
          <w:lang w:val="es-ES"/>
        </w:rPr>
        <w:t>，</w:t>
      </w:r>
      <w:r w:rsidRPr="00953281">
        <w:rPr>
          <w:szCs w:val="18"/>
          <w:lang w:val="en-CA"/>
        </w:rPr>
        <w:t>关于管辖权的裁决</w:t>
      </w:r>
      <w:r w:rsidRPr="00953281">
        <w:rPr>
          <w:szCs w:val="18"/>
          <w:lang w:val="es-ES"/>
        </w:rPr>
        <w:t>，</w:t>
      </w:r>
      <w:r w:rsidRPr="00953281">
        <w:rPr>
          <w:szCs w:val="18"/>
          <w:lang w:val="en-CA"/>
        </w:rPr>
        <w:t>斯德哥尔摩商会仲裁院第</w:t>
      </w:r>
      <w:r w:rsidRPr="00953281">
        <w:rPr>
          <w:szCs w:val="18"/>
          <w:lang w:val="es-ES"/>
        </w:rPr>
        <w:t>V079/2005</w:t>
      </w:r>
      <w:r w:rsidRPr="00953281">
        <w:rPr>
          <w:szCs w:val="18"/>
          <w:lang w:val="es-ES"/>
        </w:rPr>
        <w:t>号案件</w:t>
      </w:r>
      <w:r w:rsidRPr="00953281">
        <w:rPr>
          <w:szCs w:val="18"/>
          <w:lang w:val="es-ES"/>
        </w:rPr>
        <w:t>(2007</w:t>
      </w:r>
      <w:r w:rsidRPr="00953281">
        <w:rPr>
          <w:szCs w:val="18"/>
          <w:lang w:val="en-CA"/>
        </w:rPr>
        <w:t>年</w:t>
      </w:r>
      <w:r w:rsidRPr="00953281">
        <w:rPr>
          <w:szCs w:val="18"/>
          <w:lang w:val="es-ES"/>
        </w:rPr>
        <w:t>10</w:t>
      </w:r>
      <w:r w:rsidRPr="00953281">
        <w:rPr>
          <w:szCs w:val="18"/>
          <w:lang w:val="en-CA"/>
        </w:rPr>
        <w:t>月</w:t>
      </w:r>
      <w:r w:rsidRPr="00953281">
        <w:rPr>
          <w:szCs w:val="18"/>
          <w:lang w:val="es-ES"/>
        </w:rPr>
        <w:t>1</w:t>
      </w:r>
      <w:r w:rsidRPr="00953281">
        <w:rPr>
          <w:szCs w:val="18"/>
          <w:lang w:val="en-CA"/>
        </w:rPr>
        <w:t>日</w:t>
      </w:r>
      <w:r w:rsidRPr="00953281">
        <w:rPr>
          <w:szCs w:val="18"/>
          <w:lang w:val="es-ES"/>
        </w:rPr>
        <w:t>)</w:t>
      </w:r>
      <w:r w:rsidRPr="00953281">
        <w:rPr>
          <w:szCs w:val="18"/>
          <w:lang w:val="es-ES"/>
        </w:rPr>
        <w:t>，第</w:t>
      </w:r>
      <w:r w:rsidRPr="00953281">
        <w:rPr>
          <w:szCs w:val="18"/>
          <w:lang w:val="es-ES"/>
        </w:rPr>
        <w:t>131</w:t>
      </w:r>
      <w:r w:rsidRPr="00953281">
        <w:rPr>
          <w:rFonts w:hint="eastAsia"/>
          <w:szCs w:val="18"/>
          <w:lang w:val="es-ES"/>
        </w:rPr>
        <w:t>-</w:t>
      </w:r>
      <w:r w:rsidRPr="00953281">
        <w:rPr>
          <w:szCs w:val="18"/>
          <w:lang w:val="es-ES"/>
        </w:rPr>
        <w:t>132</w:t>
      </w:r>
      <w:r w:rsidRPr="00953281">
        <w:rPr>
          <w:szCs w:val="18"/>
          <w:lang w:val="en-CA"/>
        </w:rPr>
        <w:t>段</w:t>
      </w:r>
      <w:r w:rsidRPr="00953281">
        <w:rPr>
          <w:szCs w:val="18"/>
          <w:lang w:val="es-ES"/>
        </w:rPr>
        <w:t>(</w:t>
      </w:r>
      <w:r w:rsidRPr="00953281">
        <w:rPr>
          <w:szCs w:val="18"/>
          <w:lang w:val="en-CA"/>
        </w:rPr>
        <w:t>《联合王国与苏联双边投资条约》</w:t>
      </w:r>
      <w:r w:rsidRPr="00953281">
        <w:rPr>
          <w:szCs w:val="18"/>
          <w:lang w:val="es-ES"/>
        </w:rPr>
        <w:t>)</w:t>
      </w:r>
      <w:r w:rsidRPr="00953281">
        <w:rPr>
          <w:rFonts w:hint="eastAsia"/>
          <w:szCs w:val="18"/>
          <w:lang w:val="es-ES"/>
        </w:rPr>
        <w:t>，可查阅</w:t>
      </w:r>
      <w:r w:rsidRPr="00953281">
        <w:rPr>
          <w:szCs w:val="18"/>
          <w:lang w:val="es-ES"/>
        </w:rPr>
        <w:t>&lt;http://www.</w:t>
      </w:r>
      <w:r>
        <w:rPr>
          <w:rFonts w:hint="eastAsia"/>
          <w:szCs w:val="18"/>
          <w:lang w:val="es-ES"/>
        </w:rPr>
        <w:t xml:space="preserve"> </w:t>
      </w:r>
      <w:r w:rsidRPr="00953281">
        <w:rPr>
          <w:szCs w:val="18"/>
          <w:lang w:val="es-ES"/>
        </w:rPr>
        <w:t>italaw.com/sites/default/files/case-documents/ita0719.pdf&gt;</w:t>
      </w:r>
      <w:r w:rsidRPr="00953281">
        <w:rPr>
          <w:szCs w:val="18"/>
          <w:lang w:val="es-ES"/>
        </w:rPr>
        <w:t>；</w:t>
      </w:r>
      <w:r w:rsidRPr="004937FB">
        <w:rPr>
          <w:rStyle w:val="aff0"/>
          <w:b w:val="0"/>
          <w:bCs w:val="0"/>
          <w:szCs w:val="18"/>
          <w:lang w:val="es-ES"/>
        </w:rPr>
        <w:t xml:space="preserve">Renta 4 </w:t>
      </w:r>
      <w:r w:rsidRPr="004937FB">
        <w:rPr>
          <w:rStyle w:val="caps"/>
          <w:b/>
          <w:bCs/>
          <w:szCs w:val="18"/>
          <w:lang w:val="es-ES"/>
        </w:rPr>
        <w:t>S.V.S.</w:t>
      </w:r>
      <w:r w:rsidRPr="004937FB">
        <w:rPr>
          <w:rStyle w:val="aff0"/>
          <w:b w:val="0"/>
          <w:bCs w:val="0"/>
          <w:szCs w:val="18"/>
          <w:lang w:val="es-ES"/>
        </w:rPr>
        <w:t>A</w:t>
      </w:r>
      <w:r w:rsidRPr="004937FB">
        <w:rPr>
          <w:rStyle w:val="aff0"/>
          <w:b w:val="0"/>
          <w:bCs w:val="0"/>
          <w:szCs w:val="18"/>
          <w:lang w:val="es-ES"/>
        </w:rPr>
        <w:t>、</w:t>
      </w:r>
      <w:r w:rsidRPr="004937FB">
        <w:rPr>
          <w:rStyle w:val="aff0"/>
          <w:b w:val="0"/>
          <w:bCs w:val="0"/>
          <w:szCs w:val="18"/>
          <w:lang w:val="es-ES"/>
        </w:rPr>
        <w:t>Ahorro Corporación Emergentes F.I.</w:t>
      </w:r>
      <w:r w:rsidRPr="004937FB">
        <w:rPr>
          <w:rStyle w:val="aff0"/>
          <w:b w:val="0"/>
          <w:bCs w:val="0"/>
          <w:szCs w:val="18"/>
          <w:lang w:val="es-ES"/>
        </w:rPr>
        <w:t>、</w:t>
      </w:r>
      <w:r w:rsidRPr="004937FB">
        <w:rPr>
          <w:rStyle w:val="aff0"/>
          <w:b w:val="0"/>
          <w:bCs w:val="0"/>
          <w:szCs w:val="18"/>
          <w:lang w:val="es-ES"/>
        </w:rPr>
        <w:t>Ahorro Corporación Eurofondo F.I.</w:t>
      </w:r>
      <w:r w:rsidRPr="004937FB">
        <w:rPr>
          <w:rStyle w:val="aff0"/>
          <w:b w:val="0"/>
          <w:bCs w:val="0"/>
          <w:szCs w:val="18"/>
          <w:lang w:val="es-ES"/>
        </w:rPr>
        <w:t>、</w:t>
      </w:r>
      <w:r w:rsidRPr="004937FB">
        <w:rPr>
          <w:rStyle w:val="aff0"/>
          <w:b w:val="0"/>
          <w:bCs w:val="0"/>
          <w:szCs w:val="18"/>
          <w:lang w:val="es-ES"/>
        </w:rPr>
        <w:t xml:space="preserve">Rovime Inversiones </w:t>
      </w:r>
      <w:r w:rsidRPr="004937FB">
        <w:rPr>
          <w:rStyle w:val="caps"/>
          <w:szCs w:val="18"/>
          <w:lang w:val="es-ES"/>
        </w:rPr>
        <w:t>SICAV</w:t>
      </w:r>
      <w:r w:rsidRPr="004937FB">
        <w:rPr>
          <w:rStyle w:val="aff0"/>
          <w:b w:val="0"/>
          <w:bCs w:val="0"/>
          <w:szCs w:val="18"/>
          <w:lang w:val="es-ES"/>
        </w:rPr>
        <w:t xml:space="preserve"> S.A.</w:t>
      </w:r>
      <w:r w:rsidRPr="004937FB">
        <w:rPr>
          <w:rStyle w:val="aff0"/>
          <w:b w:val="0"/>
          <w:bCs w:val="0"/>
          <w:szCs w:val="18"/>
          <w:lang w:val="es-ES"/>
        </w:rPr>
        <w:t>、</w:t>
      </w:r>
      <w:r w:rsidRPr="004937FB">
        <w:rPr>
          <w:rStyle w:val="aff0"/>
          <w:b w:val="0"/>
          <w:bCs w:val="0"/>
          <w:szCs w:val="18"/>
          <w:lang w:val="es-ES"/>
        </w:rPr>
        <w:t xml:space="preserve">Quasar de Valors </w:t>
      </w:r>
      <w:r w:rsidRPr="008E4092">
        <w:rPr>
          <w:rStyle w:val="caps"/>
          <w:szCs w:val="18"/>
          <w:lang w:val="es-ES"/>
        </w:rPr>
        <w:t>SICAV</w:t>
      </w:r>
      <w:r w:rsidRPr="008E4092">
        <w:rPr>
          <w:rStyle w:val="aff0"/>
          <w:szCs w:val="18"/>
          <w:lang w:val="es-ES"/>
        </w:rPr>
        <w:t xml:space="preserve"> </w:t>
      </w:r>
      <w:r w:rsidRPr="004937FB">
        <w:rPr>
          <w:rStyle w:val="aff0"/>
          <w:b w:val="0"/>
          <w:bCs w:val="0"/>
          <w:szCs w:val="18"/>
          <w:lang w:val="es-ES"/>
        </w:rPr>
        <w:t>S.A.</w:t>
      </w:r>
      <w:r w:rsidRPr="004937FB">
        <w:rPr>
          <w:rStyle w:val="aff0"/>
          <w:b w:val="0"/>
          <w:bCs w:val="0"/>
          <w:szCs w:val="18"/>
          <w:lang w:val="es-ES"/>
        </w:rPr>
        <w:t>、</w:t>
      </w:r>
      <w:r w:rsidRPr="004937FB">
        <w:rPr>
          <w:rStyle w:val="aff0"/>
          <w:b w:val="0"/>
          <w:bCs w:val="0"/>
          <w:szCs w:val="18"/>
          <w:lang w:val="es-ES"/>
        </w:rPr>
        <w:t xml:space="preserve">Orgor de Valores </w:t>
      </w:r>
      <w:r w:rsidRPr="004937FB">
        <w:rPr>
          <w:rStyle w:val="caps"/>
          <w:szCs w:val="18"/>
          <w:lang w:val="es-ES"/>
        </w:rPr>
        <w:t>SICAV</w:t>
      </w:r>
      <w:r w:rsidRPr="004937FB">
        <w:rPr>
          <w:rStyle w:val="aff0"/>
          <w:b w:val="0"/>
          <w:bCs w:val="0"/>
          <w:szCs w:val="18"/>
          <w:lang w:val="es-ES"/>
        </w:rPr>
        <w:t xml:space="preserve"> S.A.</w:t>
      </w:r>
      <w:r w:rsidRPr="00953281">
        <w:rPr>
          <w:rStyle w:val="aff0"/>
          <w:szCs w:val="18"/>
          <w:lang w:val="es-ES"/>
        </w:rPr>
        <w:t>、</w:t>
      </w:r>
      <w:r w:rsidRPr="00953281">
        <w:rPr>
          <w:rStyle w:val="caps"/>
          <w:szCs w:val="18"/>
          <w:lang w:val="es-ES"/>
        </w:rPr>
        <w:t>GBI</w:t>
      </w:r>
      <w:r w:rsidRPr="00953281">
        <w:rPr>
          <w:rStyle w:val="aff0"/>
          <w:szCs w:val="18"/>
          <w:lang w:val="es-ES"/>
        </w:rPr>
        <w:t xml:space="preserve"> </w:t>
      </w:r>
      <w:r w:rsidRPr="008E4092">
        <w:rPr>
          <w:rStyle w:val="aff0"/>
          <w:b w:val="0"/>
          <w:bCs w:val="0"/>
          <w:szCs w:val="18"/>
          <w:lang w:val="es-ES"/>
        </w:rPr>
        <w:t>9000</w:t>
      </w:r>
      <w:r w:rsidRPr="00953281">
        <w:rPr>
          <w:rStyle w:val="aff0"/>
          <w:szCs w:val="18"/>
          <w:lang w:val="es-ES"/>
        </w:rPr>
        <w:t xml:space="preserve"> </w:t>
      </w:r>
      <w:r w:rsidRPr="00953281">
        <w:rPr>
          <w:rStyle w:val="caps"/>
          <w:szCs w:val="18"/>
          <w:lang w:val="es-ES"/>
        </w:rPr>
        <w:t>SICAV</w:t>
      </w:r>
      <w:r w:rsidRPr="00953281">
        <w:rPr>
          <w:rStyle w:val="aff0"/>
          <w:szCs w:val="18"/>
          <w:lang w:val="es-ES"/>
        </w:rPr>
        <w:t xml:space="preserve"> </w:t>
      </w:r>
      <w:r w:rsidRPr="008E4092">
        <w:rPr>
          <w:rStyle w:val="aff0"/>
          <w:b w:val="0"/>
          <w:bCs w:val="0"/>
          <w:szCs w:val="18"/>
          <w:lang w:val="es-ES"/>
        </w:rPr>
        <w:t>S.A</w:t>
      </w:r>
      <w:r w:rsidRPr="00953281">
        <w:rPr>
          <w:rStyle w:val="aff0"/>
          <w:szCs w:val="18"/>
          <w:lang w:val="es-ES"/>
        </w:rPr>
        <w:t>. </w:t>
      </w:r>
      <w:r w:rsidRPr="006578DB">
        <w:rPr>
          <w:rStyle w:val="aff0"/>
          <w:rFonts w:ascii="楷体" w:eastAsia="楷体" w:hAnsi="楷体"/>
          <w:b w:val="0"/>
          <w:bCs w:val="0"/>
          <w:i w:val="0"/>
          <w:iCs w:val="0"/>
          <w:szCs w:val="18"/>
        </w:rPr>
        <w:t>诉俄罗斯联邦案，</w:t>
      </w:r>
      <w:r w:rsidRPr="00953281">
        <w:rPr>
          <w:szCs w:val="18"/>
          <w:lang w:val="en-CA"/>
        </w:rPr>
        <w:t>关于初步反对意见的裁决</w:t>
      </w:r>
      <w:r w:rsidRPr="00953281">
        <w:rPr>
          <w:szCs w:val="18"/>
          <w:lang w:val="es-ES"/>
        </w:rPr>
        <w:t>，</w:t>
      </w:r>
      <w:r w:rsidRPr="00953281">
        <w:rPr>
          <w:rStyle w:val="caps"/>
          <w:szCs w:val="18"/>
          <w:lang w:val="en-CA"/>
        </w:rPr>
        <w:t>斯德哥尔摩商会仲裁院第</w:t>
      </w:r>
      <w:r w:rsidRPr="00953281">
        <w:rPr>
          <w:szCs w:val="18"/>
          <w:lang w:val="es-ES"/>
        </w:rPr>
        <w:t>24/2007</w:t>
      </w:r>
      <w:r w:rsidRPr="00953281">
        <w:rPr>
          <w:szCs w:val="18"/>
          <w:lang w:val="en-CA"/>
        </w:rPr>
        <w:t>号案件</w:t>
      </w:r>
      <w:r w:rsidRPr="00953281">
        <w:rPr>
          <w:szCs w:val="18"/>
          <w:lang w:val="es-ES"/>
        </w:rPr>
        <w:t>(2009</w:t>
      </w:r>
      <w:r w:rsidRPr="00953281">
        <w:rPr>
          <w:szCs w:val="18"/>
          <w:lang w:val="en-CA"/>
        </w:rPr>
        <w:t>年</w:t>
      </w:r>
      <w:r w:rsidRPr="00953281">
        <w:rPr>
          <w:szCs w:val="18"/>
          <w:lang w:val="es-ES"/>
        </w:rPr>
        <w:t>3</w:t>
      </w:r>
      <w:r w:rsidRPr="00953281">
        <w:rPr>
          <w:szCs w:val="18"/>
          <w:lang w:val="en-CA"/>
        </w:rPr>
        <w:t>月</w:t>
      </w:r>
      <w:r w:rsidRPr="00953281">
        <w:rPr>
          <w:szCs w:val="18"/>
          <w:lang w:val="es-ES"/>
        </w:rPr>
        <w:t>20</w:t>
      </w:r>
      <w:r w:rsidRPr="00953281">
        <w:rPr>
          <w:szCs w:val="18"/>
          <w:lang w:val="en-CA"/>
        </w:rPr>
        <w:t>日</w:t>
      </w:r>
      <w:r w:rsidRPr="00953281">
        <w:rPr>
          <w:szCs w:val="18"/>
          <w:lang w:val="es-ES"/>
        </w:rPr>
        <w:t>)</w:t>
      </w:r>
      <w:r w:rsidRPr="00953281">
        <w:rPr>
          <w:szCs w:val="18"/>
          <w:lang w:val="es-ES"/>
        </w:rPr>
        <w:t>，</w:t>
      </w:r>
      <w:r w:rsidRPr="00953281">
        <w:rPr>
          <w:szCs w:val="18"/>
          <w:lang w:val="en-CA"/>
        </w:rPr>
        <w:t>第</w:t>
      </w:r>
      <w:r w:rsidRPr="00953281">
        <w:rPr>
          <w:szCs w:val="18"/>
          <w:lang w:val="es-ES"/>
        </w:rPr>
        <w:t>100</w:t>
      </w:r>
      <w:r w:rsidRPr="00953281">
        <w:rPr>
          <w:szCs w:val="18"/>
          <w:lang w:val="en-CA"/>
        </w:rPr>
        <w:t>段</w:t>
      </w:r>
      <w:r w:rsidRPr="00953281">
        <w:rPr>
          <w:szCs w:val="18"/>
          <w:lang w:val="es-ES"/>
        </w:rPr>
        <w:t>(</w:t>
      </w:r>
      <w:r w:rsidRPr="00953281">
        <w:rPr>
          <w:szCs w:val="18"/>
          <w:lang w:val="en-CA"/>
        </w:rPr>
        <w:t>《西班牙与俄罗斯双边投资条约》</w:t>
      </w:r>
      <w:r w:rsidRPr="00953281">
        <w:rPr>
          <w:szCs w:val="18"/>
          <w:lang w:val="es-ES"/>
        </w:rPr>
        <w:t>)</w:t>
      </w:r>
      <w:r w:rsidRPr="00953281">
        <w:rPr>
          <w:rFonts w:hint="eastAsia"/>
          <w:szCs w:val="18"/>
          <w:lang w:val="es-ES"/>
        </w:rPr>
        <w:t>，可查阅</w:t>
      </w:r>
      <w:r w:rsidRPr="00953281">
        <w:rPr>
          <w:szCs w:val="18"/>
          <w:lang w:val="es-ES"/>
        </w:rPr>
        <w:t>&lt;http://www.italaw.com/sites/default/files/case-documents/</w:t>
      </w:r>
      <w:r>
        <w:rPr>
          <w:rFonts w:hint="eastAsia"/>
          <w:szCs w:val="18"/>
          <w:lang w:val="es-ES"/>
        </w:rPr>
        <w:t xml:space="preserve"> </w:t>
      </w:r>
      <w:r w:rsidRPr="00953281">
        <w:rPr>
          <w:szCs w:val="18"/>
          <w:lang w:val="es-ES"/>
        </w:rPr>
        <w:t>ita1075.pdf&gt;</w:t>
      </w:r>
      <w:r w:rsidRPr="00953281">
        <w:rPr>
          <w:szCs w:val="18"/>
          <w:lang w:val="es-ES"/>
        </w:rPr>
        <w:t>；</w:t>
      </w:r>
      <w:r w:rsidRPr="006578DB">
        <w:rPr>
          <w:rStyle w:val="aff0"/>
          <w:rFonts w:ascii="楷体" w:eastAsia="楷体" w:hAnsi="楷体"/>
          <w:b w:val="0"/>
          <w:bCs w:val="0"/>
          <w:i w:val="0"/>
          <w:iCs w:val="0"/>
          <w:szCs w:val="18"/>
        </w:rPr>
        <w:t>奥地利航空诉斯洛伐克共和国案，最终裁决，</w:t>
      </w:r>
      <w:r w:rsidRPr="00953281">
        <w:rPr>
          <w:szCs w:val="18"/>
          <w:lang w:val="en-CA"/>
        </w:rPr>
        <w:t>联合国国际贸易法委员会</w:t>
      </w:r>
      <w:r w:rsidRPr="00953281">
        <w:rPr>
          <w:szCs w:val="18"/>
          <w:lang w:val="es-ES"/>
        </w:rPr>
        <w:t>(2009</w:t>
      </w:r>
      <w:r w:rsidRPr="00953281">
        <w:rPr>
          <w:szCs w:val="18"/>
          <w:lang w:val="en-CA"/>
        </w:rPr>
        <w:t>年</w:t>
      </w:r>
      <w:r w:rsidRPr="00953281">
        <w:rPr>
          <w:szCs w:val="18"/>
          <w:lang w:val="es-ES"/>
        </w:rPr>
        <w:t>10</w:t>
      </w:r>
      <w:r w:rsidRPr="00953281">
        <w:rPr>
          <w:szCs w:val="18"/>
          <w:lang w:val="en-CA"/>
        </w:rPr>
        <w:t>月</w:t>
      </w:r>
      <w:r w:rsidRPr="00953281">
        <w:rPr>
          <w:szCs w:val="18"/>
          <w:lang w:val="es-ES"/>
        </w:rPr>
        <w:t>9</w:t>
      </w:r>
      <w:r w:rsidRPr="00953281">
        <w:rPr>
          <w:szCs w:val="18"/>
          <w:lang w:val="en-CA"/>
        </w:rPr>
        <w:t>日</w:t>
      </w:r>
      <w:r w:rsidRPr="00953281">
        <w:rPr>
          <w:szCs w:val="18"/>
          <w:lang w:val="es-ES"/>
        </w:rPr>
        <w:t>)</w:t>
      </w:r>
      <w:r w:rsidRPr="00953281">
        <w:rPr>
          <w:szCs w:val="18"/>
          <w:lang w:val="es-ES"/>
        </w:rPr>
        <w:t>，</w:t>
      </w:r>
      <w:r w:rsidRPr="00953281">
        <w:rPr>
          <w:szCs w:val="18"/>
          <w:lang w:val="en-CA"/>
        </w:rPr>
        <w:t>第</w:t>
      </w:r>
      <w:r w:rsidRPr="00953281">
        <w:rPr>
          <w:szCs w:val="18"/>
          <w:lang w:val="es-ES"/>
        </w:rPr>
        <w:t>124</w:t>
      </w:r>
      <w:r w:rsidRPr="00953281">
        <w:rPr>
          <w:szCs w:val="18"/>
          <w:lang w:val="en-CA"/>
        </w:rPr>
        <w:t>段</w:t>
      </w:r>
      <w:r w:rsidRPr="00953281">
        <w:rPr>
          <w:spacing w:val="-3"/>
          <w:szCs w:val="18"/>
          <w:lang w:val="es-ES"/>
        </w:rPr>
        <w:t>(</w:t>
      </w:r>
      <w:r w:rsidRPr="00953281">
        <w:rPr>
          <w:spacing w:val="-3"/>
          <w:szCs w:val="18"/>
          <w:lang w:val="en-CA"/>
        </w:rPr>
        <w:t>《奥地利与捷克斯洛伐克共和国双边投资条约》</w:t>
      </w:r>
      <w:r w:rsidRPr="00953281">
        <w:rPr>
          <w:spacing w:val="-3"/>
          <w:szCs w:val="18"/>
          <w:lang w:val="es-ES"/>
        </w:rPr>
        <w:t>)</w:t>
      </w:r>
      <w:r w:rsidRPr="00953281">
        <w:rPr>
          <w:spacing w:val="-3"/>
          <w:szCs w:val="18"/>
          <w:lang w:val="es-ES"/>
        </w:rPr>
        <w:t>，</w:t>
      </w:r>
      <w:r w:rsidRPr="00953281">
        <w:rPr>
          <w:spacing w:val="-3"/>
          <w:szCs w:val="18"/>
          <w:lang w:val="en-CA"/>
        </w:rPr>
        <w:t>可查阅</w:t>
      </w:r>
      <w:r w:rsidRPr="00953281">
        <w:rPr>
          <w:szCs w:val="18"/>
          <w:lang w:val="es-ES"/>
        </w:rPr>
        <w:t>&lt;http://www.italaw.</w:t>
      </w:r>
      <w:r>
        <w:rPr>
          <w:rFonts w:hint="eastAsia"/>
          <w:szCs w:val="18"/>
          <w:lang w:val="es-ES"/>
        </w:rPr>
        <w:t xml:space="preserve"> </w:t>
      </w:r>
      <w:r w:rsidRPr="00953281">
        <w:rPr>
          <w:szCs w:val="18"/>
          <w:lang w:val="es-ES"/>
        </w:rPr>
        <w:t>com/cases/103</w:t>
      </w:r>
      <w:r w:rsidRPr="00953281">
        <w:rPr>
          <w:rStyle w:val="ad"/>
          <w:szCs w:val="18"/>
          <w:lang w:val="es-ES"/>
        </w:rPr>
        <w:t>&gt;</w:t>
      </w:r>
      <w:r w:rsidRPr="00953281">
        <w:rPr>
          <w:szCs w:val="18"/>
          <w:lang w:val="en-CA"/>
        </w:rPr>
        <w:t>。</w:t>
      </w:r>
    </w:p>
  </w:footnote>
  <w:footnote w:id="50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s-ES"/>
        </w:rPr>
        <w:tab/>
      </w:r>
      <w:r w:rsidRPr="00953281">
        <w:rPr>
          <w:rStyle w:val="a3"/>
          <w:sz w:val="21"/>
          <w:szCs w:val="18"/>
        </w:rPr>
        <w:footnoteRef/>
      </w:r>
      <w:r w:rsidRPr="00953281">
        <w:rPr>
          <w:szCs w:val="18"/>
          <w:lang w:val="en-CA"/>
        </w:rPr>
        <w:tab/>
      </w:r>
      <w:r w:rsidRPr="006578DB">
        <w:rPr>
          <w:rStyle w:val="aff0"/>
          <w:rFonts w:ascii="楷体" w:eastAsia="楷体" w:hAnsi="楷体"/>
          <w:b w:val="0"/>
          <w:bCs w:val="0"/>
          <w:i w:val="0"/>
          <w:iCs w:val="0"/>
          <w:szCs w:val="18"/>
        </w:rPr>
        <w:t>萨利尼案，</w:t>
      </w:r>
      <w:r w:rsidRPr="00953281">
        <w:rPr>
          <w:szCs w:val="18"/>
          <w:lang w:val="en-CA"/>
        </w:rPr>
        <w:t>第</w:t>
      </w:r>
      <w:r w:rsidRPr="00953281">
        <w:rPr>
          <w:szCs w:val="18"/>
          <w:lang w:val="en-CA"/>
        </w:rPr>
        <w:t>112</w:t>
      </w:r>
      <w:r w:rsidRPr="00953281">
        <w:rPr>
          <w:szCs w:val="18"/>
          <w:lang w:val="en-CA"/>
        </w:rPr>
        <w:t>段；另见</w:t>
      </w:r>
      <w:r w:rsidRPr="008E4092">
        <w:rPr>
          <w:rStyle w:val="aff0"/>
          <w:rFonts w:eastAsia="楷体"/>
          <w:b w:val="0"/>
          <w:bCs w:val="0"/>
          <w:szCs w:val="18"/>
          <w:lang w:val="en-CA"/>
        </w:rPr>
        <w:t>Vladimir Berschader</w:t>
      </w:r>
      <w:r w:rsidRPr="00953281">
        <w:rPr>
          <w:rStyle w:val="aff0"/>
          <w:rFonts w:eastAsia="楷体"/>
          <w:szCs w:val="18"/>
          <w:lang w:val="en-CA"/>
        </w:rPr>
        <w:t xml:space="preserve"> </w:t>
      </w:r>
      <w:r w:rsidRPr="006578DB">
        <w:rPr>
          <w:rStyle w:val="aff0"/>
          <w:rFonts w:ascii="楷体" w:eastAsia="楷体" w:hAnsi="楷体"/>
          <w:b w:val="0"/>
          <w:bCs w:val="0"/>
          <w:i w:val="0"/>
          <w:iCs w:val="0"/>
          <w:szCs w:val="18"/>
        </w:rPr>
        <w:t>和</w:t>
      </w:r>
      <w:r w:rsidRPr="008E4092">
        <w:rPr>
          <w:rStyle w:val="aff0"/>
          <w:rFonts w:eastAsia="楷体"/>
          <w:b w:val="0"/>
          <w:bCs w:val="0"/>
          <w:szCs w:val="18"/>
          <w:lang w:val="en-CA"/>
        </w:rPr>
        <w:t xml:space="preserve"> Moïse Berschader</w:t>
      </w:r>
      <w:r w:rsidRPr="00953281">
        <w:rPr>
          <w:rStyle w:val="aff0"/>
          <w:rFonts w:eastAsia="楷体"/>
          <w:szCs w:val="18"/>
          <w:lang w:val="en-CA"/>
        </w:rPr>
        <w:t xml:space="preserve"> </w:t>
      </w:r>
      <w:r w:rsidRPr="006578DB">
        <w:rPr>
          <w:rStyle w:val="aff0"/>
          <w:rFonts w:ascii="楷体" w:eastAsia="楷体" w:hAnsi="楷体"/>
          <w:b w:val="0"/>
          <w:bCs w:val="0"/>
          <w:i w:val="0"/>
          <w:iCs w:val="0"/>
          <w:szCs w:val="18"/>
        </w:rPr>
        <w:t>诉俄罗斯联邦案</w:t>
      </w:r>
      <w:r w:rsidRPr="006578DB">
        <w:rPr>
          <w:rStyle w:val="aff0"/>
          <w:rFonts w:ascii="楷体" w:eastAsia="楷体" w:hAnsi="楷体"/>
        </w:rPr>
        <w:t>，</w:t>
      </w:r>
      <w:r w:rsidRPr="00953281">
        <w:rPr>
          <w:szCs w:val="18"/>
          <w:lang w:val="en-CA"/>
        </w:rPr>
        <w:t>斯德哥尔摩商会仲裁院</w:t>
      </w:r>
      <w:r w:rsidRPr="00953281">
        <w:rPr>
          <w:szCs w:val="18"/>
        </w:rPr>
        <w:t>第</w:t>
      </w:r>
      <w:r w:rsidRPr="00953281">
        <w:rPr>
          <w:szCs w:val="18"/>
          <w:lang w:val="en-CA"/>
        </w:rPr>
        <w:t>080/2004</w:t>
      </w:r>
      <w:r w:rsidRPr="00953281">
        <w:rPr>
          <w:szCs w:val="18"/>
          <w:lang w:val="en-CA"/>
        </w:rPr>
        <w:t>号案件</w:t>
      </w:r>
      <w:r w:rsidRPr="00953281">
        <w:rPr>
          <w:szCs w:val="18"/>
          <w:lang w:val="en-CA"/>
        </w:rPr>
        <w:t>(2006</w:t>
      </w:r>
      <w:r w:rsidRPr="00953281">
        <w:rPr>
          <w:szCs w:val="18"/>
          <w:lang w:val="en-CA"/>
        </w:rPr>
        <w:t>年</w:t>
      </w:r>
      <w:r w:rsidRPr="00953281">
        <w:rPr>
          <w:szCs w:val="18"/>
          <w:lang w:val="en-CA"/>
        </w:rPr>
        <w:t>4</w:t>
      </w:r>
      <w:r w:rsidRPr="00953281">
        <w:rPr>
          <w:szCs w:val="18"/>
          <w:lang w:val="en-CA"/>
        </w:rPr>
        <w:t>月</w:t>
      </w:r>
      <w:r w:rsidRPr="00953281">
        <w:rPr>
          <w:szCs w:val="18"/>
          <w:lang w:val="en-CA"/>
        </w:rPr>
        <w:t>21</w:t>
      </w:r>
      <w:r w:rsidRPr="00953281">
        <w:rPr>
          <w:szCs w:val="18"/>
          <w:lang w:val="en-CA"/>
        </w:rPr>
        <w:t>日</w:t>
      </w:r>
      <w:r w:rsidRPr="00953281">
        <w:rPr>
          <w:szCs w:val="18"/>
          <w:lang w:val="en-CA"/>
        </w:rPr>
        <w:t>)</w:t>
      </w:r>
      <w:r w:rsidRPr="00953281">
        <w:rPr>
          <w:szCs w:val="18"/>
          <w:lang w:val="en-CA"/>
        </w:rPr>
        <w:t>，</w:t>
      </w:r>
      <w:r w:rsidRPr="00953281">
        <w:rPr>
          <w:rFonts w:eastAsia="楷体"/>
          <w:szCs w:val="18"/>
          <w:lang w:val="en-CA"/>
        </w:rPr>
        <w:t>第</w:t>
      </w:r>
      <w:r w:rsidRPr="00953281">
        <w:rPr>
          <w:szCs w:val="18"/>
          <w:lang w:val="en-CA"/>
        </w:rPr>
        <w:t>175</w:t>
      </w:r>
      <w:r w:rsidRPr="00953281">
        <w:rPr>
          <w:rFonts w:eastAsia="楷体"/>
          <w:szCs w:val="18"/>
          <w:lang w:val="en-CA"/>
        </w:rPr>
        <w:t>段</w:t>
      </w:r>
      <w:r w:rsidRPr="00953281">
        <w:rPr>
          <w:szCs w:val="18"/>
          <w:lang w:val="en-CA"/>
        </w:rPr>
        <w:t>(</w:t>
      </w:r>
      <w:r w:rsidRPr="00953281">
        <w:rPr>
          <w:szCs w:val="18"/>
          <w:lang w:val="en-CA"/>
        </w:rPr>
        <w:t>《比利时</w:t>
      </w:r>
      <w:r w:rsidRPr="00953281">
        <w:rPr>
          <w:szCs w:val="18"/>
          <w:lang w:val="en-CA"/>
        </w:rPr>
        <w:t>/</w:t>
      </w:r>
      <w:r w:rsidRPr="00953281">
        <w:rPr>
          <w:szCs w:val="18"/>
          <w:lang w:val="en-CA"/>
        </w:rPr>
        <w:t>卢森堡与苏联双边投资条约》</w:t>
      </w:r>
      <w:r w:rsidRPr="00953281">
        <w:rPr>
          <w:szCs w:val="18"/>
          <w:lang w:val="en-CA"/>
        </w:rPr>
        <w:t>)</w:t>
      </w:r>
      <w:r w:rsidRPr="00953281">
        <w:rPr>
          <w:szCs w:val="18"/>
          <w:lang w:val="en-CA"/>
        </w:rPr>
        <w:t>。</w:t>
      </w:r>
    </w:p>
  </w:footnote>
  <w:footnote w:id="50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rStyle w:val="aff0"/>
          <w:rFonts w:eastAsia="楷体"/>
          <w:i w:val="0"/>
          <w:iCs w:val="0"/>
          <w:szCs w:val="18"/>
        </w:rPr>
      </w:pPr>
      <w:r w:rsidRPr="00953281">
        <w:rPr>
          <w:b/>
          <w:szCs w:val="18"/>
          <w:lang w:val="en-CA"/>
        </w:rPr>
        <w:tab/>
      </w:r>
      <w:r w:rsidRPr="00953281">
        <w:rPr>
          <w:rStyle w:val="a3"/>
          <w:snapToGrid w:val="0"/>
          <w:sz w:val="21"/>
          <w:szCs w:val="18"/>
        </w:rPr>
        <w:footnoteRef/>
      </w:r>
      <w:r w:rsidRPr="00953281">
        <w:rPr>
          <w:b/>
          <w:szCs w:val="18"/>
          <w:lang w:val="en-CA"/>
        </w:rPr>
        <w:tab/>
      </w:r>
      <w:r w:rsidRPr="006578DB">
        <w:rPr>
          <w:rStyle w:val="aff0"/>
          <w:rFonts w:ascii="楷体" w:eastAsia="楷体" w:hAnsi="楷体"/>
          <w:b w:val="0"/>
          <w:bCs w:val="0"/>
          <w:i w:val="0"/>
          <w:iCs w:val="0"/>
          <w:szCs w:val="18"/>
        </w:rPr>
        <w:t>萨利尼案，</w:t>
      </w:r>
      <w:r w:rsidRPr="006578DB">
        <w:rPr>
          <w:rStyle w:val="aff0"/>
          <w:rFonts w:asciiTheme="minorEastAsia" w:eastAsiaTheme="minorEastAsia" w:hAnsiTheme="minorEastAsia"/>
          <w:b w:val="0"/>
          <w:bCs w:val="0"/>
          <w:i w:val="0"/>
          <w:iCs w:val="0"/>
          <w:szCs w:val="18"/>
        </w:rPr>
        <w:t>第106段。安巴提洛斯案(希腊诉联合王国)，案情：仲裁义务，</w:t>
      </w:r>
      <w:r w:rsidRPr="006578DB">
        <w:rPr>
          <w:rStyle w:val="aff0"/>
          <w:rFonts w:asciiTheme="minorEastAsia" w:eastAsiaTheme="minorEastAsia" w:hAnsiTheme="minorEastAsia" w:hint="eastAsia"/>
          <w:b w:val="0"/>
          <w:bCs w:val="0"/>
          <w:i w:val="0"/>
          <w:iCs w:val="0"/>
          <w:szCs w:val="18"/>
        </w:rPr>
        <w:t>判决</w:t>
      </w:r>
      <w:r w:rsidRPr="006578DB">
        <w:rPr>
          <w:rStyle w:val="aff0"/>
          <w:rFonts w:asciiTheme="minorEastAsia" w:eastAsiaTheme="minorEastAsia" w:hAnsiTheme="minorEastAsia"/>
          <w:b w:val="0"/>
          <w:bCs w:val="0"/>
          <w:i w:val="0"/>
          <w:iCs w:val="0"/>
          <w:szCs w:val="18"/>
        </w:rPr>
        <w:t>，《1953年国际法院案例汇编》，第10页。</w:t>
      </w:r>
    </w:p>
  </w:footnote>
  <w:footnote w:id="51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111</w:t>
      </w:r>
      <w:r w:rsidRPr="00953281">
        <w:rPr>
          <w:rFonts w:hint="eastAsia"/>
          <w:szCs w:val="18"/>
          <w:lang w:val="en-CA"/>
        </w:rPr>
        <w:t>-</w:t>
      </w:r>
      <w:r w:rsidRPr="00953281">
        <w:rPr>
          <w:szCs w:val="18"/>
          <w:lang w:val="en-CA"/>
        </w:rPr>
        <w:t>112</w:t>
      </w:r>
      <w:r w:rsidRPr="00953281">
        <w:rPr>
          <w:szCs w:val="18"/>
          <w:lang w:val="en-CA"/>
        </w:rPr>
        <w:t>段。</w:t>
      </w:r>
    </w:p>
  </w:footnote>
  <w:footnote w:id="51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着重标志为原文所加。</w:t>
      </w:r>
      <w:r w:rsidRPr="00953281">
        <w:rPr>
          <w:rFonts w:eastAsia="楷体"/>
          <w:szCs w:val="18"/>
          <w:lang w:val="en-CA"/>
        </w:rPr>
        <w:t>挪威电信移动通信公司诉匈牙利案，</w:t>
      </w:r>
      <w:r w:rsidRPr="00953281">
        <w:rPr>
          <w:rStyle w:val="caps"/>
          <w:szCs w:val="18"/>
          <w:lang w:val="en-CA"/>
        </w:rPr>
        <w:t>国际投资争端解决中心第</w:t>
      </w:r>
      <w:r w:rsidRPr="00953281">
        <w:rPr>
          <w:rStyle w:val="caps"/>
          <w:szCs w:val="18"/>
          <w:lang w:val="en-CA"/>
        </w:rPr>
        <w:t>ARB</w:t>
      </w:r>
      <w:r w:rsidRPr="00953281">
        <w:rPr>
          <w:szCs w:val="18"/>
          <w:lang w:val="en-CA"/>
        </w:rPr>
        <w:t>/04/15</w:t>
      </w:r>
      <w:r w:rsidRPr="00953281">
        <w:rPr>
          <w:szCs w:val="18"/>
          <w:lang w:val="en-CA"/>
        </w:rPr>
        <w:t>号案件</w:t>
      </w:r>
      <w:r w:rsidRPr="00953281">
        <w:rPr>
          <w:szCs w:val="18"/>
          <w:lang w:val="en-CA"/>
        </w:rPr>
        <w:t>(2006</w:t>
      </w:r>
      <w:r w:rsidRPr="00953281">
        <w:rPr>
          <w:szCs w:val="18"/>
          <w:lang w:val="en-CA"/>
        </w:rPr>
        <w:t>年</w:t>
      </w:r>
      <w:r w:rsidRPr="00953281">
        <w:rPr>
          <w:szCs w:val="18"/>
          <w:lang w:val="en-CA"/>
        </w:rPr>
        <w:t>9</w:t>
      </w:r>
      <w:r w:rsidRPr="00953281">
        <w:rPr>
          <w:szCs w:val="18"/>
          <w:lang w:val="en-CA"/>
        </w:rPr>
        <w:t>月</w:t>
      </w:r>
      <w:r w:rsidRPr="00953281">
        <w:rPr>
          <w:szCs w:val="18"/>
          <w:lang w:val="en-CA"/>
        </w:rPr>
        <w:t>13</w:t>
      </w:r>
      <w:r w:rsidRPr="00953281">
        <w:rPr>
          <w:szCs w:val="18"/>
          <w:lang w:val="en-CA"/>
        </w:rPr>
        <w:t>日</w:t>
      </w:r>
      <w:r w:rsidRPr="00953281">
        <w:rPr>
          <w:szCs w:val="18"/>
          <w:lang w:val="en-CA"/>
        </w:rPr>
        <w:t>)</w:t>
      </w:r>
      <w:r w:rsidRPr="00953281">
        <w:rPr>
          <w:szCs w:val="18"/>
          <w:lang w:val="en-CA"/>
        </w:rPr>
        <w:t>，</w:t>
      </w:r>
      <w:r w:rsidRPr="00953281">
        <w:rPr>
          <w:rFonts w:ascii="Time New Roman" w:hAnsi="Time New Roman"/>
          <w:szCs w:val="18"/>
          <w:lang w:val="en-CA"/>
        </w:rPr>
        <w:t>第</w:t>
      </w:r>
      <w:r w:rsidRPr="00953281">
        <w:rPr>
          <w:rFonts w:ascii="Time New Roman" w:hAnsi="Time New Roman"/>
          <w:szCs w:val="18"/>
          <w:lang w:val="en-CA"/>
        </w:rPr>
        <w:t>92</w:t>
      </w:r>
      <w:r w:rsidRPr="00953281">
        <w:rPr>
          <w:rFonts w:ascii="Time New Roman" w:hAnsi="Time New Roman"/>
          <w:szCs w:val="18"/>
          <w:lang w:val="en-CA"/>
        </w:rPr>
        <w:t>段</w:t>
      </w:r>
      <w:r w:rsidRPr="00953281">
        <w:rPr>
          <w:rFonts w:ascii="Time New Roman" w:hAnsi="Time New Roman"/>
          <w:szCs w:val="18"/>
          <w:lang w:val="en-CA"/>
        </w:rPr>
        <w:t>(</w:t>
      </w:r>
      <w:r w:rsidRPr="00953281">
        <w:rPr>
          <w:szCs w:val="18"/>
          <w:lang w:val="en-CA"/>
        </w:rPr>
        <w:t>《挪威与匈牙利双边投资条约》</w:t>
      </w:r>
      <w:r w:rsidRPr="00953281">
        <w:rPr>
          <w:szCs w:val="18"/>
          <w:lang w:val="en-CA"/>
        </w:rPr>
        <w:t>)</w:t>
      </w:r>
      <w:r w:rsidRPr="00953281">
        <w:rPr>
          <w:szCs w:val="18"/>
          <w:lang w:val="en-CA"/>
        </w:rPr>
        <w:t>。</w:t>
      </w:r>
    </w:p>
  </w:footnote>
  <w:footnote w:id="51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C05B36">
        <w:rPr>
          <w:rStyle w:val="aff0"/>
          <w:b w:val="0"/>
          <w:bCs w:val="0"/>
          <w:i w:val="0"/>
          <w:iCs w:val="0"/>
          <w:szCs w:val="18"/>
          <w:lang w:val="en-CA"/>
        </w:rPr>
        <w:t>Renta</w:t>
      </w:r>
      <w:r w:rsidRPr="00C05B36">
        <w:rPr>
          <w:rStyle w:val="aff0"/>
          <w:b w:val="0"/>
          <w:bCs w:val="0"/>
          <w:i w:val="0"/>
          <w:iCs w:val="0"/>
          <w:szCs w:val="18"/>
          <w:lang w:val="en-CA"/>
        </w:rPr>
        <w:t>案</w:t>
      </w:r>
      <w:r w:rsidRPr="00953281">
        <w:rPr>
          <w:rStyle w:val="aff0"/>
          <w:szCs w:val="18"/>
          <w:lang w:val="en-CA"/>
        </w:rPr>
        <w:t>，</w:t>
      </w:r>
      <w:r w:rsidRPr="00953281">
        <w:rPr>
          <w:szCs w:val="18"/>
          <w:lang w:val="en-CA"/>
        </w:rPr>
        <w:t>第</w:t>
      </w:r>
      <w:r w:rsidRPr="00953281">
        <w:rPr>
          <w:szCs w:val="18"/>
          <w:lang w:val="en-CA"/>
        </w:rPr>
        <w:t>100</w:t>
      </w:r>
      <w:r w:rsidRPr="00953281">
        <w:rPr>
          <w:szCs w:val="18"/>
          <w:lang w:val="en-CA"/>
        </w:rPr>
        <w:t>段；</w:t>
      </w:r>
      <w:r w:rsidRPr="00953281">
        <w:rPr>
          <w:rFonts w:eastAsia="楷体"/>
          <w:szCs w:val="18"/>
          <w:lang w:val="en-CA"/>
        </w:rPr>
        <w:t>奥地利航空案</w:t>
      </w:r>
      <w:r w:rsidRPr="00953281">
        <w:rPr>
          <w:szCs w:val="18"/>
          <w:lang w:val="en-CA"/>
        </w:rPr>
        <w:t>；</w:t>
      </w:r>
      <w:r w:rsidRPr="00953281">
        <w:rPr>
          <w:rFonts w:eastAsia="楷体"/>
          <w:szCs w:val="18"/>
          <w:lang w:val="en-CA"/>
        </w:rPr>
        <w:t>ICS</w:t>
      </w:r>
      <w:r w:rsidRPr="00953281">
        <w:rPr>
          <w:rFonts w:eastAsia="楷体"/>
          <w:szCs w:val="18"/>
          <w:lang w:val="en-CA"/>
        </w:rPr>
        <w:t>检测及监控服务有限公司</w:t>
      </w:r>
      <w:r w:rsidRPr="00953281">
        <w:rPr>
          <w:rFonts w:eastAsia="楷体"/>
          <w:szCs w:val="18"/>
          <w:lang w:val="en-CA"/>
        </w:rPr>
        <w:t>(</w:t>
      </w:r>
      <w:r w:rsidRPr="00953281">
        <w:rPr>
          <w:rFonts w:eastAsia="楷体"/>
          <w:szCs w:val="18"/>
          <w:lang w:val="en-CA"/>
        </w:rPr>
        <w:t>联合王国</w:t>
      </w:r>
      <w:r w:rsidRPr="00953281">
        <w:rPr>
          <w:rFonts w:eastAsia="楷体"/>
          <w:szCs w:val="18"/>
          <w:lang w:val="en-CA"/>
        </w:rPr>
        <w:t>)</w:t>
      </w:r>
      <w:r w:rsidRPr="00953281">
        <w:rPr>
          <w:rFonts w:eastAsia="楷体"/>
          <w:szCs w:val="18"/>
          <w:lang w:val="en-CA"/>
        </w:rPr>
        <w:t>诉阿根廷共和国案，</w:t>
      </w:r>
      <w:r w:rsidRPr="00953281">
        <w:rPr>
          <w:szCs w:val="18"/>
          <w:lang w:val="en-CA"/>
        </w:rPr>
        <w:t>关于管辖权的裁决，</w:t>
      </w:r>
      <w:r w:rsidRPr="00953281">
        <w:rPr>
          <w:rStyle w:val="caps"/>
          <w:szCs w:val="18"/>
          <w:lang w:val="en-CA"/>
        </w:rPr>
        <w:t>联合国国际贸易法委员会</w:t>
      </w:r>
      <w:r w:rsidRPr="00953281">
        <w:rPr>
          <w:szCs w:val="18"/>
          <w:lang w:val="en-CA"/>
        </w:rPr>
        <w:t>，常设仲裁法院第</w:t>
      </w:r>
      <w:r w:rsidRPr="00953281">
        <w:rPr>
          <w:szCs w:val="18"/>
          <w:lang w:val="en-CA"/>
        </w:rPr>
        <w:t>2010-9</w:t>
      </w:r>
      <w:r w:rsidRPr="00953281">
        <w:rPr>
          <w:szCs w:val="18"/>
          <w:lang w:val="en-CA"/>
        </w:rPr>
        <w:t>号案件</w:t>
      </w:r>
      <w:r w:rsidRPr="00953281">
        <w:rPr>
          <w:szCs w:val="18"/>
          <w:lang w:val="en-CA"/>
        </w:rPr>
        <w:t>(2012</w:t>
      </w:r>
      <w:r w:rsidRPr="00953281">
        <w:rPr>
          <w:szCs w:val="18"/>
          <w:lang w:val="en-CA"/>
        </w:rPr>
        <w:t>年</w:t>
      </w:r>
      <w:r w:rsidRPr="00953281">
        <w:rPr>
          <w:szCs w:val="18"/>
          <w:lang w:val="en-CA"/>
        </w:rPr>
        <w:t>2</w:t>
      </w:r>
      <w:r w:rsidRPr="00953281">
        <w:rPr>
          <w:szCs w:val="18"/>
          <w:lang w:val="en-CA"/>
        </w:rPr>
        <w:t>月</w:t>
      </w:r>
      <w:r w:rsidRPr="00953281">
        <w:rPr>
          <w:szCs w:val="18"/>
          <w:lang w:val="en-CA"/>
        </w:rPr>
        <w:t>10</w:t>
      </w:r>
      <w:r w:rsidRPr="00953281">
        <w:rPr>
          <w:szCs w:val="18"/>
          <w:lang w:val="en-CA"/>
        </w:rPr>
        <w:t>日</w:t>
      </w:r>
      <w:r w:rsidRPr="00953281">
        <w:rPr>
          <w:szCs w:val="18"/>
          <w:lang w:val="en-CA"/>
        </w:rPr>
        <w:t>)</w:t>
      </w:r>
      <w:r w:rsidRPr="00953281">
        <w:rPr>
          <w:szCs w:val="18"/>
          <w:lang w:val="en-CA"/>
        </w:rPr>
        <w:t>，</w:t>
      </w:r>
      <w:r w:rsidRPr="00953281">
        <w:rPr>
          <w:szCs w:val="18"/>
          <w:lang w:val="en-CA"/>
        </w:rPr>
        <w:t>(</w:t>
      </w:r>
      <w:r w:rsidRPr="00953281">
        <w:rPr>
          <w:szCs w:val="18"/>
          <w:lang w:val="en-CA"/>
        </w:rPr>
        <w:t>《联合王国与阿根廷双边投资条约》</w:t>
      </w:r>
      <w:r w:rsidRPr="00953281">
        <w:rPr>
          <w:szCs w:val="18"/>
          <w:lang w:val="en-CA"/>
        </w:rPr>
        <w:t>)</w:t>
      </w:r>
      <w:r w:rsidRPr="00953281">
        <w:rPr>
          <w:szCs w:val="18"/>
          <w:lang w:val="en-CA"/>
        </w:rPr>
        <w:t>。</w:t>
      </w:r>
    </w:p>
  </w:footnote>
  <w:footnote w:id="51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256847">
        <w:rPr>
          <w:rFonts w:eastAsia="楷体"/>
          <w:b/>
          <w:bCs/>
          <w:szCs w:val="18"/>
          <w:lang w:val="en-CA"/>
        </w:rPr>
        <w:t>P</w:t>
      </w:r>
      <w:r w:rsidRPr="00256847">
        <w:rPr>
          <w:rStyle w:val="aff0"/>
          <w:rFonts w:eastAsia="楷体"/>
          <w:b w:val="0"/>
          <w:bCs w:val="0"/>
          <w:szCs w:val="18"/>
          <w:lang w:val="en-CA"/>
        </w:rPr>
        <w:t xml:space="preserve">lama Consortium Limited </w:t>
      </w:r>
      <w:r w:rsidRPr="00C05B36">
        <w:rPr>
          <w:rStyle w:val="aff0"/>
          <w:rFonts w:eastAsia="楷体"/>
          <w:b w:val="0"/>
          <w:bCs w:val="0"/>
          <w:i w:val="0"/>
          <w:iCs w:val="0"/>
          <w:szCs w:val="18"/>
          <w:lang w:val="en-CA"/>
        </w:rPr>
        <w:t>诉保加利亚共和国案</w:t>
      </w:r>
      <w:r w:rsidRPr="00C05B36">
        <w:rPr>
          <w:rFonts w:eastAsia="楷体"/>
          <w:b/>
          <w:bCs/>
          <w:i/>
          <w:iCs/>
          <w:szCs w:val="18"/>
          <w:lang w:val="en-CA"/>
        </w:rPr>
        <w:t>，</w:t>
      </w:r>
      <w:r w:rsidRPr="00953281">
        <w:rPr>
          <w:szCs w:val="18"/>
          <w:lang w:val="en-CA"/>
        </w:rPr>
        <w:t>关于管辖权的裁决，国际投资争端解决中心第</w:t>
      </w:r>
      <w:r w:rsidRPr="00953281">
        <w:rPr>
          <w:rStyle w:val="caps"/>
          <w:szCs w:val="18"/>
          <w:lang w:val="en-CA"/>
        </w:rPr>
        <w:t>ARB</w:t>
      </w:r>
      <w:r w:rsidRPr="00953281">
        <w:rPr>
          <w:szCs w:val="18"/>
          <w:lang w:val="en-CA"/>
        </w:rPr>
        <w:t>/03/24</w:t>
      </w:r>
      <w:r w:rsidRPr="00953281">
        <w:rPr>
          <w:szCs w:val="18"/>
          <w:lang w:val="en-CA"/>
        </w:rPr>
        <w:t>号案件</w:t>
      </w:r>
      <w:r w:rsidRPr="00953281">
        <w:rPr>
          <w:szCs w:val="18"/>
          <w:lang w:val="en-CA"/>
        </w:rPr>
        <w:t>(2005</w:t>
      </w:r>
      <w:r w:rsidRPr="00953281">
        <w:rPr>
          <w:szCs w:val="18"/>
          <w:lang w:val="en-CA"/>
        </w:rPr>
        <w:t>年</w:t>
      </w:r>
      <w:r w:rsidRPr="00953281">
        <w:rPr>
          <w:szCs w:val="18"/>
          <w:lang w:val="en-CA"/>
        </w:rPr>
        <w:t>2</w:t>
      </w:r>
      <w:r w:rsidRPr="00953281">
        <w:rPr>
          <w:szCs w:val="18"/>
          <w:lang w:val="en-CA"/>
        </w:rPr>
        <w:t>月</w:t>
      </w:r>
      <w:r w:rsidRPr="00953281">
        <w:rPr>
          <w:szCs w:val="18"/>
          <w:lang w:val="en-CA"/>
        </w:rPr>
        <w:t>8</w:t>
      </w:r>
      <w:r w:rsidRPr="00953281">
        <w:rPr>
          <w:szCs w:val="18"/>
          <w:lang w:val="en-CA"/>
        </w:rPr>
        <w:t>日</w:t>
      </w:r>
      <w:r w:rsidRPr="00953281">
        <w:rPr>
          <w:szCs w:val="18"/>
          <w:lang w:val="en-CA"/>
        </w:rPr>
        <w:t>)</w:t>
      </w:r>
      <w:r w:rsidRPr="00953281">
        <w:rPr>
          <w:szCs w:val="18"/>
          <w:lang w:val="en-CA"/>
        </w:rPr>
        <w:t>，</w:t>
      </w:r>
      <w:r w:rsidRPr="00953281">
        <w:rPr>
          <w:szCs w:val="18"/>
          <w:lang w:val="es-ES"/>
        </w:rPr>
        <w:t>第</w:t>
      </w:r>
      <w:r w:rsidRPr="00953281">
        <w:rPr>
          <w:szCs w:val="18"/>
          <w:lang w:val="en-CA"/>
        </w:rPr>
        <w:t>198</w:t>
      </w:r>
      <w:r w:rsidRPr="00953281">
        <w:rPr>
          <w:szCs w:val="18"/>
          <w:lang w:val="es-ES"/>
        </w:rPr>
        <w:t>段</w:t>
      </w:r>
      <w:r w:rsidRPr="00953281">
        <w:rPr>
          <w:szCs w:val="18"/>
          <w:lang w:val="en-CA"/>
        </w:rPr>
        <w:t>(</w:t>
      </w:r>
      <w:r w:rsidRPr="00953281">
        <w:rPr>
          <w:szCs w:val="18"/>
          <w:lang w:val="en-CA"/>
        </w:rPr>
        <w:t>《塞浦路斯与保加利亚双边投资条约》</w:t>
      </w:r>
      <w:r w:rsidRPr="00953281">
        <w:rPr>
          <w:szCs w:val="18"/>
          <w:lang w:val="en-CA"/>
        </w:rPr>
        <w:t>)</w:t>
      </w:r>
      <w:r w:rsidRPr="00953281">
        <w:rPr>
          <w:szCs w:val="18"/>
          <w:lang w:val="en-CA"/>
        </w:rPr>
        <w:t>。</w:t>
      </w:r>
    </w:p>
  </w:footnote>
  <w:footnote w:id="51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s-ES"/>
        </w:rPr>
        <w:t>同上</w:t>
      </w:r>
      <w:r w:rsidRPr="00953281">
        <w:rPr>
          <w:rFonts w:eastAsia="楷体"/>
          <w:szCs w:val="18"/>
          <w:lang w:val="en-CA"/>
        </w:rPr>
        <w:t>，</w:t>
      </w:r>
      <w:r w:rsidRPr="00953281">
        <w:rPr>
          <w:szCs w:val="18"/>
          <w:lang w:val="es-ES"/>
        </w:rPr>
        <w:t>第</w:t>
      </w:r>
      <w:r w:rsidRPr="00953281">
        <w:rPr>
          <w:szCs w:val="18"/>
          <w:lang w:val="en-CA"/>
        </w:rPr>
        <w:t>204</w:t>
      </w:r>
      <w:r w:rsidRPr="00953281">
        <w:rPr>
          <w:szCs w:val="18"/>
          <w:lang w:val="es-ES"/>
        </w:rPr>
        <w:t>段</w:t>
      </w:r>
      <w:r w:rsidRPr="00953281">
        <w:rPr>
          <w:szCs w:val="18"/>
          <w:lang w:val="en-CA"/>
        </w:rPr>
        <w:t>。</w:t>
      </w:r>
    </w:p>
  </w:footnote>
  <w:footnote w:id="51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szCs w:val="18"/>
        </w:rPr>
        <w:t>挪威电信案，</w:t>
      </w:r>
      <w:r w:rsidRPr="00953281">
        <w:rPr>
          <w:szCs w:val="18"/>
          <w:lang w:val="es-ES"/>
        </w:rPr>
        <w:t>第</w:t>
      </w:r>
      <w:r w:rsidRPr="00953281">
        <w:rPr>
          <w:szCs w:val="18"/>
          <w:lang w:val="en-CA"/>
        </w:rPr>
        <w:t>91</w:t>
      </w:r>
      <w:r w:rsidRPr="00953281">
        <w:rPr>
          <w:szCs w:val="18"/>
          <w:lang w:val="es-ES"/>
        </w:rPr>
        <w:t>段。</w:t>
      </w:r>
    </w:p>
  </w:footnote>
  <w:footnote w:id="51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Style w:val="aff0"/>
          <w:rFonts w:eastAsia="楷体"/>
          <w:szCs w:val="18"/>
          <w:lang w:val="en-CA"/>
        </w:rPr>
        <w:tab/>
      </w:r>
      <w:r w:rsidRPr="00953281">
        <w:rPr>
          <w:rStyle w:val="a3"/>
          <w:sz w:val="21"/>
          <w:szCs w:val="18"/>
        </w:rPr>
        <w:footnoteRef/>
      </w:r>
      <w:r w:rsidRPr="00953281">
        <w:rPr>
          <w:rStyle w:val="aff0"/>
          <w:rFonts w:eastAsia="楷体"/>
          <w:szCs w:val="18"/>
          <w:lang w:val="en-CA"/>
        </w:rPr>
        <w:tab/>
      </w:r>
      <w:r w:rsidRPr="00C05B36">
        <w:rPr>
          <w:rStyle w:val="aff0"/>
          <w:rFonts w:eastAsia="楷体"/>
          <w:b w:val="0"/>
          <w:bCs w:val="0"/>
          <w:i w:val="0"/>
          <w:iCs w:val="0"/>
          <w:szCs w:val="18"/>
          <w:lang w:val="en-CA"/>
        </w:rPr>
        <w:t>温特斯豪股份公司诉阿根廷共和国案</w:t>
      </w:r>
      <w:r w:rsidRPr="00C05B36">
        <w:rPr>
          <w:rStyle w:val="aff0"/>
          <w:b w:val="0"/>
          <w:bCs w:val="0"/>
          <w:i w:val="0"/>
          <w:iCs w:val="0"/>
          <w:szCs w:val="18"/>
          <w:lang w:val="en-CA"/>
        </w:rPr>
        <w:t>，</w:t>
      </w:r>
      <w:r w:rsidRPr="00953281">
        <w:rPr>
          <w:szCs w:val="18"/>
          <w:lang w:val="en-CA"/>
        </w:rPr>
        <w:t>裁决，</w:t>
      </w:r>
      <w:r w:rsidRPr="00953281">
        <w:rPr>
          <w:rStyle w:val="caps"/>
          <w:szCs w:val="18"/>
          <w:lang w:val="en-CA"/>
        </w:rPr>
        <w:t>国际投资争端解决中心第</w:t>
      </w:r>
      <w:r w:rsidRPr="00953281">
        <w:rPr>
          <w:rStyle w:val="caps"/>
          <w:szCs w:val="18"/>
          <w:lang w:val="en-CA"/>
        </w:rPr>
        <w:t>ARB</w:t>
      </w:r>
      <w:r w:rsidRPr="00953281">
        <w:rPr>
          <w:szCs w:val="18"/>
          <w:lang w:val="en-CA"/>
        </w:rPr>
        <w:t>/04/14</w:t>
      </w:r>
      <w:r w:rsidRPr="00953281">
        <w:rPr>
          <w:szCs w:val="18"/>
          <w:lang w:val="en-CA"/>
        </w:rPr>
        <w:t>号案件</w:t>
      </w:r>
      <w:r w:rsidRPr="00953281">
        <w:rPr>
          <w:szCs w:val="18"/>
          <w:lang w:val="en-CA"/>
        </w:rPr>
        <w:t>(2008</w:t>
      </w:r>
      <w:r w:rsidRPr="00953281">
        <w:rPr>
          <w:szCs w:val="18"/>
          <w:lang w:val="en-CA"/>
        </w:rPr>
        <w:t>年</w:t>
      </w:r>
      <w:r w:rsidRPr="00953281">
        <w:rPr>
          <w:szCs w:val="18"/>
          <w:lang w:val="en-CA"/>
        </w:rPr>
        <w:t>12</w:t>
      </w:r>
      <w:r w:rsidRPr="00953281">
        <w:rPr>
          <w:szCs w:val="18"/>
          <w:lang w:val="en-CA"/>
        </w:rPr>
        <w:t>月</w:t>
      </w:r>
      <w:r w:rsidRPr="00953281">
        <w:rPr>
          <w:szCs w:val="18"/>
          <w:lang w:val="en-CA"/>
        </w:rPr>
        <w:t>8</w:t>
      </w:r>
      <w:r w:rsidRPr="00953281">
        <w:rPr>
          <w:szCs w:val="18"/>
          <w:lang w:val="en-CA"/>
        </w:rPr>
        <w:t>日</w:t>
      </w:r>
      <w:r w:rsidRPr="00953281">
        <w:rPr>
          <w:szCs w:val="18"/>
          <w:lang w:val="en-CA"/>
        </w:rPr>
        <w:t>)</w:t>
      </w:r>
      <w:r w:rsidRPr="00953281">
        <w:rPr>
          <w:szCs w:val="18"/>
          <w:lang w:val="en-CA"/>
        </w:rPr>
        <w:t>，第</w:t>
      </w:r>
      <w:r w:rsidRPr="00953281">
        <w:rPr>
          <w:szCs w:val="18"/>
          <w:lang w:val="en-CA"/>
        </w:rPr>
        <w:t>167</w:t>
      </w:r>
      <w:r w:rsidRPr="00953281">
        <w:rPr>
          <w:szCs w:val="18"/>
          <w:lang w:val="en-CA"/>
        </w:rPr>
        <w:t>段</w:t>
      </w:r>
      <w:r w:rsidRPr="00953281">
        <w:rPr>
          <w:szCs w:val="18"/>
          <w:lang w:val="en-CA"/>
        </w:rPr>
        <w:t>(</w:t>
      </w:r>
      <w:r w:rsidRPr="00953281">
        <w:rPr>
          <w:szCs w:val="18"/>
          <w:lang w:val="en-CA"/>
        </w:rPr>
        <w:t>《阿根廷与德国双边投资条约》</w:t>
      </w:r>
      <w:r w:rsidRPr="00953281">
        <w:rPr>
          <w:szCs w:val="18"/>
          <w:lang w:val="en-CA"/>
        </w:rPr>
        <w:t>)</w:t>
      </w:r>
      <w:r w:rsidRPr="00953281">
        <w:rPr>
          <w:szCs w:val="18"/>
          <w:lang w:val="en-CA"/>
        </w:rPr>
        <w:t>。法庭认为，程序性规定不应涵盖在最惠国条款范围之内，除非</w:t>
      </w:r>
      <w:r w:rsidRPr="00953281">
        <w:rPr>
          <w:rFonts w:hint="eastAsia"/>
          <w:szCs w:val="18"/>
          <w:lang w:val="en-CA"/>
        </w:rPr>
        <w:t>“</w:t>
      </w:r>
      <w:r w:rsidRPr="00953281">
        <w:rPr>
          <w:szCs w:val="18"/>
          <w:lang w:val="en-CA"/>
        </w:rPr>
        <w:t>基础条约的最惠国条款明确而毫不含糊地指出应</w:t>
      </w:r>
      <w:r w:rsidRPr="00953281">
        <w:rPr>
          <w:rFonts w:hint="eastAsia"/>
          <w:szCs w:val="18"/>
          <w:lang w:val="en-CA"/>
        </w:rPr>
        <w:t>作</w:t>
      </w:r>
      <w:r w:rsidRPr="00953281">
        <w:rPr>
          <w:szCs w:val="18"/>
          <w:lang w:val="en-CA"/>
        </w:rPr>
        <w:t>如是解释：而本案的情况并非如此。</w:t>
      </w:r>
      <w:r w:rsidRPr="00953281">
        <w:rPr>
          <w:rFonts w:hint="eastAsia"/>
          <w:szCs w:val="18"/>
          <w:lang w:val="en-CA"/>
        </w:rPr>
        <w:t>”</w:t>
      </w:r>
    </w:p>
  </w:footnote>
  <w:footnote w:id="51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t>Suez</w:t>
      </w:r>
      <w:r w:rsidRPr="00953281">
        <w:rPr>
          <w:szCs w:val="18"/>
          <w:lang w:val="en-CA"/>
        </w:rPr>
        <w:t>、</w:t>
      </w:r>
      <w:r w:rsidRPr="00953281">
        <w:rPr>
          <w:szCs w:val="18"/>
          <w:lang w:val="en-CA"/>
        </w:rPr>
        <w:t>Sociedad General de Aguas de Barcelona S.A.</w:t>
      </w:r>
      <w:r w:rsidRPr="00953281">
        <w:rPr>
          <w:szCs w:val="18"/>
          <w:lang w:val="en-CA"/>
        </w:rPr>
        <w:t>、</w:t>
      </w:r>
      <w:r w:rsidRPr="00953281">
        <w:rPr>
          <w:szCs w:val="18"/>
          <w:lang w:val="en-CA"/>
        </w:rPr>
        <w:t>InterAguas Servicios Integrales del Agua S.A.</w:t>
      </w:r>
      <w:r w:rsidRPr="00953281">
        <w:rPr>
          <w:szCs w:val="18"/>
          <w:lang w:val="en-CA"/>
        </w:rPr>
        <w:t>诉阿根廷共和国案，关于管辖权的裁决，</w:t>
      </w:r>
      <w:r w:rsidRPr="00953281">
        <w:rPr>
          <w:rStyle w:val="caps"/>
          <w:szCs w:val="18"/>
          <w:lang w:val="es-ES"/>
        </w:rPr>
        <w:t>国际投资争端解决中心第</w:t>
      </w:r>
      <w:r w:rsidRPr="00953281">
        <w:rPr>
          <w:rStyle w:val="caps"/>
          <w:szCs w:val="18"/>
          <w:lang w:val="en-CA"/>
        </w:rPr>
        <w:t>ARB</w:t>
      </w:r>
      <w:r w:rsidRPr="00953281">
        <w:rPr>
          <w:szCs w:val="18"/>
          <w:lang w:val="en-CA"/>
        </w:rPr>
        <w:t>/03/17</w:t>
      </w:r>
      <w:r w:rsidRPr="00953281">
        <w:rPr>
          <w:szCs w:val="18"/>
          <w:lang w:val="en-CA"/>
        </w:rPr>
        <w:t>号案件</w:t>
      </w:r>
      <w:r w:rsidRPr="00953281">
        <w:rPr>
          <w:szCs w:val="18"/>
          <w:lang w:val="en-CA"/>
        </w:rPr>
        <w:t xml:space="preserve"> (2006</w:t>
      </w:r>
      <w:r w:rsidRPr="00953281">
        <w:rPr>
          <w:szCs w:val="18"/>
          <w:lang w:val="en-CA"/>
        </w:rPr>
        <w:t>年</w:t>
      </w:r>
      <w:r w:rsidRPr="00953281">
        <w:rPr>
          <w:szCs w:val="18"/>
          <w:lang w:val="en-CA"/>
        </w:rPr>
        <w:t>5</w:t>
      </w:r>
      <w:r w:rsidRPr="00953281">
        <w:rPr>
          <w:szCs w:val="18"/>
          <w:lang w:val="en-CA"/>
        </w:rPr>
        <w:t>月</w:t>
      </w:r>
      <w:r w:rsidRPr="00953281">
        <w:rPr>
          <w:szCs w:val="18"/>
          <w:lang w:val="en-CA"/>
        </w:rPr>
        <w:t>16</w:t>
      </w:r>
      <w:r w:rsidRPr="00953281">
        <w:rPr>
          <w:szCs w:val="18"/>
          <w:lang w:val="en-CA"/>
        </w:rPr>
        <w:t>日</w:t>
      </w:r>
      <w:r w:rsidRPr="00953281">
        <w:rPr>
          <w:szCs w:val="18"/>
          <w:lang w:val="en-CA"/>
        </w:rPr>
        <w:t>)</w:t>
      </w:r>
      <w:r w:rsidRPr="00953281">
        <w:rPr>
          <w:szCs w:val="18"/>
          <w:lang w:val="en-CA"/>
        </w:rPr>
        <w:t>，第</w:t>
      </w:r>
      <w:r w:rsidRPr="00953281">
        <w:rPr>
          <w:szCs w:val="18"/>
          <w:lang w:val="en-CA"/>
        </w:rPr>
        <w:t>64</w:t>
      </w:r>
      <w:r w:rsidRPr="00953281">
        <w:rPr>
          <w:szCs w:val="18"/>
          <w:lang w:val="en-CA"/>
        </w:rPr>
        <w:t>段</w:t>
      </w:r>
      <w:r w:rsidRPr="00953281">
        <w:rPr>
          <w:szCs w:val="18"/>
          <w:lang w:val="en-CA"/>
        </w:rPr>
        <w:t>(</w:t>
      </w:r>
      <w:r w:rsidRPr="00953281">
        <w:rPr>
          <w:szCs w:val="18"/>
          <w:lang w:val="en-CA"/>
        </w:rPr>
        <w:t>《法国与阿根廷双边投资条约》和《西班牙与阿根廷双边投资条约》</w:t>
      </w:r>
      <w:r w:rsidRPr="00953281">
        <w:rPr>
          <w:szCs w:val="18"/>
          <w:lang w:val="en-CA"/>
        </w:rPr>
        <w:t>)</w:t>
      </w:r>
      <w:r w:rsidRPr="00953281">
        <w:rPr>
          <w:szCs w:val="18"/>
          <w:lang w:val="en-CA"/>
        </w:rPr>
        <w:t>。</w:t>
      </w:r>
    </w:p>
  </w:footnote>
  <w:footnote w:id="51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奥地利航空案</w:t>
      </w:r>
      <w:r w:rsidRPr="00953281">
        <w:rPr>
          <w:szCs w:val="18"/>
          <w:lang w:val="en-CA"/>
        </w:rPr>
        <w:t>，第</w:t>
      </w:r>
      <w:r w:rsidRPr="00953281">
        <w:rPr>
          <w:szCs w:val="18"/>
          <w:lang w:val="en-CA"/>
        </w:rPr>
        <w:t>95</w:t>
      </w:r>
      <w:r w:rsidRPr="00953281">
        <w:rPr>
          <w:szCs w:val="18"/>
          <w:lang w:val="en-CA"/>
        </w:rPr>
        <w:t>段</w:t>
      </w:r>
      <w:r w:rsidRPr="00953281">
        <w:rPr>
          <w:szCs w:val="18"/>
        </w:rPr>
        <w:t>。法庭还依据了</w:t>
      </w:r>
      <w:r w:rsidRPr="00953281">
        <w:rPr>
          <w:rFonts w:eastAsia="楷体"/>
          <w:szCs w:val="18"/>
        </w:rPr>
        <w:t>石油平台案</w:t>
      </w:r>
      <w:r w:rsidRPr="00953281">
        <w:rPr>
          <w:szCs w:val="18"/>
        </w:rPr>
        <w:t>中</w:t>
      </w:r>
      <w:r w:rsidRPr="00953281">
        <w:rPr>
          <w:rFonts w:hint="eastAsia"/>
          <w:szCs w:val="18"/>
        </w:rPr>
        <w:t>“</w:t>
      </w:r>
      <w:r w:rsidRPr="00953281">
        <w:rPr>
          <w:szCs w:val="18"/>
          <w:lang w:val="en-CA"/>
        </w:rPr>
        <w:t>希金斯法官的个人意见</w:t>
      </w:r>
      <w:r w:rsidRPr="00953281">
        <w:rPr>
          <w:rFonts w:hint="eastAsia"/>
          <w:szCs w:val="18"/>
          <w:lang w:val="en-CA"/>
        </w:rPr>
        <w:t>”</w:t>
      </w:r>
      <w:r w:rsidRPr="00953281">
        <w:rPr>
          <w:szCs w:val="18"/>
          <w:lang w:val="en-CA"/>
        </w:rPr>
        <w:t>中的说法，即常设国际法院或国际法院的判例不支持以限制性的方式解释仲裁条款，而且事实上，条款解释也不存在自由或严格的政策：</w:t>
      </w:r>
      <w:r w:rsidRPr="00953281">
        <w:rPr>
          <w:rFonts w:eastAsia="楷体"/>
          <w:szCs w:val="18"/>
          <w:lang w:val="en-CA"/>
        </w:rPr>
        <w:t>石油平台案</w:t>
      </w:r>
      <w:r w:rsidRPr="00953281">
        <w:rPr>
          <w:rFonts w:eastAsia="楷体"/>
          <w:szCs w:val="18"/>
          <w:lang w:val="en-CA"/>
        </w:rPr>
        <w:t>(</w:t>
      </w:r>
      <w:r w:rsidRPr="00953281">
        <w:rPr>
          <w:rFonts w:eastAsia="楷体"/>
          <w:szCs w:val="18"/>
          <w:lang w:val="en-CA"/>
        </w:rPr>
        <w:t>伊朗伊斯兰共和国诉美利坚合众国案</w:t>
      </w:r>
      <w:r w:rsidRPr="00953281">
        <w:rPr>
          <w:rFonts w:eastAsia="楷体"/>
          <w:szCs w:val="18"/>
          <w:lang w:val="en-CA"/>
        </w:rPr>
        <w:t xml:space="preserve">) </w:t>
      </w:r>
      <w:r w:rsidRPr="00953281">
        <w:rPr>
          <w:rFonts w:eastAsia="楷体"/>
          <w:szCs w:val="18"/>
          <w:lang w:val="en-CA"/>
        </w:rPr>
        <w:t>初步反对意见，</w:t>
      </w:r>
      <w:r w:rsidRPr="00953281">
        <w:rPr>
          <w:szCs w:val="18"/>
          <w:lang w:val="en-CA"/>
        </w:rPr>
        <w:t>1996</w:t>
      </w:r>
      <w:r w:rsidRPr="00953281">
        <w:rPr>
          <w:szCs w:val="18"/>
          <w:lang w:val="es-ES"/>
        </w:rPr>
        <w:t>年</w:t>
      </w:r>
      <w:r w:rsidRPr="00953281">
        <w:rPr>
          <w:szCs w:val="18"/>
          <w:lang w:val="en-CA"/>
        </w:rPr>
        <w:t>12</w:t>
      </w:r>
      <w:r w:rsidRPr="00953281">
        <w:rPr>
          <w:szCs w:val="18"/>
          <w:lang w:val="es-ES"/>
        </w:rPr>
        <w:t>月</w:t>
      </w:r>
      <w:r w:rsidRPr="00953281">
        <w:rPr>
          <w:szCs w:val="18"/>
          <w:lang w:val="en-CA"/>
        </w:rPr>
        <w:t>12</w:t>
      </w:r>
      <w:r w:rsidRPr="00953281">
        <w:rPr>
          <w:szCs w:val="18"/>
          <w:lang w:val="es-ES"/>
        </w:rPr>
        <w:t>日的</w:t>
      </w:r>
      <w:r w:rsidRPr="00953281">
        <w:rPr>
          <w:rFonts w:hint="eastAsia"/>
          <w:szCs w:val="18"/>
          <w:lang w:val="es-ES"/>
        </w:rPr>
        <w:t>判决</w:t>
      </w:r>
      <w:r w:rsidRPr="00953281">
        <w:rPr>
          <w:szCs w:val="18"/>
          <w:lang w:val="en-CA"/>
        </w:rPr>
        <w:t>，希金斯法官的个人意见，《</w:t>
      </w:r>
      <w:r w:rsidRPr="00953281">
        <w:rPr>
          <w:szCs w:val="18"/>
          <w:lang w:val="en-CA"/>
        </w:rPr>
        <w:t>1996</w:t>
      </w:r>
      <w:r w:rsidRPr="00953281">
        <w:rPr>
          <w:szCs w:val="18"/>
          <w:lang w:val="en-CA"/>
        </w:rPr>
        <w:t>年国际法院案例汇编》</w:t>
      </w:r>
      <w:r w:rsidRPr="00953281">
        <w:rPr>
          <w:rFonts w:eastAsia="楷体"/>
          <w:szCs w:val="18"/>
          <w:lang w:val="en-CA"/>
        </w:rPr>
        <w:t>，第</w:t>
      </w:r>
      <w:r w:rsidRPr="00953281">
        <w:rPr>
          <w:szCs w:val="18"/>
          <w:lang w:val="en-CA"/>
        </w:rPr>
        <w:t>857</w:t>
      </w:r>
      <w:r w:rsidRPr="00953281">
        <w:rPr>
          <w:szCs w:val="18"/>
          <w:lang w:val="en-CA"/>
        </w:rPr>
        <w:t>页，第</w:t>
      </w:r>
      <w:r w:rsidRPr="00953281">
        <w:rPr>
          <w:szCs w:val="18"/>
          <w:lang w:val="en-CA"/>
        </w:rPr>
        <w:t>35</w:t>
      </w:r>
      <w:r w:rsidRPr="00953281">
        <w:rPr>
          <w:szCs w:val="18"/>
          <w:lang w:val="en-CA"/>
        </w:rPr>
        <w:t>段，</w:t>
      </w:r>
      <w:r w:rsidRPr="00953281">
        <w:rPr>
          <w:rFonts w:eastAsia="楷体"/>
          <w:szCs w:val="18"/>
          <w:lang w:val="en-CA"/>
        </w:rPr>
        <w:t>奥地利航空案</w:t>
      </w:r>
      <w:r w:rsidRPr="00953281">
        <w:rPr>
          <w:szCs w:val="18"/>
          <w:lang w:val="en-CA"/>
        </w:rPr>
        <w:t>第</w:t>
      </w:r>
      <w:r w:rsidRPr="00953281">
        <w:rPr>
          <w:szCs w:val="18"/>
          <w:lang w:val="en-CA"/>
        </w:rPr>
        <w:t>120</w:t>
      </w:r>
      <w:r w:rsidRPr="00953281">
        <w:rPr>
          <w:szCs w:val="18"/>
          <w:lang w:val="en-CA"/>
        </w:rPr>
        <w:t>段加以引用。</w:t>
      </w:r>
    </w:p>
  </w:footnote>
  <w:footnote w:id="51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napToGrid w:val="0"/>
          <w:sz w:val="21"/>
          <w:szCs w:val="18"/>
        </w:rPr>
        <w:footnoteRef/>
      </w:r>
      <w:r w:rsidRPr="00953281">
        <w:rPr>
          <w:szCs w:val="18"/>
          <w:lang w:val="en-CA"/>
        </w:rPr>
        <w:tab/>
        <w:t>Campbell MacLachlan</w:t>
      </w:r>
      <w:r w:rsidRPr="00953281">
        <w:rPr>
          <w:rFonts w:hint="eastAsia"/>
          <w:szCs w:val="18"/>
          <w:lang w:val="en-CA"/>
        </w:rPr>
        <w:t>、</w:t>
      </w:r>
      <w:r w:rsidRPr="00953281">
        <w:rPr>
          <w:szCs w:val="18"/>
          <w:lang w:val="en-CA"/>
        </w:rPr>
        <w:t>Laurence Shore</w:t>
      </w:r>
      <w:r w:rsidRPr="00953281">
        <w:rPr>
          <w:rFonts w:hint="eastAsia"/>
          <w:szCs w:val="18"/>
          <w:lang w:val="en-CA"/>
        </w:rPr>
        <w:t>和</w:t>
      </w:r>
      <w:r w:rsidRPr="00953281">
        <w:rPr>
          <w:szCs w:val="18"/>
          <w:lang w:val="en-CA"/>
        </w:rPr>
        <w:t>Matthew Weiniger</w:t>
      </w:r>
      <w:r w:rsidRPr="00953281">
        <w:rPr>
          <w:rFonts w:hint="eastAsia"/>
          <w:szCs w:val="18"/>
          <w:lang w:val="en-CA"/>
        </w:rPr>
        <w:t>，</w:t>
      </w:r>
      <w:r w:rsidRPr="00953281">
        <w:rPr>
          <w:szCs w:val="18"/>
          <w:lang w:val="en-CA"/>
        </w:rPr>
        <w:t>International Investment Arbitration</w:t>
      </w:r>
      <w:r w:rsidRPr="00953281">
        <w:rPr>
          <w:szCs w:val="18"/>
          <w:lang w:val="en-CA"/>
        </w:rPr>
        <w:t>：</w:t>
      </w:r>
      <w:r w:rsidRPr="00953281">
        <w:rPr>
          <w:szCs w:val="18"/>
          <w:lang w:val="en-CA"/>
        </w:rPr>
        <w:t>Substantive Principles (Oxford</w:t>
      </w:r>
      <w:r w:rsidRPr="00953281">
        <w:rPr>
          <w:szCs w:val="18"/>
          <w:lang w:val="en-CA"/>
        </w:rPr>
        <w:t>：</w:t>
      </w:r>
      <w:r w:rsidRPr="00953281">
        <w:rPr>
          <w:szCs w:val="18"/>
          <w:lang w:val="en-CA"/>
        </w:rPr>
        <w:t>Oxford University Press. 2008)</w:t>
      </w:r>
      <w:r w:rsidRPr="00953281">
        <w:rPr>
          <w:szCs w:val="18"/>
          <w:lang w:val="en-CA"/>
        </w:rPr>
        <w:t>，第</w:t>
      </w:r>
      <w:r w:rsidRPr="00953281">
        <w:rPr>
          <w:szCs w:val="18"/>
          <w:lang w:val="en-CA"/>
        </w:rPr>
        <w:t>7.168</w:t>
      </w:r>
      <w:r w:rsidRPr="00953281">
        <w:rPr>
          <w:szCs w:val="18"/>
          <w:lang w:val="en-CA"/>
        </w:rPr>
        <w:t>段。</w:t>
      </w:r>
    </w:p>
  </w:footnote>
  <w:footnote w:id="52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ICS</w:t>
      </w:r>
      <w:r w:rsidRPr="00953281">
        <w:rPr>
          <w:rFonts w:eastAsia="楷体"/>
          <w:szCs w:val="18"/>
          <w:lang w:val="en-CA"/>
        </w:rPr>
        <w:t>诉阿根廷案，</w:t>
      </w:r>
      <w:r w:rsidRPr="00953281">
        <w:rPr>
          <w:szCs w:val="18"/>
          <w:lang w:val="en-CA"/>
        </w:rPr>
        <w:t>第</w:t>
      </w:r>
      <w:r w:rsidRPr="00953281">
        <w:rPr>
          <w:szCs w:val="18"/>
          <w:lang w:val="en-CA"/>
        </w:rPr>
        <w:t>281-2</w:t>
      </w:r>
      <w:r w:rsidRPr="00953281">
        <w:rPr>
          <w:szCs w:val="18"/>
          <w:lang w:val="en-CA"/>
        </w:rPr>
        <w:t>段。</w:t>
      </w:r>
    </w:p>
  </w:footnote>
  <w:footnote w:id="52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rFonts w:eastAsia="楷体"/>
          <w:szCs w:val="18"/>
          <w:lang w:val="en-CA"/>
        </w:rPr>
      </w:pPr>
      <w:r w:rsidRPr="00953281">
        <w:rPr>
          <w:szCs w:val="18"/>
          <w:lang w:val="en-CA"/>
        </w:rPr>
        <w:tab/>
      </w:r>
      <w:r w:rsidRPr="00953281">
        <w:rPr>
          <w:rStyle w:val="a3"/>
          <w:sz w:val="21"/>
          <w:szCs w:val="18"/>
        </w:rPr>
        <w:footnoteRef/>
      </w:r>
      <w:r w:rsidRPr="00953281">
        <w:rPr>
          <w:szCs w:val="18"/>
          <w:lang w:val="en-CA"/>
        </w:rPr>
        <w:tab/>
      </w:r>
      <w:r w:rsidRPr="00C05B36">
        <w:rPr>
          <w:rStyle w:val="aff0"/>
          <w:rFonts w:eastAsia="楷体"/>
          <w:b w:val="0"/>
          <w:bCs w:val="0"/>
          <w:i w:val="0"/>
          <w:iCs w:val="0"/>
          <w:szCs w:val="18"/>
          <w:lang w:val="en-CA"/>
        </w:rPr>
        <w:t>英波基洛公司</w:t>
      </w:r>
      <w:r w:rsidRPr="00256847">
        <w:rPr>
          <w:rStyle w:val="caps"/>
          <w:i/>
          <w:iCs/>
          <w:szCs w:val="18"/>
        </w:rPr>
        <w:t>(</w:t>
      </w:r>
      <w:r w:rsidRPr="00256847">
        <w:rPr>
          <w:rStyle w:val="caps"/>
          <w:i/>
          <w:iCs/>
          <w:szCs w:val="18"/>
          <w:lang w:val="en-CA"/>
        </w:rPr>
        <w:t>Impregilo S.p.A</w:t>
      </w:r>
      <w:r w:rsidRPr="00256847">
        <w:rPr>
          <w:rStyle w:val="caps"/>
          <w:i/>
          <w:iCs/>
          <w:szCs w:val="18"/>
        </w:rPr>
        <w:t>)</w:t>
      </w:r>
      <w:r w:rsidRPr="00C05B36">
        <w:rPr>
          <w:rStyle w:val="aff0"/>
          <w:rFonts w:eastAsia="楷体"/>
          <w:b w:val="0"/>
          <w:bCs w:val="0"/>
          <w:i w:val="0"/>
          <w:iCs w:val="0"/>
          <w:szCs w:val="18"/>
          <w:lang w:val="en-CA"/>
        </w:rPr>
        <w:t>诉阿根廷共和国</w:t>
      </w:r>
      <w:r w:rsidRPr="00C05B36">
        <w:rPr>
          <w:rFonts w:eastAsia="楷体"/>
          <w:szCs w:val="18"/>
          <w:lang w:val="en-CA"/>
        </w:rPr>
        <w:t>案</w:t>
      </w:r>
      <w:r w:rsidRPr="00C05B36">
        <w:rPr>
          <w:szCs w:val="18"/>
          <w:lang w:val="en-CA"/>
        </w:rPr>
        <w:t>，</w:t>
      </w:r>
      <w:r>
        <w:rPr>
          <w:rFonts w:hint="eastAsia"/>
          <w:szCs w:val="18"/>
          <w:lang w:val="en-CA"/>
        </w:rPr>
        <w:t xml:space="preserve"> </w:t>
      </w:r>
      <w:r w:rsidRPr="00C05B36">
        <w:rPr>
          <w:rFonts w:hint="eastAsia"/>
          <w:szCs w:val="18"/>
          <w:lang w:val="en-CA"/>
        </w:rPr>
        <w:t>“</w:t>
      </w:r>
      <w:r w:rsidRPr="00953281">
        <w:rPr>
          <w:rStyle w:val="file"/>
          <w:szCs w:val="18"/>
          <w:lang w:val="en-CA"/>
        </w:rPr>
        <w:t>布里吉特</w:t>
      </w:r>
      <w:r w:rsidRPr="00953281">
        <w:rPr>
          <w:rFonts w:hint="eastAsia"/>
          <w:szCs w:val="18"/>
          <w:lang w:val="en-CA"/>
        </w:rPr>
        <w:t>·</w:t>
      </w:r>
      <w:r w:rsidRPr="00953281">
        <w:rPr>
          <w:rStyle w:val="file"/>
          <w:szCs w:val="18"/>
          <w:lang w:val="en-CA"/>
        </w:rPr>
        <w:t>斯特恩教授的赞同和反对意见</w:t>
      </w:r>
      <w:r w:rsidRPr="00953281">
        <w:rPr>
          <w:rStyle w:val="file"/>
          <w:rFonts w:hint="eastAsia"/>
          <w:szCs w:val="18"/>
          <w:lang w:val="en-CA"/>
        </w:rPr>
        <w:t>”</w:t>
      </w:r>
      <w:r w:rsidRPr="00953281">
        <w:rPr>
          <w:rStyle w:val="file"/>
          <w:szCs w:val="18"/>
          <w:lang w:val="en-CA"/>
        </w:rPr>
        <w:t>，</w:t>
      </w:r>
      <w:r w:rsidRPr="00953281">
        <w:rPr>
          <w:rStyle w:val="caps"/>
          <w:szCs w:val="18"/>
          <w:lang w:val="en-CA"/>
        </w:rPr>
        <w:t>国际投资争端解决中心第</w:t>
      </w:r>
      <w:r w:rsidRPr="00953281">
        <w:rPr>
          <w:rStyle w:val="caps"/>
          <w:rFonts w:eastAsia="楷体"/>
          <w:szCs w:val="18"/>
          <w:lang w:val="en-CA"/>
        </w:rPr>
        <w:t>ARB</w:t>
      </w:r>
      <w:r w:rsidRPr="00953281">
        <w:rPr>
          <w:rFonts w:eastAsia="楷体"/>
          <w:szCs w:val="18"/>
          <w:lang w:val="en-CA"/>
        </w:rPr>
        <w:t>/07/17</w:t>
      </w:r>
      <w:r w:rsidRPr="00953281">
        <w:rPr>
          <w:rFonts w:eastAsia="楷体"/>
          <w:szCs w:val="18"/>
          <w:lang w:val="en-CA"/>
        </w:rPr>
        <w:t>号</w:t>
      </w:r>
      <w:r w:rsidRPr="00953281">
        <w:rPr>
          <w:rStyle w:val="caps"/>
          <w:szCs w:val="18"/>
          <w:lang w:val="en-CA"/>
        </w:rPr>
        <w:t>案件</w:t>
      </w:r>
      <w:r w:rsidRPr="00953281">
        <w:rPr>
          <w:rStyle w:val="caps"/>
          <w:szCs w:val="18"/>
          <w:lang w:val="en-CA"/>
        </w:rPr>
        <w:t xml:space="preserve"> </w:t>
      </w:r>
      <w:r w:rsidRPr="00953281">
        <w:rPr>
          <w:rFonts w:eastAsia="楷体"/>
          <w:szCs w:val="18"/>
          <w:lang w:val="en-CA"/>
        </w:rPr>
        <w:t>(2011</w:t>
      </w:r>
      <w:r w:rsidRPr="00953281">
        <w:rPr>
          <w:rFonts w:eastAsia="楷体"/>
          <w:szCs w:val="18"/>
          <w:lang w:val="en-CA"/>
        </w:rPr>
        <w:t>年</w:t>
      </w:r>
      <w:r w:rsidRPr="00953281">
        <w:rPr>
          <w:rFonts w:eastAsia="楷体"/>
          <w:szCs w:val="18"/>
          <w:lang w:val="en-CA"/>
        </w:rPr>
        <w:t>6</w:t>
      </w:r>
      <w:r w:rsidRPr="00953281">
        <w:rPr>
          <w:rFonts w:eastAsia="楷体"/>
          <w:szCs w:val="18"/>
          <w:lang w:val="en-CA"/>
        </w:rPr>
        <w:t>月</w:t>
      </w:r>
      <w:r w:rsidRPr="00953281">
        <w:rPr>
          <w:rFonts w:eastAsia="楷体"/>
          <w:szCs w:val="18"/>
          <w:lang w:val="en-CA"/>
        </w:rPr>
        <w:t>21</w:t>
      </w:r>
      <w:r w:rsidRPr="00953281">
        <w:rPr>
          <w:rFonts w:eastAsia="楷体"/>
          <w:szCs w:val="18"/>
          <w:lang w:val="en-CA"/>
        </w:rPr>
        <w:t>日</w:t>
      </w:r>
      <w:r w:rsidRPr="00953281">
        <w:rPr>
          <w:rFonts w:eastAsia="楷体"/>
          <w:szCs w:val="18"/>
          <w:lang w:val="en-CA"/>
        </w:rPr>
        <w:t>)</w:t>
      </w:r>
      <w:r w:rsidRPr="00953281">
        <w:rPr>
          <w:rFonts w:eastAsia="楷体"/>
          <w:szCs w:val="18"/>
          <w:lang w:val="en-CA"/>
        </w:rPr>
        <w:t>。</w:t>
      </w:r>
    </w:p>
  </w:footnote>
  <w:footnote w:id="52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C05B36">
        <w:rPr>
          <w:rStyle w:val="aff0"/>
          <w:rFonts w:eastAsia="楷体"/>
          <w:b w:val="0"/>
          <w:bCs w:val="0"/>
          <w:i w:val="0"/>
          <w:iCs w:val="0"/>
          <w:szCs w:val="18"/>
          <w:lang w:val="en-CA"/>
        </w:rPr>
        <w:t>同上。</w:t>
      </w:r>
    </w:p>
  </w:footnote>
  <w:footnote w:id="52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rStyle w:val="a3"/>
          <w:sz w:val="21"/>
          <w:szCs w:val="18"/>
        </w:rPr>
        <w:tab/>
      </w:r>
      <w:r w:rsidRPr="00953281">
        <w:rPr>
          <w:szCs w:val="18"/>
          <w:lang w:val="en-CA"/>
        </w:rPr>
        <w:t>事实上，这一立场似乎被</w:t>
      </w:r>
      <w:r w:rsidRPr="00953281">
        <w:rPr>
          <w:rFonts w:eastAsia="楷体"/>
          <w:szCs w:val="18"/>
          <w:lang w:val="en-CA"/>
        </w:rPr>
        <w:t>HICEE B.V</w:t>
      </w:r>
      <w:r w:rsidRPr="00953281">
        <w:rPr>
          <w:rFonts w:eastAsia="楷体"/>
          <w:szCs w:val="18"/>
          <w:lang w:val="en-CA"/>
        </w:rPr>
        <w:t>诉斯洛伐克共和国案</w:t>
      </w:r>
      <w:r w:rsidRPr="00953281">
        <w:rPr>
          <w:szCs w:val="18"/>
          <w:lang w:val="en-CA"/>
        </w:rPr>
        <w:t>法庭所接受，部分裁决，</w:t>
      </w:r>
      <w:r w:rsidRPr="00953281">
        <w:rPr>
          <w:rStyle w:val="caps"/>
          <w:szCs w:val="18"/>
          <w:lang w:val="en-CA"/>
        </w:rPr>
        <w:t>联合国国际贸易法委员会</w:t>
      </w:r>
      <w:r w:rsidRPr="00953281">
        <w:rPr>
          <w:szCs w:val="18"/>
          <w:lang w:val="en-CA"/>
        </w:rPr>
        <w:t>，常设仲裁法院第</w:t>
      </w:r>
      <w:r w:rsidRPr="00953281">
        <w:rPr>
          <w:szCs w:val="18"/>
          <w:lang w:val="en-CA"/>
        </w:rPr>
        <w:t>2009-11</w:t>
      </w:r>
      <w:r w:rsidRPr="00953281">
        <w:rPr>
          <w:szCs w:val="18"/>
          <w:lang w:val="en-CA"/>
        </w:rPr>
        <w:t>号案件</w:t>
      </w:r>
      <w:r w:rsidRPr="00953281">
        <w:rPr>
          <w:szCs w:val="18"/>
          <w:lang w:val="en-CA"/>
        </w:rPr>
        <w:t>(2011</w:t>
      </w:r>
      <w:r w:rsidRPr="00953281">
        <w:rPr>
          <w:szCs w:val="18"/>
          <w:lang w:val="en-CA"/>
        </w:rPr>
        <w:t>年</w:t>
      </w:r>
      <w:r w:rsidRPr="00953281">
        <w:rPr>
          <w:szCs w:val="18"/>
          <w:lang w:val="en-CA"/>
        </w:rPr>
        <w:t>5</w:t>
      </w:r>
      <w:r w:rsidRPr="00953281">
        <w:rPr>
          <w:szCs w:val="18"/>
          <w:lang w:val="en-CA"/>
        </w:rPr>
        <w:t>月</w:t>
      </w:r>
      <w:r w:rsidRPr="00953281">
        <w:rPr>
          <w:szCs w:val="18"/>
          <w:lang w:val="en-CA"/>
        </w:rPr>
        <w:t>23</w:t>
      </w:r>
      <w:r w:rsidRPr="00953281">
        <w:rPr>
          <w:szCs w:val="18"/>
          <w:lang w:val="en-CA"/>
        </w:rPr>
        <w:t>日</w:t>
      </w:r>
      <w:r w:rsidRPr="00953281">
        <w:rPr>
          <w:szCs w:val="18"/>
          <w:lang w:val="en-CA"/>
        </w:rPr>
        <w:t>)</w:t>
      </w:r>
      <w:r w:rsidRPr="00953281">
        <w:rPr>
          <w:szCs w:val="18"/>
          <w:lang w:val="en-CA"/>
        </w:rPr>
        <w:t>，</w:t>
      </w:r>
      <w:r w:rsidRPr="00953281">
        <w:rPr>
          <w:rFonts w:eastAsia="楷体"/>
          <w:szCs w:val="18"/>
          <w:lang w:val="en-CA"/>
        </w:rPr>
        <w:t>第</w:t>
      </w:r>
      <w:r w:rsidRPr="00953281">
        <w:rPr>
          <w:szCs w:val="18"/>
          <w:lang w:val="en-CA"/>
        </w:rPr>
        <w:t>149</w:t>
      </w:r>
      <w:r w:rsidRPr="00953281">
        <w:rPr>
          <w:rFonts w:eastAsia="楷体"/>
          <w:szCs w:val="18"/>
          <w:lang w:val="en-CA"/>
        </w:rPr>
        <w:t>段</w:t>
      </w:r>
      <w:r w:rsidRPr="00953281">
        <w:rPr>
          <w:szCs w:val="18"/>
          <w:lang w:val="en-CA"/>
        </w:rPr>
        <w:t>(</w:t>
      </w:r>
      <w:r w:rsidRPr="00953281">
        <w:rPr>
          <w:szCs w:val="18"/>
          <w:lang w:val="en-CA"/>
        </w:rPr>
        <w:t>《荷兰与捷克斯洛伐克共和国双边投资条约》</w:t>
      </w:r>
      <w:r w:rsidRPr="00953281">
        <w:rPr>
          <w:szCs w:val="18"/>
          <w:lang w:val="en-CA"/>
        </w:rPr>
        <w:t>)</w:t>
      </w:r>
      <w:r w:rsidRPr="00953281">
        <w:rPr>
          <w:szCs w:val="18"/>
          <w:lang w:val="en-CA"/>
        </w:rPr>
        <w:t>。</w:t>
      </w:r>
    </w:p>
  </w:footnote>
  <w:footnote w:id="52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Fonts w:eastAsia="楷体"/>
          <w:szCs w:val="18"/>
          <w:lang w:val="en-CA"/>
        </w:rPr>
        <w:tab/>
      </w:r>
      <w:r w:rsidRPr="00953281">
        <w:rPr>
          <w:rStyle w:val="a3"/>
          <w:sz w:val="21"/>
          <w:szCs w:val="18"/>
        </w:rPr>
        <w:footnoteRef/>
      </w:r>
      <w:r w:rsidRPr="00953281">
        <w:rPr>
          <w:rStyle w:val="a3"/>
          <w:sz w:val="21"/>
          <w:szCs w:val="18"/>
        </w:rPr>
        <w:tab/>
      </w:r>
      <w:r w:rsidRPr="00953281">
        <w:rPr>
          <w:rFonts w:eastAsia="楷体"/>
          <w:szCs w:val="18"/>
          <w:lang w:val="en-CA"/>
        </w:rPr>
        <w:t>豪赫蒂夫公司</w:t>
      </w:r>
      <w:r w:rsidRPr="00953281">
        <w:rPr>
          <w:rFonts w:eastAsia="楷体"/>
          <w:szCs w:val="18"/>
          <w:lang w:val="en-CA"/>
        </w:rPr>
        <w:t>(Hochtief AG)</w:t>
      </w:r>
      <w:r w:rsidRPr="00953281">
        <w:rPr>
          <w:rFonts w:eastAsia="楷体"/>
          <w:szCs w:val="18"/>
          <w:lang w:val="en-CA"/>
        </w:rPr>
        <w:t>诉阿根廷共和国案</w:t>
      </w:r>
      <w:r w:rsidRPr="00953281">
        <w:rPr>
          <w:rFonts w:eastAsia="楷体" w:hint="eastAsia"/>
          <w:szCs w:val="18"/>
          <w:lang w:val="en-CA"/>
        </w:rPr>
        <w:t>“</w:t>
      </w:r>
      <w:r w:rsidRPr="00953281">
        <w:rPr>
          <w:szCs w:val="18"/>
          <w:lang w:val="en-CA"/>
        </w:rPr>
        <w:t>仲裁员克里斯托弗</w:t>
      </w:r>
      <w:r w:rsidRPr="00953281">
        <w:rPr>
          <w:rFonts w:hint="eastAsia"/>
          <w:szCs w:val="18"/>
          <w:lang w:val="en-CA"/>
        </w:rPr>
        <w:t>·</w:t>
      </w:r>
      <w:r w:rsidRPr="00953281">
        <w:rPr>
          <w:szCs w:val="18"/>
          <w:lang w:val="en-CA"/>
        </w:rPr>
        <w:t>托马斯的</w:t>
      </w:r>
      <w:r w:rsidRPr="00953281">
        <w:rPr>
          <w:rFonts w:hint="eastAsia"/>
          <w:szCs w:val="18"/>
          <w:lang w:val="en-CA"/>
        </w:rPr>
        <w:t>反对</w:t>
      </w:r>
      <w:r w:rsidRPr="00953281">
        <w:rPr>
          <w:szCs w:val="18"/>
          <w:lang w:val="en-CA"/>
        </w:rPr>
        <w:t>意见</w:t>
      </w:r>
      <w:r w:rsidRPr="00953281">
        <w:rPr>
          <w:rFonts w:hint="eastAsia"/>
          <w:szCs w:val="18"/>
          <w:lang w:val="en-CA"/>
        </w:rPr>
        <w:t>”</w:t>
      </w:r>
      <w:r w:rsidRPr="00953281">
        <w:rPr>
          <w:szCs w:val="18"/>
          <w:lang w:val="en-CA"/>
        </w:rPr>
        <w:t>，关于管辖权的裁决，</w:t>
      </w:r>
      <w:r w:rsidRPr="00953281">
        <w:rPr>
          <w:rStyle w:val="caps"/>
          <w:szCs w:val="18"/>
          <w:lang w:val="en-CA"/>
        </w:rPr>
        <w:t>国际投资争端解决中心第</w:t>
      </w:r>
      <w:r w:rsidRPr="00953281">
        <w:rPr>
          <w:rStyle w:val="caps"/>
          <w:szCs w:val="18"/>
          <w:lang w:val="en-CA"/>
        </w:rPr>
        <w:t>ARB</w:t>
      </w:r>
      <w:r w:rsidRPr="00953281">
        <w:rPr>
          <w:szCs w:val="18"/>
          <w:lang w:val="en-CA"/>
        </w:rPr>
        <w:t>/07/31</w:t>
      </w:r>
      <w:r w:rsidRPr="00953281">
        <w:rPr>
          <w:szCs w:val="18"/>
          <w:lang w:val="en-CA"/>
        </w:rPr>
        <w:t>号案件</w:t>
      </w:r>
      <w:r w:rsidRPr="00953281">
        <w:rPr>
          <w:szCs w:val="18"/>
          <w:lang w:val="en-CA"/>
        </w:rPr>
        <w:t>(2011</w:t>
      </w:r>
      <w:r w:rsidRPr="00953281">
        <w:rPr>
          <w:szCs w:val="18"/>
          <w:lang w:val="en-CA"/>
        </w:rPr>
        <w:t>年</w:t>
      </w:r>
      <w:r w:rsidRPr="00953281">
        <w:rPr>
          <w:szCs w:val="18"/>
          <w:lang w:val="en-CA"/>
        </w:rPr>
        <w:t>10</w:t>
      </w:r>
      <w:r w:rsidRPr="00953281">
        <w:rPr>
          <w:szCs w:val="18"/>
          <w:lang w:val="en-CA"/>
        </w:rPr>
        <w:t>月</w:t>
      </w:r>
      <w:r w:rsidRPr="00953281">
        <w:rPr>
          <w:szCs w:val="18"/>
          <w:lang w:val="en-CA"/>
        </w:rPr>
        <w:t>24</w:t>
      </w:r>
      <w:r w:rsidRPr="00953281">
        <w:rPr>
          <w:szCs w:val="18"/>
          <w:lang w:val="en-CA"/>
        </w:rPr>
        <w:t>日</w:t>
      </w:r>
      <w:r w:rsidRPr="00953281">
        <w:rPr>
          <w:szCs w:val="18"/>
          <w:lang w:val="en-CA"/>
        </w:rPr>
        <w:t>)</w:t>
      </w:r>
      <w:r w:rsidRPr="00953281">
        <w:rPr>
          <w:szCs w:val="18"/>
          <w:lang w:val="en-CA"/>
        </w:rPr>
        <w:t>，</w:t>
      </w:r>
      <w:r w:rsidRPr="00953281">
        <w:rPr>
          <w:szCs w:val="18"/>
          <w:lang w:val="en-CA"/>
        </w:rPr>
        <w:t>(</w:t>
      </w:r>
      <w:r w:rsidRPr="00953281">
        <w:rPr>
          <w:szCs w:val="18"/>
          <w:lang w:val="en-CA"/>
        </w:rPr>
        <w:t>《德国与阿根廷双边投资条约》</w:t>
      </w:r>
      <w:r w:rsidRPr="00953281">
        <w:rPr>
          <w:szCs w:val="18"/>
          <w:lang w:val="en-CA"/>
        </w:rPr>
        <w:t>)</w:t>
      </w:r>
      <w:r w:rsidRPr="00953281">
        <w:rPr>
          <w:szCs w:val="18"/>
          <w:lang w:val="en-CA"/>
        </w:rPr>
        <w:t>。</w:t>
      </w:r>
    </w:p>
  </w:footnote>
  <w:footnote w:id="52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Style w:val="doctitle"/>
          <w:szCs w:val="18"/>
          <w:lang w:val="en-CA"/>
        </w:rPr>
        <w:tab/>
      </w:r>
      <w:r w:rsidRPr="00953281">
        <w:rPr>
          <w:rStyle w:val="a3"/>
          <w:sz w:val="21"/>
          <w:szCs w:val="18"/>
        </w:rPr>
        <w:footnoteRef/>
      </w:r>
      <w:r w:rsidRPr="00953281">
        <w:rPr>
          <w:rStyle w:val="doctitle"/>
          <w:szCs w:val="18"/>
          <w:lang w:val="en-CA"/>
        </w:rPr>
        <w:tab/>
      </w:r>
      <w:r w:rsidRPr="00953281">
        <w:rPr>
          <w:rStyle w:val="doctitle"/>
          <w:rFonts w:eastAsia="楷体"/>
          <w:szCs w:val="18"/>
          <w:lang w:val="en-CA"/>
        </w:rPr>
        <w:t>刚果境内武装活动案</w:t>
      </w:r>
      <w:r w:rsidRPr="00953281">
        <w:rPr>
          <w:rStyle w:val="doctitle"/>
          <w:szCs w:val="18"/>
          <w:lang w:val="en-CA"/>
        </w:rPr>
        <w:t>(</w:t>
      </w:r>
      <w:r w:rsidRPr="00953281">
        <w:rPr>
          <w:rStyle w:val="doctitle"/>
          <w:rFonts w:eastAsia="楷体"/>
          <w:szCs w:val="18"/>
          <w:lang w:val="en-CA"/>
        </w:rPr>
        <w:t>新申诉：</w:t>
      </w:r>
      <w:r w:rsidRPr="00953281">
        <w:rPr>
          <w:rStyle w:val="doctitle"/>
          <w:rFonts w:eastAsia="楷体"/>
          <w:szCs w:val="18"/>
          <w:lang w:val="en-CA"/>
        </w:rPr>
        <w:t>2002</w:t>
      </w:r>
      <w:r w:rsidRPr="00953281">
        <w:rPr>
          <w:rStyle w:val="doctitle"/>
          <w:rFonts w:eastAsia="楷体"/>
          <w:szCs w:val="18"/>
          <w:lang w:val="en-CA"/>
        </w:rPr>
        <w:t>年</w:t>
      </w:r>
      <w:r w:rsidRPr="00953281">
        <w:rPr>
          <w:rStyle w:val="doctitle"/>
          <w:szCs w:val="18"/>
          <w:lang w:val="en-CA"/>
        </w:rPr>
        <w:t>) (</w:t>
      </w:r>
      <w:r w:rsidRPr="00953281">
        <w:rPr>
          <w:rStyle w:val="doctitle"/>
          <w:rFonts w:eastAsia="楷体"/>
          <w:szCs w:val="18"/>
          <w:lang w:val="en-CA"/>
        </w:rPr>
        <w:t>刚果民主共和国诉卢旺达</w:t>
      </w:r>
      <w:r w:rsidRPr="00953281">
        <w:rPr>
          <w:rStyle w:val="doctitle"/>
          <w:szCs w:val="18"/>
          <w:lang w:val="en-CA"/>
        </w:rPr>
        <w:t>)</w:t>
      </w:r>
      <w:r w:rsidRPr="00953281">
        <w:rPr>
          <w:rStyle w:val="doctitle"/>
          <w:szCs w:val="18"/>
          <w:lang w:val="en-CA"/>
        </w:rPr>
        <w:t>，判决，《</w:t>
      </w:r>
      <w:r w:rsidRPr="00953281">
        <w:rPr>
          <w:rStyle w:val="doctitle"/>
          <w:szCs w:val="18"/>
          <w:lang w:val="en-CA"/>
        </w:rPr>
        <w:t>2006</w:t>
      </w:r>
      <w:r w:rsidRPr="00953281">
        <w:rPr>
          <w:rStyle w:val="doctitle"/>
          <w:szCs w:val="18"/>
          <w:lang w:val="en-CA"/>
        </w:rPr>
        <w:t>年国际法院案例汇编》，第</w:t>
      </w:r>
      <w:r w:rsidRPr="00953281">
        <w:rPr>
          <w:rStyle w:val="doctitle"/>
          <w:szCs w:val="18"/>
          <w:lang w:val="en-CA"/>
        </w:rPr>
        <w:t>6</w:t>
      </w:r>
      <w:r w:rsidRPr="00953281">
        <w:rPr>
          <w:rStyle w:val="doctitle"/>
          <w:szCs w:val="18"/>
          <w:lang w:val="en-CA"/>
        </w:rPr>
        <w:t>页，第</w:t>
      </w:r>
      <w:r w:rsidRPr="00953281">
        <w:rPr>
          <w:rStyle w:val="doctitle"/>
          <w:szCs w:val="18"/>
          <w:lang w:val="en-CA"/>
        </w:rPr>
        <w:t>88</w:t>
      </w:r>
      <w:r w:rsidRPr="00953281">
        <w:rPr>
          <w:rStyle w:val="doctitle"/>
          <w:szCs w:val="18"/>
          <w:lang w:val="en-CA"/>
        </w:rPr>
        <w:t>段。</w:t>
      </w:r>
    </w:p>
  </w:footnote>
  <w:footnote w:id="52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rStyle w:val="a3"/>
          <w:sz w:val="21"/>
          <w:szCs w:val="18"/>
        </w:rPr>
        <w:tab/>
      </w:r>
      <w:r w:rsidRPr="00953281">
        <w:rPr>
          <w:rFonts w:eastAsia="楷体"/>
          <w:szCs w:val="18"/>
          <w:lang w:val="en-CA"/>
        </w:rPr>
        <w:t xml:space="preserve">ICS </w:t>
      </w:r>
      <w:r w:rsidRPr="00953281">
        <w:rPr>
          <w:rFonts w:eastAsia="楷体"/>
          <w:szCs w:val="18"/>
          <w:lang w:val="en-CA"/>
        </w:rPr>
        <w:t>诉阿根廷案</w:t>
      </w:r>
      <w:r w:rsidRPr="00953281">
        <w:rPr>
          <w:szCs w:val="18"/>
          <w:lang w:val="en-CA"/>
        </w:rPr>
        <w:t>，第</w:t>
      </w:r>
      <w:r w:rsidRPr="00953281">
        <w:rPr>
          <w:szCs w:val="18"/>
          <w:lang w:val="en-CA"/>
        </w:rPr>
        <w:t>258</w:t>
      </w:r>
      <w:r w:rsidRPr="00953281">
        <w:rPr>
          <w:szCs w:val="18"/>
          <w:lang w:val="en-CA"/>
        </w:rPr>
        <w:t>段</w:t>
      </w:r>
      <w:r w:rsidRPr="00953281">
        <w:rPr>
          <w:szCs w:val="18"/>
          <w:lang w:val="fr-CH"/>
        </w:rPr>
        <w:t>。</w:t>
      </w:r>
    </w:p>
  </w:footnote>
  <w:footnote w:id="52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362</w:t>
      </w:r>
      <w:r w:rsidRPr="00953281">
        <w:rPr>
          <w:szCs w:val="18"/>
          <w:lang w:val="en-CA"/>
        </w:rPr>
        <w:t>段</w:t>
      </w:r>
      <w:r w:rsidRPr="00953281">
        <w:rPr>
          <w:szCs w:val="18"/>
          <w:lang w:val="fr-CH"/>
        </w:rPr>
        <w:t>。</w:t>
      </w:r>
    </w:p>
  </w:footnote>
  <w:footnote w:id="52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第</w:t>
      </w:r>
      <w:r w:rsidRPr="00953281">
        <w:rPr>
          <w:szCs w:val="18"/>
          <w:lang w:val="en-CA"/>
        </w:rPr>
        <w:t>289</w:t>
      </w:r>
      <w:r w:rsidRPr="00953281">
        <w:rPr>
          <w:szCs w:val="18"/>
          <w:lang w:val="en-CA"/>
        </w:rPr>
        <w:t>段</w:t>
      </w:r>
      <w:r w:rsidRPr="00953281">
        <w:rPr>
          <w:rFonts w:eastAsia="楷体"/>
          <w:szCs w:val="18"/>
          <w:lang w:val="en-CA"/>
        </w:rPr>
        <w:t>。</w:t>
      </w:r>
    </w:p>
  </w:footnote>
  <w:footnote w:id="52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rFonts w:eastAsia="楷体"/>
          <w:szCs w:val="18"/>
          <w:lang w:val="en-CA"/>
        </w:rPr>
        <w:t>同上</w:t>
      </w:r>
      <w:r w:rsidRPr="00953281">
        <w:rPr>
          <w:rFonts w:eastAsia="楷体"/>
          <w:szCs w:val="18"/>
        </w:rPr>
        <w:t>，</w:t>
      </w:r>
      <w:r w:rsidRPr="00953281">
        <w:rPr>
          <w:szCs w:val="18"/>
          <w:lang w:val="en-CA"/>
        </w:rPr>
        <w:t>第</w:t>
      </w:r>
      <w:r w:rsidRPr="00953281">
        <w:rPr>
          <w:szCs w:val="18"/>
        </w:rPr>
        <w:t>326</w:t>
      </w:r>
      <w:r w:rsidRPr="00953281">
        <w:rPr>
          <w:szCs w:val="18"/>
          <w:lang w:val="en-CA"/>
        </w:rPr>
        <w:t>段</w:t>
      </w:r>
      <w:r w:rsidRPr="00953281">
        <w:rPr>
          <w:szCs w:val="18"/>
        </w:rPr>
        <w:t>。</w:t>
      </w:r>
      <w:r w:rsidRPr="00953281">
        <w:rPr>
          <w:szCs w:val="18"/>
          <w:lang w:val="en-CA"/>
        </w:rPr>
        <w:t>法庭认为，最惠国条款涵盖国内争端解决，因为争端发生在东道国境内。</w:t>
      </w:r>
    </w:p>
  </w:footnote>
  <w:footnote w:id="53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Fonts w:eastAsia="楷体"/>
          <w:szCs w:val="18"/>
        </w:rPr>
        <w:tab/>
      </w:r>
      <w:r w:rsidRPr="00953281">
        <w:rPr>
          <w:rStyle w:val="a3"/>
          <w:sz w:val="21"/>
          <w:szCs w:val="18"/>
        </w:rPr>
        <w:footnoteRef/>
      </w:r>
      <w:r w:rsidRPr="00953281">
        <w:rPr>
          <w:rFonts w:eastAsia="楷体"/>
          <w:szCs w:val="18"/>
        </w:rPr>
        <w:tab/>
      </w:r>
      <w:r w:rsidRPr="00953281">
        <w:rPr>
          <w:rFonts w:eastAsia="楷体"/>
          <w:szCs w:val="18"/>
        </w:rPr>
        <w:t>戴姆勒金融服务公司</w:t>
      </w:r>
      <w:r w:rsidRPr="00953281">
        <w:rPr>
          <w:rFonts w:eastAsia="楷体"/>
          <w:szCs w:val="18"/>
          <w:lang w:val="en-CA"/>
        </w:rPr>
        <w:t>诉阿根廷共和国</w:t>
      </w:r>
      <w:r w:rsidRPr="00953281">
        <w:rPr>
          <w:szCs w:val="18"/>
          <w:lang w:val="en-CA"/>
        </w:rPr>
        <w:t>，裁决，国际投资争端解决中心第</w:t>
      </w:r>
      <w:r w:rsidRPr="00953281">
        <w:rPr>
          <w:szCs w:val="18"/>
          <w:lang w:val="en-CA"/>
        </w:rPr>
        <w:t>ARB/05/1</w:t>
      </w:r>
      <w:r w:rsidRPr="00953281">
        <w:rPr>
          <w:szCs w:val="18"/>
          <w:lang w:val="en-CA"/>
        </w:rPr>
        <w:t>号案件，</w:t>
      </w:r>
      <w:r w:rsidRPr="00953281">
        <w:rPr>
          <w:szCs w:val="18"/>
          <w:lang w:val="en-CA"/>
        </w:rPr>
        <w:t>2012</w:t>
      </w:r>
      <w:r w:rsidRPr="00953281">
        <w:rPr>
          <w:szCs w:val="18"/>
          <w:lang w:val="en-CA"/>
        </w:rPr>
        <w:t>年</w:t>
      </w:r>
      <w:r w:rsidRPr="00953281">
        <w:rPr>
          <w:szCs w:val="18"/>
          <w:lang w:val="en-CA"/>
        </w:rPr>
        <w:t>8</w:t>
      </w:r>
      <w:r w:rsidRPr="00953281">
        <w:rPr>
          <w:szCs w:val="18"/>
          <w:lang w:val="en-CA"/>
        </w:rPr>
        <w:t>月</w:t>
      </w:r>
      <w:r w:rsidRPr="00953281">
        <w:rPr>
          <w:szCs w:val="18"/>
          <w:lang w:val="en-CA"/>
        </w:rPr>
        <w:t>22</w:t>
      </w:r>
      <w:r w:rsidRPr="00953281">
        <w:rPr>
          <w:szCs w:val="18"/>
          <w:lang w:val="en-CA"/>
        </w:rPr>
        <w:t>日。裁决以多数票通过，一名仲裁员持不同意见。</w:t>
      </w:r>
    </w:p>
  </w:footnote>
  <w:footnote w:id="53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 xml:space="preserve">Kılıç İnşaat İthalat İhracat Sanayi ve Ticaret Anonim Şirketi </w:t>
      </w:r>
      <w:r w:rsidRPr="00953281">
        <w:rPr>
          <w:rFonts w:eastAsia="楷体"/>
          <w:szCs w:val="18"/>
          <w:lang w:val="en-CA"/>
        </w:rPr>
        <w:t>诉土库曼斯坦案，</w:t>
      </w:r>
      <w:r w:rsidRPr="00953281">
        <w:rPr>
          <w:szCs w:val="18"/>
          <w:lang w:val="en-CA"/>
        </w:rPr>
        <w:t>关于《土耳其与土库曼斯坦双边投资条约》第七条第</w:t>
      </w:r>
      <w:r w:rsidRPr="00953281">
        <w:rPr>
          <w:szCs w:val="18"/>
          <w:lang w:val="en-CA"/>
        </w:rPr>
        <w:t>2</w:t>
      </w:r>
      <w:r w:rsidRPr="00953281">
        <w:rPr>
          <w:szCs w:val="18"/>
          <w:lang w:val="en-CA"/>
        </w:rPr>
        <w:t>款的裁决，国际投资争端解决中心第</w:t>
      </w:r>
      <w:r w:rsidRPr="00953281">
        <w:rPr>
          <w:szCs w:val="18"/>
          <w:lang w:val="en-CA"/>
        </w:rPr>
        <w:t>ARB/10/1</w:t>
      </w:r>
      <w:r w:rsidRPr="00953281">
        <w:rPr>
          <w:szCs w:val="18"/>
          <w:lang w:val="en-CA"/>
        </w:rPr>
        <w:t>号案件，</w:t>
      </w:r>
      <w:r w:rsidRPr="00953281">
        <w:rPr>
          <w:szCs w:val="18"/>
          <w:lang w:val="en-CA"/>
        </w:rPr>
        <w:t>20</w:t>
      </w:r>
      <w:r w:rsidRPr="00953281">
        <w:rPr>
          <w:rFonts w:hint="eastAsia"/>
          <w:szCs w:val="18"/>
          <w:lang w:val="en-CA"/>
        </w:rPr>
        <w:t>13</w:t>
      </w:r>
      <w:r w:rsidRPr="00953281">
        <w:rPr>
          <w:szCs w:val="18"/>
          <w:lang w:val="en-CA"/>
        </w:rPr>
        <w:t>年</w:t>
      </w:r>
      <w:r w:rsidRPr="00953281">
        <w:rPr>
          <w:rFonts w:hint="eastAsia"/>
          <w:szCs w:val="18"/>
          <w:lang w:val="en-CA"/>
        </w:rPr>
        <w:t>7</w:t>
      </w:r>
      <w:r w:rsidRPr="00953281">
        <w:rPr>
          <w:szCs w:val="18"/>
          <w:lang w:val="en-CA"/>
        </w:rPr>
        <w:t>月</w:t>
      </w:r>
      <w:r w:rsidRPr="00953281">
        <w:rPr>
          <w:rFonts w:hint="eastAsia"/>
          <w:szCs w:val="18"/>
          <w:lang w:val="en-CA"/>
        </w:rPr>
        <w:t>2</w:t>
      </w:r>
      <w:r w:rsidRPr="00953281">
        <w:rPr>
          <w:szCs w:val="18"/>
          <w:lang w:val="en-CA"/>
        </w:rPr>
        <w:t>日</w:t>
      </w:r>
      <w:r w:rsidRPr="00953281">
        <w:rPr>
          <w:rFonts w:hint="eastAsia"/>
          <w:szCs w:val="18"/>
          <w:lang w:val="en-CA"/>
        </w:rPr>
        <w:t>，可查阅</w:t>
      </w:r>
      <w:r w:rsidRPr="00953281">
        <w:rPr>
          <w:szCs w:val="18"/>
          <w:lang w:val="en-CA"/>
        </w:rPr>
        <w:t>&lt;</w:t>
      </w:r>
      <w:r w:rsidRPr="00953281">
        <w:rPr>
          <w:szCs w:val="18"/>
        </w:rPr>
        <w:t xml:space="preserve"> http://www.italaw.com/sites/default/files/case-documents/italaw1515_0.pdf&gt;</w:t>
      </w:r>
      <w:r w:rsidRPr="00953281">
        <w:rPr>
          <w:rFonts w:hint="eastAsia"/>
          <w:szCs w:val="18"/>
        </w:rPr>
        <w:t>。</w:t>
      </w:r>
    </w:p>
  </w:footnote>
  <w:footnote w:id="53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 xml:space="preserve">ST-AD GmbH </w:t>
      </w:r>
      <w:r w:rsidRPr="00953281">
        <w:rPr>
          <w:rFonts w:eastAsia="楷体"/>
          <w:szCs w:val="18"/>
          <w:lang w:val="en-CA"/>
        </w:rPr>
        <w:t>诉保加利亚共和国案，</w:t>
      </w:r>
      <w:r w:rsidRPr="00953281">
        <w:rPr>
          <w:szCs w:val="18"/>
          <w:lang w:val="en-CA"/>
        </w:rPr>
        <w:t>关于管辖权的裁决，联合国国际贸易法委员会，常设仲裁法院第</w:t>
      </w:r>
      <w:r w:rsidRPr="00953281">
        <w:rPr>
          <w:szCs w:val="18"/>
          <w:lang w:val="en-CA"/>
        </w:rPr>
        <w:t>2011-06</w:t>
      </w:r>
      <w:r w:rsidRPr="00953281">
        <w:rPr>
          <w:szCs w:val="18"/>
          <w:lang w:val="en-CA"/>
        </w:rPr>
        <w:t>号案件，</w:t>
      </w:r>
      <w:r w:rsidRPr="00953281">
        <w:rPr>
          <w:szCs w:val="18"/>
          <w:lang w:val="en-CA"/>
        </w:rPr>
        <w:t>2013</w:t>
      </w:r>
      <w:r w:rsidRPr="00953281">
        <w:rPr>
          <w:szCs w:val="18"/>
          <w:lang w:val="en-CA"/>
        </w:rPr>
        <w:t>年</w:t>
      </w:r>
      <w:r w:rsidRPr="00953281">
        <w:rPr>
          <w:szCs w:val="18"/>
          <w:lang w:val="en-CA"/>
        </w:rPr>
        <w:t>7</w:t>
      </w:r>
      <w:r w:rsidRPr="00953281">
        <w:rPr>
          <w:szCs w:val="18"/>
          <w:lang w:val="en-CA"/>
        </w:rPr>
        <w:t>月</w:t>
      </w:r>
      <w:r w:rsidRPr="00953281">
        <w:rPr>
          <w:szCs w:val="18"/>
          <w:lang w:val="en-CA"/>
        </w:rPr>
        <w:t>18</w:t>
      </w:r>
      <w:r w:rsidRPr="00953281">
        <w:rPr>
          <w:szCs w:val="18"/>
          <w:lang w:val="en-CA"/>
        </w:rPr>
        <w:t>日。</w:t>
      </w:r>
    </w:p>
  </w:footnote>
  <w:footnote w:id="53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rFonts w:eastAsia="楷体"/>
          <w:szCs w:val="18"/>
          <w:lang w:val="en-CA"/>
        </w:rPr>
        <w:tab/>
      </w:r>
      <w:r w:rsidRPr="00953281">
        <w:rPr>
          <w:rStyle w:val="a3"/>
          <w:sz w:val="21"/>
          <w:szCs w:val="18"/>
        </w:rPr>
        <w:footnoteRef/>
      </w:r>
      <w:r w:rsidRPr="00953281">
        <w:rPr>
          <w:rFonts w:eastAsia="楷体"/>
          <w:szCs w:val="18"/>
          <w:lang w:val="en-CA"/>
        </w:rPr>
        <w:tab/>
      </w:r>
      <w:r w:rsidRPr="00953281">
        <w:rPr>
          <w:rFonts w:eastAsia="楷体"/>
          <w:szCs w:val="18"/>
          <w:lang w:val="en-CA"/>
        </w:rPr>
        <w:t>豪赫蒂夫案</w:t>
      </w:r>
      <w:r w:rsidRPr="00953281">
        <w:rPr>
          <w:szCs w:val="18"/>
          <w:lang w:val="en-CA"/>
        </w:rPr>
        <w:t>(</w:t>
      </w:r>
      <w:r w:rsidRPr="00953281">
        <w:rPr>
          <w:szCs w:val="18"/>
          <w:lang w:val="en-CA"/>
        </w:rPr>
        <w:t>多数意见</w:t>
      </w:r>
      <w:r w:rsidRPr="00953281">
        <w:rPr>
          <w:szCs w:val="18"/>
          <w:lang w:val="en-CA"/>
        </w:rPr>
        <w:t>)</w:t>
      </w:r>
      <w:r w:rsidRPr="00953281">
        <w:rPr>
          <w:szCs w:val="18"/>
          <w:lang w:val="en-CA"/>
        </w:rPr>
        <w:t>。</w:t>
      </w:r>
    </w:p>
  </w:footnote>
  <w:footnote w:id="53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同上</w:t>
      </w:r>
      <w:r w:rsidRPr="00953281">
        <w:rPr>
          <w:szCs w:val="18"/>
          <w:lang w:val="en-CA"/>
        </w:rPr>
        <w:t>。</w:t>
      </w:r>
    </w:p>
  </w:footnote>
  <w:footnote w:id="53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eastAsia="ja-JP"/>
        </w:rPr>
        <w:t>Teinver S.A.</w:t>
      </w:r>
      <w:r w:rsidRPr="00953281">
        <w:rPr>
          <w:szCs w:val="18"/>
          <w:lang w:val="en-CA"/>
        </w:rPr>
        <w:t>、</w:t>
      </w:r>
      <w:r w:rsidRPr="00953281">
        <w:rPr>
          <w:szCs w:val="18"/>
          <w:lang w:val="en-CA" w:eastAsia="ja-JP"/>
        </w:rPr>
        <w:t xml:space="preserve">Transportes de Cercanías S.A. </w:t>
      </w:r>
      <w:r w:rsidRPr="00953281">
        <w:rPr>
          <w:szCs w:val="18"/>
          <w:lang w:val="en-CA"/>
        </w:rPr>
        <w:t>和</w:t>
      </w:r>
      <w:r w:rsidRPr="00953281">
        <w:rPr>
          <w:szCs w:val="18"/>
          <w:lang w:val="en-CA" w:eastAsia="ja-JP"/>
        </w:rPr>
        <w:t>Autobuses Urbanos del Sur S.A.</w:t>
      </w:r>
      <w:r w:rsidRPr="00A3609D">
        <w:rPr>
          <w:rFonts w:ascii="楷体_GB2312" w:eastAsia="楷体_GB2312"/>
          <w:szCs w:val="18"/>
          <w:lang w:val="en-CA" w:eastAsia="ja-JP"/>
        </w:rPr>
        <w:t>诉阿根廷共和国案</w:t>
      </w:r>
      <w:r w:rsidRPr="00953281">
        <w:rPr>
          <w:szCs w:val="18"/>
          <w:lang w:val="en-CA"/>
        </w:rPr>
        <w:t>，</w:t>
      </w:r>
      <w:r w:rsidRPr="00953281">
        <w:rPr>
          <w:szCs w:val="18"/>
          <w:lang w:val="en-CA" w:eastAsia="ja-JP"/>
        </w:rPr>
        <w:t>关于管辖权的裁决</w:t>
      </w:r>
      <w:r w:rsidRPr="00953281">
        <w:rPr>
          <w:szCs w:val="18"/>
          <w:lang w:val="en-CA"/>
        </w:rPr>
        <w:t>，</w:t>
      </w:r>
      <w:r w:rsidRPr="00953281">
        <w:rPr>
          <w:szCs w:val="18"/>
          <w:lang w:val="en-CA" w:eastAsia="ja-JP"/>
        </w:rPr>
        <w:t>国际投资争端解决中心第</w:t>
      </w:r>
      <w:r w:rsidRPr="00953281">
        <w:rPr>
          <w:szCs w:val="18"/>
          <w:lang w:val="en-CA" w:eastAsia="ja-JP"/>
        </w:rPr>
        <w:t>ARB/09/01</w:t>
      </w:r>
      <w:r w:rsidRPr="00953281">
        <w:rPr>
          <w:szCs w:val="18"/>
          <w:lang w:val="en-CA" w:eastAsia="ja-JP"/>
        </w:rPr>
        <w:t>号案件</w:t>
      </w:r>
      <w:r w:rsidRPr="00953281">
        <w:rPr>
          <w:szCs w:val="18"/>
          <w:lang w:val="en-CA"/>
        </w:rPr>
        <w:t>，</w:t>
      </w:r>
      <w:r w:rsidRPr="00953281">
        <w:rPr>
          <w:szCs w:val="18"/>
          <w:lang w:val="en-CA" w:eastAsia="ja-JP"/>
        </w:rPr>
        <w:t>2012</w:t>
      </w:r>
      <w:r w:rsidRPr="00953281">
        <w:rPr>
          <w:szCs w:val="18"/>
          <w:lang w:val="en-CA"/>
        </w:rPr>
        <w:t>年</w:t>
      </w:r>
      <w:r w:rsidRPr="00953281">
        <w:rPr>
          <w:szCs w:val="18"/>
          <w:lang w:val="en-CA"/>
        </w:rPr>
        <w:t>12</w:t>
      </w:r>
      <w:r w:rsidRPr="00953281">
        <w:rPr>
          <w:szCs w:val="18"/>
          <w:lang w:val="en-CA"/>
        </w:rPr>
        <w:t>月</w:t>
      </w:r>
      <w:r w:rsidRPr="00953281">
        <w:rPr>
          <w:szCs w:val="18"/>
          <w:lang w:val="en-CA"/>
        </w:rPr>
        <w:t>21</w:t>
      </w:r>
      <w:r w:rsidRPr="00953281">
        <w:rPr>
          <w:szCs w:val="18"/>
          <w:lang w:val="en-CA"/>
        </w:rPr>
        <w:t>日。</w:t>
      </w:r>
    </w:p>
  </w:footnote>
  <w:footnote w:id="53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eastAsia="ja-JP"/>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贸发会议国际投资协定丛书，第二卷，</w:t>
      </w:r>
      <w:r w:rsidRPr="00953281">
        <w:rPr>
          <w:rFonts w:hint="eastAsia"/>
          <w:szCs w:val="18"/>
          <w:lang w:val="en-CA"/>
        </w:rPr>
        <w:t>《</w:t>
      </w:r>
      <w:r w:rsidRPr="00953281">
        <w:rPr>
          <w:rFonts w:eastAsia="楷体"/>
          <w:szCs w:val="18"/>
          <w:lang w:val="en-CA"/>
        </w:rPr>
        <w:t>最惠国待遇</w:t>
      </w:r>
      <w:r w:rsidRPr="00953281">
        <w:rPr>
          <w:rFonts w:eastAsia="楷体" w:hint="eastAsia"/>
          <w:szCs w:val="18"/>
          <w:lang w:val="en-CA"/>
        </w:rPr>
        <w:t>》</w:t>
      </w:r>
      <w:r w:rsidRPr="00953281">
        <w:rPr>
          <w:szCs w:val="18"/>
          <w:lang w:val="en-CA"/>
        </w:rPr>
        <w:t>，</w:t>
      </w:r>
      <w:r w:rsidRPr="00953281">
        <w:rPr>
          <w:szCs w:val="18"/>
          <w:lang w:val="en-CA" w:eastAsia="ja-JP"/>
        </w:rPr>
        <w:t>2011</w:t>
      </w:r>
      <w:r w:rsidRPr="00953281">
        <w:rPr>
          <w:szCs w:val="18"/>
          <w:lang w:val="en-CA" w:eastAsia="ja-JP"/>
        </w:rPr>
        <w:t>年</w:t>
      </w:r>
      <w:r w:rsidRPr="00953281">
        <w:rPr>
          <w:szCs w:val="18"/>
          <w:lang w:val="en-CA" w:eastAsia="ja-JP"/>
        </w:rPr>
        <w:t>1</w:t>
      </w:r>
      <w:r w:rsidRPr="00953281">
        <w:rPr>
          <w:szCs w:val="18"/>
          <w:lang w:val="en-CA" w:eastAsia="ja-JP"/>
        </w:rPr>
        <w:t>月</w:t>
      </w:r>
      <w:r w:rsidRPr="00953281">
        <w:rPr>
          <w:szCs w:val="18"/>
          <w:lang w:val="en-CA" w:eastAsia="ja-JP"/>
        </w:rPr>
        <w:t>24</w:t>
      </w:r>
      <w:r w:rsidRPr="00953281">
        <w:rPr>
          <w:szCs w:val="18"/>
          <w:lang w:val="en-CA" w:eastAsia="ja-JP"/>
        </w:rPr>
        <w:t>日</w:t>
      </w:r>
      <w:r w:rsidRPr="00953281">
        <w:rPr>
          <w:szCs w:val="18"/>
          <w:lang w:val="en-CA"/>
        </w:rPr>
        <w:t>，</w:t>
      </w:r>
      <w:r w:rsidRPr="00953281">
        <w:rPr>
          <w:szCs w:val="18"/>
          <w:lang w:val="en-CA" w:eastAsia="ja-JP"/>
        </w:rPr>
        <w:t>UNCTAD/DIAE/IA/ 2010/1</w:t>
      </w:r>
      <w:r w:rsidRPr="00953281">
        <w:rPr>
          <w:szCs w:val="18"/>
          <w:lang w:val="en-CA"/>
        </w:rPr>
        <w:t>号文件，第</w:t>
      </w:r>
      <w:r w:rsidRPr="00953281">
        <w:rPr>
          <w:szCs w:val="18"/>
          <w:lang w:val="en-CA" w:eastAsia="ja-JP"/>
        </w:rPr>
        <w:t>66</w:t>
      </w:r>
      <w:r w:rsidRPr="00953281">
        <w:rPr>
          <w:szCs w:val="18"/>
          <w:lang w:val="en-CA"/>
        </w:rPr>
        <w:t>至</w:t>
      </w:r>
      <w:r w:rsidRPr="00953281">
        <w:rPr>
          <w:szCs w:val="18"/>
          <w:lang w:val="en-CA" w:eastAsia="ja-JP"/>
        </w:rPr>
        <w:t>67</w:t>
      </w:r>
      <w:r w:rsidRPr="00953281">
        <w:rPr>
          <w:szCs w:val="18"/>
          <w:lang w:val="en-CA"/>
        </w:rPr>
        <w:t>页。</w:t>
      </w:r>
    </w:p>
  </w:footnote>
  <w:footnote w:id="53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rFonts w:eastAsia="楷体"/>
          <w:szCs w:val="18"/>
        </w:rPr>
        <w:t>罗斯投资公司案</w:t>
      </w:r>
      <w:r w:rsidRPr="00953281">
        <w:rPr>
          <w:szCs w:val="18"/>
        </w:rPr>
        <w:t>，</w:t>
      </w:r>
      <w:r w:rsidRPr="00953281">
        <w:rPr>
          <w:szCs w:val="18"/>
          <w:lang w:val="es-ES"/>
        </w:rPr>
        <w:t>第</w:t>
      </w:r>
      <w:r w:rsidRPr="00953281">
        <w:rPr>
          <w:szCs w:val="18"/>
        </w:rPr>
        <w:t>131</w:t>
      </w:r>
      <w:r w:rsidRPr="00953281">
        <w:rPr>
          <w:szCs w:val="18"/>
          <w:lang w:val="es-ES"/>
        </w:rPr>
        <w:t>段</w:t>
      </w:r>
      <w:r w:rsidRPr="00953281">
        <w:rPr>
          <w:szCs w:val="18"/>
        </w:rPr>
        <w:t>。</w:t>
      </w:r>
      <w:r w:rsidRPr="00953281">
        <w:rPr>
          <w:szCs w:val="18"/>
          <w:lang w:bidi="en-US"/>
        </w:rPr>
        <w:t>在</w:t>
      </w:r>
      <w:r w:rsidRPr="00953281">
        <w:rPr>
          <w:rFonts w:eastAsia="楷体"/>
          <w:szCs w:val="18"/>
          <w:lang w:bidi="en-US"/>
        </w:rPr>
        <w:t>Renta</w:t>
      </w:r>
      <w:r w:rsidRPr="00953281">
        <w:rPr>
          <w:rFonts w:eastAsia="楷体"/>
          <w:szCs w:val="18"/>
        </w:rPr>
        <w:t>案</w:t>
      </w:r>
      <w:r w:rsidRPr="00953281">
        <w:rPr>
          <w:szCs w:val="18"/>
        </w:rPr>
        <w:t>中，</w:t>
      </w:r>
      <w:r w:rsidRPr="00953281">
        <w:rPr>
          <w:szCs w:val="18"/>
          <w:lang w:val="en-CA"/>
        </w:rPr>
        <w:t>法庭在</w:t>
      </w:r>
      <w:r w:rsidRPr="00953281">
        <w:rPr>
          <w:szCs w:val="18"/>
          <w:lang w:val="es-ES"/>
        </w:rPr>
        <w:t>第</w:t>
      </w:r>
      <w:r w:rsidRPr="00953281">
        <w:rPr>
          <w:szCs w:val="18"/>
          <w:lang w:val="en-CA"/>
        </w:rPr>
        <w:t>92</w:t>
      </w:r>
      <w:r w:rsidRPr="00953281">
        <w:rPr>
          <w:szCs w:val="18"/>
          <w:lang w:val="es-ES"/>
        </w:rPr>
        <w:t>段</w:t>
      </w:r>
      <w:r w:rsidRPr="00953281">
        <w:rPr>
          <w:szCs w:val="18"/>
          <w:lang w:val="en-CA"/>
        </w:rPr>
        <w:t>指出，</w:t>
      </w:r>
      <w:r w:rsidRPr="00953281">
        <w:rPr>
          <w:rFonts w:hint="eastAsia"/>
          <w:szCs w:val="18"/>
          <w:lang w:val="en-CA"/>
        </w:rPr>
        <w:t>“</w:t>
      </w:r>
      <w:r w:rsidRPr="00953281">
        <w:rPr>
          <w:szCs w:val="18"/>
          <w:lang w:val="en-CA"/>
        </w:rPr>
        <w:t>扩展</w:t>
      </w:r>
      <w:r w:rsidRPr="00953281">
        <w:rPr>
          <w:rFonts w:hint="eastAsia"/>
          <w:szCs w:val="18"/>
          <w:lang w:val="en-CA"/>
        </w:rPr>
        <w:t>承诺</w:t>
      </w:r>
      <w:r w:rsidRPr="00953281">
        <w:rPr>
          <w:szCs w:val="18"/>
          <w:lang w:val="en-CA"/>
        </w:rPr>
        <w:t>是最惠国条款的根本性质所在。</w:t>
      </w:r>
      <w:r w:rsidRPr="00953281">
        <w:rPr>
          <w:rFonts w:hint="eastAsia"/>
          <w:szCs w:val="18"/>
          <w:lang w:val="en-CA"/>
        </w:rPr>
        <w:t>”</w:t>
      </w:r>
    </w:p>
  </w:footnote>
  <w:footnote w:id="53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Style w:val="caps"/>
          <w:rFonts w:eastAsia="楷体"/>
          <w:szCs w:val="18"/>
          <w:lang w:val="en-CA"/>
        </w:rPr>
        <w:t>中欧传媒企业捷克共和国私人有限责任公司</w:t>
      </w:r>
      <w:r w:rsidRPr="00953281">
        <w:rPr>
          <w:rStyle w:val="caps"/>
          <w:rFonts w:eastAsia="楷体"/>
          <w:szCs w:val="18"/>
          <w:lang w:val="en-CA"/>
        </w:rPr>
        <w:t>(CME</w:t>
      </w:r>
      <w:r w:rsidRPr="00953281">
        <w:rPr>
          <w:rStyle w:val="aff0"/>
          <w:rFonts w:eastAsia="楷体"/>
          <w:szCs w:val="18"/>
          <w:lang w:val="en-CA"/>
        </w:rPr>
        <w:t xml:space="preserve"> </w:t>
      </w:r>
      <w:r w:rsidRPr="004937FB">
        <w:rPr>
          <w:rStyle w:val="aff0"/>
          <w:rFonts w:eastAsia="楷体"/>
          <w:b w:val="0"/>
          <w:bCs w:val="0"/>
          <w:szCs w:val="18"/>
          <w:lang w:val="en-CA"/>
        </w:rPr>
        <w:t xml:space="preserve">Czech Republic </w:t>
      </w:r>
      <w:r w:rsidRPr="004937FB">
        <w:rPr>
          <w:rStyle w:val="caps"/>
          <w:rFonts w:eastAsia="楷体"/>
          <w:szCs w:val="18"/>
          <w:lang w:val="en-CA"/>
        </w:rPr>
        <w:t>B.V</w:t>
      </w:r>
      <w:r w:rsidRPr="00953281">
        <w:rPr>
          <w:rStyle w:val="caps"/>
          <w:rFonts w:eastAsia="楷体"/>
          <w:szCs w:val="18"/>
          <w:lang w:val="en-CA"/>
        </w:rPr>
        <w:t>.)</w:t>
      </w:r>
      <w:r w:rsidRPr="00530FC5">
        <w:rPr>
          <w:rStyle w:val="aff0"/>
          <w:rFonts w:eastAsia="楷体"/>
          <w:b w:val="0"/>
          <w:bCs w:val="0"/>
          <w:i w:val="0"/>
          <w:iCs w:val="0"/>
          <w:szCs w:val="18"/>
          <w:lang w:val="en-CA"/>
        </w:rPr>
        <w:t>诉捷克共和国案</w:t>
      </w:r>
      <w:r w:rsidRPr="00530FC5">
        <w:rPr>
          <w:rStyle w:val="aff0"/>
          <w:b w:val="0"/>
          <w:bCs w:val="0"/>
          <w:i w:val="0"/>
          <w:iCs w:val="0"/>
          <w:szCs w:val="18"/>
          <w:lang w:val="en-CA"/>
        </w:rPr>
        <w:t>，关于赔偿金额阶段问题的个别意见</w:t>
      </w:r>
      <w:r w:rsidRPr="00530FC5">
        <w:rPr>
          <w:b/>
          <w:bCs/>
          <w:i/>
          <w:iCs/>
          <w:szCs w:val="18"/>
          <w:lang w:val="en-CA"/>
        </w:rPr>
        <w:t>，</w:t>
      </w:r>
      <w:r w:rsidRPr="00953281">
        <w:rPr>
          <w:rStyle w:val="file"/>
          <w:szCs w:val="18"/>
          <w:lang w:val="en-CA"/>
        </w:rPr>
        <w:t>联合国国际贸易法委员会</w:t>
      </w:r>
      <w:r w:rsidRPr="00953281">
        <w:rPr>
          <w:rStyle w:val="file"/>
          <w:szCs w:val="18"/>
          <w:lang w:val="en-CA"/>
        </w:rPr>
        <w:t>(</w:t>
      </w:r>
      <w:r w:rsidRPr="00953281">
        <w:rPr>
          <w:szCs w:val="18"/>
          <w:lang w:val="en-CA"/>
        </w:rPr>
        <w:t>2003</w:t>
      </w:r>
      <w:r w:rsidRPr="00953281">
        <w:rPr>
          <w:szCs w:val="18"/>
          <w:lang w:val="en-CA"/>
        </w:rPr>
        <w:t>年</w:t>
      </w:r>
      <w:r w:rsidRPr="00953281">
        <w:rPr>
          <w:szCs w:val="18"/>
          <w:lang w:val="en-CA"/>
        </w:rPr>
        <w:t>3</w:t>
      </w:r>
      <w:r w:rsidRPr="00953281">
        <w:rPr>
          <w:szCs w:val="18"/>
          <w:lang w:val="en-CA"/>
        </w:rPr>
        <w:t>月</w:t>
      </w:r>
      <w:r w:rsidRPr="00953281">
        <w:rPr>
          <w:szCs w:val="18"/>
          <w:lang w:val="en-CA"/>
        </w:rPr>
        <w:t>14</w:t>
      </w:r>
      <w:r w:rsidRPr="00953281">
        <w:rPr>
          <w:szCs w:val="18"/>
          <w:lang w:val="en-CA"/>
        </w:rPr>
        <w:t>日</w:t>
      </w:r>
      <w:r w:rsidRPr="00953281">
        <w:rPr>
          <w:szCs w:val="18"/>
          <w:lang w:val="en-CA"/>
        </w:rPr>
        <w:t>)</w:t>
      </w:r>
      <w:r w:rsidRPr="00953281">
        <w:rPr>
          <w:szCs w:val="18"/>
          <w:lang w:val="en-CA"/>
        </w:rPr>
        <w:t>，第</w:t>
      </w:r>
      <w:r w:rsidRPr="00953281">
        <w:rPr>
          <w:szCs w:val="18"/>
          <w:lang w:val="en-CA"/>
        </w:rPr>
        <w:t>11</w:t>
      </w:r>
      <w:r w:rsidRPr="00953281">
        <w:rPr>
          <w:szCs w:val="18"/>
          <w:lang w:val="en-CA"/>
        </w:rPr>
        <w:t>段</w:t>
      </w:r>
      <w:r w:rsidRPr="00953281">
        <w:rPr>
          <w:szCs w:val="18"/>
          <w:lang w:val="en-CA"/>
        </w:rPr>
        <w:t>(</w:t>
      </w:r>
      <w:r w:rsidRPr="00953281">
        <w:rPr>
          <w:szCs w:val="18"/>
          <w:lang w:val="en-CA"/>
        </w:rPr>
        <w:t>《荷兰与捷克共和国双边投资条约》</w:t>
      </w:r>
      <w:r w:rsidRPr="00953281">
        <w:rPr>
          <w:szCs w:val="18"/>
          <w:lang w:val="en-CA"/>
        </w:rPr>
        <w:t>)</w:t>
      </w:r>
      <w:r w:rsidRPr="00953281">
        <w:rPr>
          <w:szCs w:val="18"/>
          <w:lang w:val="en-CA"/>
        </w:rPr>
        <w:t>，可查阅</w:t>
      </w:r>
      <w:r w:rsidRPr="00953281">
        <w:rPr>
          <w:szCs w:val="18"/>
          <w:lang w:val="en-CA"/>
        </w:rPr>
        <w:t>&lt;http://italaw.com/cases/documents/282</w:t>
      </w:r>
      <w:r w:rsidRPr="00953281">
        <w:rPr>
          <w:rStyle w:val="ad"/>
          <w:szCs w:val="18"/>
          <w:lang w:val="en-CA"/>
        </w:rPr>
        <w:t>&gt;</w:t>
      </w:r>
      <w:r w:rsidRPr="00953281">
        <w:rPr>
          <w:szCs w:val="18"/>
          <w:lang w:val="en-CA"/>
        </w:rPr>
        <w:t>。</w:t>
      </w:r>
    </w:p>
  </w:footnote>
  <w:footnote w:id="53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奥地利航空案</w:t>
      </w:r>
      <w:r w:rsidRPr="00953281">
        <w:rPr>
          <w:szCs w:val="18"/>
        </w:rPr>
        <w:t>，</w:t>
      </w:r>
      <w:r w:rsidRPr="00953281">
        <w:rPr>
          <w:szCs w:val="18"/>
          <w:lang w:val="es-ES"/>
        </w:rPr>
        <w:t>第</w:t>
      </w:r>
      <w:r w:rsidRPr="00953281">
        <w:rPr>
          <w:szCs w:val="18"/>
        </w:rPr>
        <w:t>137</w:t>
      </w:r>
      <w:r w:rsidRPr="00953281">
        <w:rPr>
          <w:szCs w:val="18"/>
          <w:lang w:val="es-ES"/>
        </w:rPr>
        <w:t>段</w:t>
      </w:r>
      <w:r w:rsidRPr="00953281">
        <w:rPr>
          <w:szCs w:val="18"/>
        </w:rPr>
        <w:t>。</w:t>
      </w:r>
    </w:p>
  </w:footnote>
  <w:footnote w:id="54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Berschader</w:t>
      </w:r>
      <w:r w:rsidRPr="00953281">
        <w:rPr>
          <w:szCs w:val="18"/>
        </w:rPr>
        <w:t>案</w:t>
      </w:r>
      <w:r w:rsidRPr="00953281">
        <w:rPr>
          <w:szCs w:val="18"/>
          <w:lang w:val="en-CA"/>
        </w:rPr>
        <w:t>，</w:t>
      </w:r>
      <w:r w:rsidRPr="00953281">
        <w:rPr>
          <w:szCs w:val="18"/>
          <w:lang w:val="es-ES"/>
        </w:rPr>
        <w:t>第</w:t>
      </w:r>
      <w:r w:rsidRPr="00953281">
        <w:rPr>
          <w:szCs w:val="18"/>
        </w:rPr>
        <w:t>192</w:t>
      </w:r>
      <w:r w:rsidRPr="00953281">
        <w:rPr>
          <w:szCs w:val="18"/>
          <w:lang w:val="es-ES"/>
        </w:rPr>
        <w:t>段</w:t>
      </w:r>
      <w:r w:rsidRPr="00953281">
        <w:rPr>
          <w:szCs w:val="18"/>
        </w:rPr>
        <w:t>。</w:t>
      </w:r>
    </w:p>
  </w:footnote>
  <w:footnote w:id="54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rStyle w:val="a3"/>
          <w:sz w:val="21"/>
          <w:szCs w:val="18"/>
        </w:rPr>
        <w:tab/>
      </w:r>
      <w:r w:rsidRPr="00953281">
        <w:rPr>
          <w:rFonts w:eastAsia="楷体"/>
          <w:szCs w:val="18"/>
        </w:rPr>
        <w:t>奥地利航空案</w:t>
      </w:r>
      <w:r w:rsidRPr="00953281">
        <w:rPr>
          <w:szCs w:val="18"/>
          <w:lang w:val="en-CA"/>
        </w:rPr>
        <w:t>，</w:t>
      </w:r>
      <w:r w:rsidRPr="00953281">
        <w:rPr>
          <w:szCs w:val="18"/>
        </w:rPr>
        <w:t>第</w:t>
      </w:r>
      <w:r w:rsidRPr="00953281">
        <w:rPr>
          <w:szCs w:val="18"/>
          <w:lang w:val="en-CA"/>
        </w:rPr>
        <w:t>135</w:t>
      </w:r>
      <w:r w:rsidRPr="00953281">
        <w:rPr>
          <w:szCs w:val="18"/>
        </w:rPr>
        <w:t>段</w:t>
      </w:r>
      <w:r w:rsidRPr="00953281">
        <w:rPr>
          <w:szCs w:val="18"/>
          <w:lang w:val="en-CA"/>
        </w:rPr>
        <w:t>。</w:t>
      </w:r>
    </w:p>
  </w:footnote>
  <w:footnote w:id="54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rStyle w:val="file"/>
          <w:szCs w:val="18"/>
          <w:lang w:val="en-CA"/>
        </w:rPr>
        <w:tab/>
      </w:r>
      <w:r w:rsidRPr="00953281">
        <w:rPr>
          <w:rStyle w:val="a3"/>
          <w:sz w:val="21"/>
          <w:szCs w:val="18"/>
        </w:rPr>
        <w:footnoteRef/>
      </w:r>
      <w:r w:rsidRPr="00953281">
        <w:rPr>
          <w:rStyle w:val="a3"/>
          <w:sz w:val="21"/>
          <w:szCs w:val="18"/>
        </w:rPr>
        <w:tab/>
      </w:r>
      <w:r w:rsidRPr="00953281">
        <w:rPr>
          <w:rStyle w:val="file"/>
          <w:rFonts w:eastAsia="楷体"/>
          <w:szCs w:val="18"/>
          <w:lang w:val="en-CA"/>
        </w:rPr>
        <w:t>谢业深先生</w:t>
      </w:r>
      <w:r w:rsidRPr="00530FC5">
        <w:rPr>
          <w:rStyle w:val="aff0"/>
          <w:rFonts w:eastAsia="楷体"/>
          <w:b w:val="0"/>
          <w:bCs w:val="0"/>
          <w:i w:val="0"/>
          <w:iCs w:val="0"/>
          <w:szCs w:val="18"/>
          <w:lang w:val="en-CA"/>
        </w:rPr>
        <w:t>诉秘鲁共和国案</w:t>
      </w:r>
      <w:r w:rsidRPr="00530FC5">
        <w:rPr>
          <w:b/>
          <w:bCs/>
          <w:i/>
          <w:iCs/>
          <w:szCs w:val="18"/>
          <w:lang w:val="en-CA"/>
        </w:rPr>
        <w:t>，</w:t>
      </w:r>
      <w:r w:rsidRPr="00953281">
        <w:rPr>
          <w:rStyle w:val="file"/>
          <w:szCs w:val="18"/>
          <w:lang w:val="en-CA"/>
        </w:rPr>
        <w:t>关于管辖权和资格的裁决</w:t>
      </w:r>
      <w:r w:rsidRPr="00953281">
        <w:rPr>
          <w:rStyle w:val="file"/>
          <w:szCs w:val="18"/>
          <w:lang w:val="en-CA"/>
        </w:rPr>
        <w:t>(</w:t>
      </w:r>
      <w:r w:rsidRPr="00953281">
        <w:rPr>
          <w:rStyle w:val="file"/>
          <w:szCs w:val="18"/>
          <w:lang w:val="en-CA"/>
        </w:rPr>
        <w:t>西班牙文</w:t>
      </w:r>
      <w:r w:rsidRPr="00953281">
        <w:rPr>
          <w:rStyle w:val="file"/>
          <w:szCs w:val="18"/>
          <w:lang w:val="en-CA"/>
        </w:rPr>
        <w:t>)</w:t>
      </w:r>
      <w:r w:rsidRPr="00953281">
        <w:rPr>
          <w:rStyle w:val="file"/>
          <w:szCs w:val="18"/>
          <w:lang w:val="en-CA"/>
        </w:rPr>
        <w:t>，</w:t>
      </w:r>
      <w:r w:rsidRPr="00953281">
        <w:rPr>
          <w:rStyle w:val="caps"/>
          <w:szCs w:val="18"/>
          <w:lang w:val="en-CA"/>
        </w:rPr>
        <w:t>国际投资争端解决中心第</w:t>
      </w:r>
      <w:r w:rsidRPr="00953281">
        <w:rPr>
          <w:rStyle w:val="caps"/>
          <w:szCs w:val="18"/>
        </w:rPr>
        <w:t>ARB</w:t>
      </w:r>
      <w:r w:rsidRPr="00953281">
        <w:rPr>
          <w:szCs w:val="18"/>
        </w:rPr>
        <w:t>/07/6</w:t>
      </w:r>
      <w:r w:rsidRPr="00953281">
        <w:rPr>
          <w:szCs w:val="18"/>
        </w:rPr>
        <w:t>号案件</w:t>
      </w:r>
      <w:r w:rsidRPr="00953281">
        <w:rPr>
          <w:szCs w:val="18"/>
        </w:rPr>
        <w:t>(2009</w:t>
      </w:r>
      <w:r w:rsidRPr="00953281">
        <w:rPr>
          <w:szCs w:val="18"/>
        </w:rPr>
        <w:t>年</w:t>
      </w:r>
      <w:r w:rsidRPr="00953281">
        <w:rPr>
          <w:szCs w:val="18"/>
        </w:rPr>
        <w:t>6</w:t>
      </w:r>
      <w:r w:rsidRPr="00953281">
        <w:rPr>
          <w:szCs w:val="18"/>
        </w:rPr>
        <w:t>月</w:t>
      </w:r>
      <w:r w:rsidRPr="00953281">
        <w:rPr>
          <w:szCs w:val="18"/>
        </w:rPr>
        <w:t>19</w:t>
      </w:r>
      <w:r w:rsidRPr="00953281">
        <w:rPr>
          <w:szCs w:val="18"/>
        </w:rPr>
        <w:t>日</w:t>
      </w:r>
      <w:r w:rsidRPr="00953281">
        <w:rPr>
          <w:szCs w:val="18"/>
        </w:rPr>
        <w:t>)</w:t>
      </w:r>
      <w:r w:rsidRPr="00953281">
        <w:rPr>
          <w:szCs w:val="18"/>
        </w:rPr>
        <w:t>，</w:t>
      </w:r>
      <w:r w:rsidRPr="00953281">
        <w:rPr>
          <w:rFonts w:eastAsia="楷体"/>
          <w:szCs w:val="18"/>
          <w:lang w:val="es-ES"/>
        </w:rPr>
        <w:t>第</w:t>
      </w:r>
      <w:r w:rsidRPr="00953281">
        <w:rPr>
          <w:szCs w:val="18"/>
        </w:rPr>
        <w:t>220</w:t>
      </w:r>
      <w:r w:rsidRPr="00953281">
        <w:rPr>
          <w:rFonts w:eastAsia="楷体"/>
          <w:szCs w:val="18"/>
          <w:lang w:val="es-ES"/>
        </w:rPr>
        <w:t>段</w:t>
      </w:r>
      <w:r w:rsidRPr="00953281">
        <w:rPr>
          <w:rFonts w:eastAsia="楷体"/>
          <w:szCs w:val="18"/>
          <w:lang w:val="es-ES"/>
        </w:rPr>
        <w:t>(</w:t>
      </w:r>
      <w:r w:rsidRPr="00953281">
        <w:rPr>
          <w:szCs w:val="18"/>
        </w:rPr>
        <w:t>《秘鲁与中国双边投资条约》</w:t>
      </w:r>
      <w:r w:rsidRPr="00953281">
        <w:rPr>
          <w:szCs w:val="18"/>
        </w:rPr>
        <w:t>)</w:t>
      </w:r>
      <w:r w:rsidRPr="00953281">
        <w:rPr>
          <w:szCs w:val="18"/>
        </w:rPr>
        <w:t>。</w:t>
      </w:r>
    </w:p>
  </w:footnote>
  <w:footnote w:id="54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马菲基尼案</w:t>
      </w:r>
      <w:r w:rsidRPr="00953281">
        <w:rPr>
          <w:szCs w:val="18"/>
        </w:rPr>
        <w:t>，</w:t>
      </w:r>
      <w:r w:rsidRPr="00953281">
        <w:rPr>
          <w:szCs w:val="18"/>
          <w:lang w:val="es-ES"/>
        </w:rPr>
        <w:t>第</w:t>
      </w:r>
      <w:r w:rsidRPr="00953281">
        <w:rPr>
          <w:szCs w:val="18"/>
        </w:rPr>
        <w:t>57</w:t>
      </w:r>
      <w:r w:rsidRPr="00953281">
        <w:rPr>
          <w:szCs w:val="18"/>
          <w:lang w:val="es-ES"/>
        </w:rPr>
        <w:t>段</w:t>
      </w:r>
      <w:r w:rsidRPr="00953281">
        <w:rPr>
          <w:szCs w:val="18"/>
        </w:rPr>
        <w:t>。</w:t>
      </w:r>
    </w:p>
  </w:footnote>
  <w:footnote w:id="54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挪威电信案</w:t>
      </w:r>
      <w:r w:rsidRPr="00953281">
        <w:rPr>
          <w:rFonts w:hint="eastAsia"/>
          <w:szCs w:val="18"/>
        </w:rPr>
        <w:t>，第</w:t>
      </w:r>
      <w:r w:rsidRPr="00953281">
        <w:rPr>
          <w:rFonts w:hint="eastAsia"/>
          <w:szCs w:val="18"/>
        </w:rPr>
        <w:t>96-97</w:t>
      </w:r>
      <w:r w:rsidRPr="00953281">
        <w:rPr>
          <w:rFonts w:hint="eastAsia"/>
          <w:szCs w:val="18"/>
        </w:rPr>
        <w:t>段。</w:t>
      </w:r>
    </w:p>
  </w:footnote>
  <w:footnote w:id="54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rStyle w:val="a3"/>
          <w:sz w:val="21"/>
          <w:szCs w:val="18"/>
        </w:rPr>
        <w:tab/>
      </w:r>
      <w:r w:rsidRPr="00953281">
        <w:rPr>
          <w:rFonts w:eastAsia="楷体"/>
          <w:szCs w:val="18"/>
          <w:lang w:val="es-ES"/>
        </w:rPr>
        <w:t>奥地利航空</w:t>
      </w:r>
      <w:r w:rsidRPr="00953281">
        <w:rPr>
          <w:rFonts w:eastAsia="楷体"/>
          <w:szCs w:val="18"/>
        </w:rPr>
        <w:t>案</w:t>
      </w:r>
      <w:r w:rsidRPr="00953281">
        <w:rPr>
          <w:szCs w:val="18"/>
        </w:rPr>
        <w:t>，</w:t>
      </w:r>
      <w:r w:rsidRPr="00953281">
        <w:rPr>
          <w:szCs w:val="18"/>
          <w:lang w:val="es-ES"/>
        </w:rPr>
        <w:t>第</w:t>
      </w:r>
      <w:r w:rsidRPr="00953281">
        <w:rPr>
          <w:szCs w:val="18"/>
        </w:rPr>
        <w:t>134</w:t>
      </w:r>
      <w:r w:rsidRPr="00953281">
        <w:rPr>
          <w:szCs w:val="18"/>
          <w:lang w:val="es-ES"/>
        </w:rPr>
        <w:t>段</w:t>
      </w:r>
      <w:r w:rsidRPr="00953281">
        <w:rPr>
          <w:rFonts w:eastAsia="楷体"/>
          <w:szCs w:val="18"/>
          <w:lang w:val="es-ES"/>
        </w:rPr>
        <w:t>。</w:t>
      </w:r>
    </w:p>
  </w:footnote>
  <w:footnote w:id="54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Renta</w:t>
      </w:r>
      <w:r w:rsidRPr="00953281">
        <w:rPr>
          <w:rFonts w:eastAsia="楷体"/>
          <w:szCs w:val="18"/>
          <w:lang w:val="es-ES"/>
        </w:rPr>
        <w:t>案</w:t>
      </w:r>
      <w:r w:rsidRPr="00953281">
        <w:rPr>
          <w:szCs w:val="18"/>
        </w:rPr>
        <w:t>，</w:t>
      </w:r>
      <w:r w:rsidRPr="00953281">
        <w:rPr>
          <w:szCs w:val="18"/>
          <w:lang w:val="es-ES"/>
        </w:rPr>
        <w:t>第</w:t>
      </w:r>
      <w:r w:rsidRPr="00953281">
        <w:rPr>
          <w:szCs w:val="18"/>
        </w:rPr>
        <w:t>120</w:t>
      </w:r>
      <w:r w:rsidRPr="00953281">
        <w:rPr>
          <w:szCs w:val="18"/>
          <w:lang w:val="es-ES"/>
        </w:rPr>
        <w:t>段</w:t>
      </w:r>
      <w:r w:rsidRPr="00953281">
        <w:rPr>
          <w:rFonts w:eastAsia="楷体"/>
          <w:szCs w:val="18"/>
          <w:lang w:val="es-ES"/>
        </w:rPr>
        <w:t>。</w:t>
      </w:r>
    </w:p>
  </w:footnote>
  <w:footnote w:id="54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Plama</w:t>
      </w:r>
      <w:r w:rsidRPr="00953281">
        <w:rPr>
          <w:rFonts w:eastAsia="楷体"/>
          <w:szCs w:val="18"/>
          <w:lang w:val="es-ES"/>
        </w:rPr>
        <w:t>案</w:t>
      </w:r>
      <w:r w:rsidRPr="00953281">
        <w:rPr>
          <w:szCs w:val="18"/>
        </w:rPr>
        <w:t>，</w:t>
      </w:r>
      <w:r w:rsidRPr="00953281">
        <w:rPr>
          <w:szCs w:val="18"/>
          <w:lang w:val="es-ES"/>
        </w:rPr>
        <w:t>第</w:t>
      </w:r>
      <w:r w:rsidRPr="00953281">
        <w:rPr>
          <w:szCs w:val="18"/>
        </w:rPr>
        <w:t>195</w:t>
      </w:r>
      <w:r w:rsidRPr="00953281">
        <w:rPr>
          <w:szCs w:val="18"/>
          <w:lang w:val="es-ES"/>
        </w:rPr>
        <w:t>段</w:t>
      </w:r>
      <w:r w:rsidRPr="00953281">
        <w:rPr>
          <w:rFonts w:eastAsia="楷体"/>
          <w:szCs w:val="18"/>
          <w:lang w:val="es-ES"/>
        </w:rPr>
        <w:t>。</w:t>
      </w:r>
    </w:p>
  </w:footnote>
  <w:footnote w:id="54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A3609D">
        <w:rPr>
          <w:rFonts w:asciiTheme="majorBidi" w:eastAsia="楷体_GB2312" w:hAnsiTheme="majorBidi" w:cstheme="majorBidi"/>
          <w:szCs w:val="18"/>
        </w:rPr>
        <w:t>ICS</w:t>
      </w:r>
      <w:r w:rsidRPr="00A3609D">
        <w:rPr>
          <w:rFonts w:ascii="楷体_GB2312" w:eastAsia="楷体_GB2312"/>
          <w:szCs w:val="18"/>
        </w:rPr>
        <w:t>诉阿根廷案</w:t>
      </w:r>
      <w:r w:rsidRPr="00953281">
        <w:rPr>
          <w:szCs w:val="18"/>
        </w:rPr>
        <w:t>，</w:t>
      </w:r>
      <w:r w:rsidRPr="00953281">
        <w:rPr>
          <w:szCs w:val="18"/>
          <w:lang w:val="es-ES"/>
        </w:rPr>
        <w:t>第</w:t>
      </w:r>
      <w:r w:rsidRPr="00953281">
        <w:rPr>
          <w:szCs w:val="18"/>
          <w:lang w:val="en-CA"/>
        </w:rPr>
        <w:t>289</w:t>
      </w:r>
      <w:r w:rsidRPr="00953281">
        <w:rPr>
          <w:szCs w:val="18"/>
          <w:lang w:val="es-ES"/>
        </w:rPr>
        <w:t>段</w:t>
      </w:r>
      <w:r w:rsidRPr="00953281">
        <w:rPr>
          <w:szCs w:val="18"/>
          <w:lang w:val="en-CA"/>
        </w:rPr>
        <w:t>。</w:t>
      </w:r>
    </w:p>
  </w:footnote>
  <w:footnote w:id="54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t>Plama</w:t>
      </w:r>
      <w:r w:rsidRPr="00953281">
        <w:rPr>
          <w:rFonts w:eastAsia="楷体"/>
          <w:szCs w:val="18"/>
          <w:lang w:val="en-CA"/>
        </w:rPr>
        <w:t>案</w:t>
      </w:r>
      <w:r w:rsidRPr="00953281">
        <w:rPr>
          <w:szCs w:val="18"/>
          <w:lang w:val="en-CA"/>
        </w:rPr>
        <w:t>，第</w:t>
      </w:r>
      <w:r w:rsidRPr="00953281">
        <w:rPr>
          <w:szCs w:val="18"/>
          <w:lang w:val="en-CA"/>
        </w:rPr>
        <w:t>224</w:t>
      </w:r>
      <w:r w:rsidRPr="00953281">
        <w:rPr>
          <w:szCs w:val="18"/>
          <w:lang w:val="en-CA"/>
        </w:rPr>
        <w:t>段</w:t>
      </w:r>
      <w:r w:rsidRPr="00953281">
        <w:rPr>
          <w:szCs w:val="18"/>
        </w:rPr>
        <w:t>。</w:t>
      </w:r>
      <w:r w:rsidRPr="00953281">
        <w:rPr>
          <w:szCs w:val="18"/>
          <w:lang w:val="en-CA"/>
        </w:rPr>
        <w:t>然而，不清楚</w:t>
      </w:r>
      <w:r w:rsidRPr="00953281">
        <w:rPr>
          <w:szCs w:val="18"/>
          <w:lang w:val="en-CA"/>
        </w:rPr>
        <w:t>18</w:t>
      </w:r>
      <w:r w:rsidRPr="00953281">
        <w:rPr>
          <w:szCs w:val="18"/>
          <w:lang w:val="en-CA"/>
        </w:rPr>
        <w:t>个月国内诉讼期的规定为何被视为毫无意义。它提供了在国内法院解决问题的机会，这是一种有限的用尽当地救济的形式，并保障投资者诉讼的推迟不会超过</w:t>
      </w:r>
      <w:r w:rsidRPr="00953281">
        <w:rPr>
          <w:szCs w:val="18"/>
          <w:lang w:val="en-CA"/>
        </w:rPr>
        <w:t>18</w:t>
      </w:r>
      <w:r w:rsidRPr="00953281">
        <w:rPr>
          <w:szCs w:val="18"/>
          <w:lang w:val="en-CA"/>
        </w:rPr>
        <w:t>个月。</w:t>
      </w:r>
    </w:p>
  </w:footnote>
  <w:footnote w:id="55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阿巴克拉特案</w:t>
      </w:r>
      <w:r w:rsidRPr="00953281">
        <w:rPr>
          <w:szCs w:val="18"/>
          <w:lang w:val="en-CA"/>
        </w:rPr>
        <w:t>的主要问题不是要求最惠国待遇。但是法庭确实在</w:t>
      </w:r>
      <w:r w:rsidRPr="00953281">
        <w:rPr>
          <w:rFonts w:hint="eastAsia"/>
          <w:szCs w:val="18"/>
          <w:lang w:val="en-CA"/>
        </w:rPr>
        <w:t>“</w:t>
      </w:r>
      <w:r w:rsidRPr="00953281">
        <w:rPr>
          <w:szCs w:val="18"/>
          <w:lang w:val="en-CA"/>
        </w:rPr>
        <w:t>申诉可否受理</w:t>
      </w:r>
      <w:r w:rsidRPr="00953281">
        <w:rPr>
          <w:rFonts w:hint="eastAsia"/>
          <w:szCs w:val="18"/>
          <w:lang w:val="en-CA"/>
        </w:rPr>
        <w:t>”</w:t>
      </w:r>
      <w:r w:rsidRPr="00953281">
        <w:rPr>
          <w:szCs w:val="18"/>
          <w:lang w:val="en-CA"/>
        </w:rPr>
        <w:t>环节下审理了</w:t>
      </w:r>
      <w:r w:rsidRPr="00953281">
        <w:rPr>
          <w:szCs w:val="18"/>
          <w:lang w:val="en-CA"/>
        </w:rPr>
        <w:t>18</w:t>
      </w:r>
      <w:r w:rsidRPr="00953281">
        <w:rPr>
          <w:szCs w:val="18"/>
          <w:lang w:val="en-CA"/>
        </w:rPr>
        <w:t>个月诉讼期要求的问题。</w:t>
      </w:r>
      <w:r w:rsidRPr="00953281">
        <w:rPr>
          <w:rFonts w:eastAsia="楷体"/>
          <w:szCs w:val="18"/>
          <w:lang w:val="en-CA"/>
        </w:rPr>
        <w:t>阿巴克拉特等人诉阿根廷共和国案</w:t>
      </w:r>
      <w:r w:rsidRPr="00953281">
        <w:rPr>
          <w:rFonts w:eastAsia="楷体"/>
          <w:szCs w:val="18"/>
          <w:lang w:val="en-CA"/>
        </w:rPr>
        <w:t>(</w:t>
      </w:r>
      <w:r w:rsidRPr="00953281">
        <w:rPr>
          <w:rFonts w:eastAsia="楷体"/>
          <w:szCs w:val="18"/>
          <w:lang w:val="en-CA"/>
        </w:rPr>
        <w:t>以前称为</w:t>
      </w:r>
      <w:r w:rsidRPr="00953281">
        <w:rPr>
          <w:rFonts w:eastAsia="楷体"/>
          <w:szCs w:val="18"/>
          <w:lang w:val="en-CA"/>
        </w:rPr>
        <w:t>Giovanna a Beccara</w:t>
      </w:r>
      <w:r w:rsidRPr="00953281">
        <w:rPr>
          <w:rFonts w:eastAsia="楷体"/>
          <w:szCs w:val="18"/>
          <w:lang w:val="en-CA"/>
        </w:rPr>
        <w:t>等人</w:t>
      </w:r>
      <w:r w:rsidRPr="00953281">
        <w:rPr>
          <w:rFonts w:eastAsia="楷体"/>
          <w:szCs w:val="18"/>
          <w:lang w:val="en-CA"/>
        </w:rPr>
        <w:t>)</w:t>
      </w:r>
      <w:r w:rsidRPr="00953281">
        <w:rPr>
          <w:rFonts w:eastAsia="楷体"/>
          <w:szCs w:val="18"/>
          <w:lang w:val="en-CA"/>
        </w:rPr>
        <w:t>，</w:t>
      </w:r>
      <w:r w:rsidRPr="00953281">
        <w:rPr>
          <w:szCs w:val="18"/>
          <w:lang w:val="en-CA"/>
        </w:rPr>
        <w:t>关于管辖权和可否受理的裁决，</w:t>
      </w:r>
      <w:r w:rsidRPr="00953281">
        <w:rPr>
          <w:rStyle w:val="caps"/>
          <w:szCs w:val="18"/>
          <w:lang w:val="en-CA"/>
        </w:rPr>
        <w:t>国际投资争端解决中心第</w:t>
      </w:r>
      <w:r w:rsidRPr="00953281">
        <w:rPr>
          <w:rStyle w:val="caps"/>
          <w:szCs w:val="18"/>
          <w:lang w:val="en-CA"/>
        </w:rPr>
        <w:t>ARB</w:t>
      </w:r>
      <w:r w:rsidRPr="00953281">
        <w:rPr>
          <w:szCs w:val="18"/>
          <w:lang w:val="en-CA"/>
        </w:rPr>
        <w:t>/07/5</w:t>
      </w:r>
      <w:r w:rsidRPr="00953281">
        <w:rPr>
          <w:szCs w:val="18"/>
          <w:lang w:val="en-CA"/>
        </w:rPr>
        <w:t>号案件</w:t>
      </w:r>
      <w:r w:rsidRPr="00953281">
        <w:rPr>
          <w:szCs w:val="18"/>
          <w:lang w:val="en-CA"/>
        </w:rPr>
        <w:t>(2011</w:t>
      </w:r>
      <w:r w:rsidRPr="00953281">
        <w:rPr>
          <w:szCs w:val="18"/>
          <w:lang w:val="en-CA"/>
        </w:rPr>
        <w:t>年</w:t>
      </w:r>
      <w:r w:rsidRPr="00953281">
        <w:rPr>
          <w:szCs w:val="18"/>
          <w:lang w:val="en-CA"/>
        </w:rPr>
        <w:t>8</w:t>
      </w:r>
      <w:r w:rsidRPr="00953281">
        <w:rPr>
          <w:szCs w:val="18"/>
          <w:lang w:val="en-CA"/>
        </w:rPr>
        <w:t>月</w:t>
      </w:r>
      <w:r w:rsidRPr="00953281">
        <w:rPr>
          <w:szCs w:val="18"/>
          <w:lang w:val="en-CA"/>
        </w:rPr>
        <w:t>4</w:t>
      </w:r>
      <w:r w:rsidRPr="00953281">
        <w:rPr>
          <w:szCs w:val="18"/>
          <w:lang w:val="en-CA"/>
        </w:rPr>
        <w:t>日</w:t>
      </w:r>
      <w:r w:rsidRPr="00953281">
        <w:rPr>
          <w:szCs w:val="18"/>
          <w:lang w:val="en-CA"/>
        </w:rPr>
        <w:t>)</w:t>
      </w:r>
      <w:r w:rsidRPr="00953281">
        <w:rPr>
          <w:szCs w:val="18"/>
          <w:lang w:val="en-CA"/>
        </w:rPr>
        <w:t>，</w:t>
      </w:r>
      <w:r w:rsidRPr="00953281">
        <w:rPr>
          <w:szCs w:val="18"/>
          <w:lang w:val="en-CA"/>
        </w:rPr>
        <w:t>(</w:t>
      </w:r>
      <w:r w:rsidRPr="00953281">
        <w:rPr>
          <w:szCs w:val="18"/>
          <w:lang w:val="en-CA"/>
        </w:rPr>
        <w:t>《意大利与阿根廷双边投资条约》</w:t>
      </w:r>
      <w:r w:rsidRPr="00953281">
        <w:rPr>
          <w:szCs w:val="18"/>
          <w:lang w:val="en-CA"/>
        </w:rPr>
        <w:t>)</w:t>
      </w:r>
      <w:r w:rsidRPr="00953281">
        <w:rPr>
          <w:szCs w:val="18"/>
          <w:lang w:val="en-CA"/>
        </w:rPr>
        <w:t>。仲裁员乔治</w:t>
      </w:r>
      <w:r w:rsidRPr="00953281">
        <w:rPr>
          <w:rFonts w:hint="eastAsia"/>
          <w:szCs w:val="18"/>
          <w:lang w:val="en-CA"/>
        </w:rPr>
        <w:t>·</w:t>
      </w:r>
      <w:r w:rsidRPr="00953281">
        <w:rPr>
          <w:szCs w:val="18"/>
          <w:lang w:val="en-CA"/>
        </w:rPr>
        <w:t>阿比－萨阿卜在不同意见中表达了相反的看法，第</w:t>
      </w:r>
      <w:r w:rsidRPr="00953281">
        <w:rPr>
          <w:szCs w:val="18"/>
          <w:lang w:val="en-CA"/>
        </w:rPr>
        <w:t>31-33</w:t>
      </w:r>
      <w:r w:rsidRPr="00953281">
        <w:rPr>
          <w:szCs w:val="18"/>
          <w:lang w:val="en-CA"/>
        </w:rPr>
        <w:t>段。</w:t>
      </w:r>
    </w:p>
  </w:footnote>
  <w:footnote w:id="55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szCs w:val="18"/>
          <w:lang w:val="en-CA"/>
        </w:rPr>
        <w:t>此外，</w:t>
      </w:r>
      <w:r w:rsidRPr="00953281">
        <w:rPr>
          <w:rFonts w:eastAsia="楷体"/>
          <w:szCs w:val="18"/>
          <w:lang w:val="en-CA"/>
        </w:rPr>
        <w:t>ICS</w:t>
      </w:r>
      <w:r w:rsidRPr="00953281">
        <w:rPr>
          <w:rFonts w:eastAsia="楷体"/>
          <w:szCs w:val="18"/>
          <w:lang w:val="en-CA"/>
        </w:rPr>
        <w:t>案</w:t>
      </w:r>
      <w:r w:rsidRPr="00953281">
        <w:rPr>
          <w:szCs w:val="18"/>
          <w:lang w:val="en-CA"/>
        </w:rPr>
        <w:t>法庭称，法庭未收到任何证据可使之得出阿根廷</w:t>
      </w:r>
      <w:r w:rsidRPr="00953281">
        <w:rPr>
          <w:rFonts w:hint="eastAsia"/>
          <w:szCs w:val="18"/>
          <w:lang w:val="en-CA"/>
        </w:rPr>
        <w:t>国内</w:t>
      </w:r>
      <w:r w:rsidRPr="00953281">
        <w:rPr>
          <w:szCs w:val="18"/>
          <w:lang w:val="en-CA"/>
        </w:rPr>
        <w:t>法院无力处理这一事项</w:t>
      </w:r>
      <w:r w:rsidRPr="00953281">
        <w:rPr>
          <w:rFonts w:hint="eastAsia"/>
          <w:szCs w:val="18"/>
          <w:lang w:val="en-CA"/>
        </w:rPr>
        <w:t>的结论</w:t>
      </w:r>
      <w:r w:rsidRPr="00953281">
        <w:rPr>
          <w:szCs w:val="18"/>
          <w:lang w:val="en-CA"/>
        </w:rPr>
        <w:t>。</w:t>
      </w:r>
      <w:r w:rsidRPr="00953281">
        <w:rPr>
          <w:rFonts w:eastAsia="楷体"/>
          <w:szCs w:val="18"/>
          <w:lang w:val="en-CA"/>
        </w:rPr>
        <w:t>ICS</w:t>
      </w:r>
      <w:r w:rsidRPr="00953281">
        <w:rPr>
          <w:rFonts w:eastAsia="楷体"/>
          <w:szCs w:val="18"/>
          <w:lang w:val="en-CA"/>
        </w:rPr>
        <w:t>诉阿根廷案，</w:t>
      </w:r>
      <w:r w:rsidRPr="00953281">
        <w:rPr>
          <w:szCs w:val="18"/>
          <w:lang w:val="en-CA"/>
        </w:rPr>
        <w:t>第</w:t>
      </w:r>
      <w:r w:rsidRPr="00953281">
        <w:rPr>
          <w:szCs w:val="18"/>
          <w:lang w:val="en-CA"/>
        </w:rPr>
        <w:t>267-269</w:t>
      </w:r>
      <w:r w:rsidRPr="00953281">
        <w:rPr>
          <w:szCs w:val="18"/>
          <w:lang w:val="en-CA"/>
        </w:rPr>
        <w:t>段。另见</w:t>
      </w:r>
      <w:r w:rsidRPr="00953281">
        <w:rPr>
          <w:rFonts w:eastAsia="楷体"/>
          <w:szCs w:val="18"/>
          <w:lang w:val="en-CA"/>
        </w:rPr>
        <w:t>豪赫蒂夫案，</w:t>
      </w:r>
      <w:r w:rsidRPr="00953281">
        <w:rPr>
          <w:szCs w:val="18"/>
          <w:lang w:val="en-CA"/>
        </w:rPr>
        <w:t>仲裁员</w:t>
      </w:r>
      <w:r w:rsidRPr="00953281">
        <w:rPr>
          <w:szCs w:val="18"/>
          <w:lang w:val="en-CA"/>
        </w:rPr>
        <w:t>J.</w:t>
      </w:r>
      <w:r w:rsidRPr="00953281">
        <w:rPr>
          <w:szCs w:val="18"/>
          <w:lang w:val="en-CA"/>
        </w:rPr>
        <w:t>克里斯托弗</w:t>
      </w:r>
      <w:r w:rsidRPr="00953281">
        <w:rPr>
          <w:rFonts w:hint="eastAsia"/>
          <w:szCs w:val="18"/>
          <w:lang w:val="en-CA"/>
        </w:rPr>
        <w:t>·</w:t>
      </w:r>
      <w:r w:rsidRPr="00953281">
        <w:rPr>
          <w:szCs w:val="18"/>
          <w:lang w:val="en-CA"/>
        </w:rPr>
        <w:t>托马斯的</w:t>
      </w:r>
      <w:r w:rsidRPr="00953281">
        <w:rPr>
          <w:rFonts w:hint="eastAsia"/>
          <w:szCs w:val="18"/>
          <w:lang w:val="en-CA"/>
        </w:rPr>
        <w:t>反对</w:t>
      </w:r>
      <w:r w:rsidRPr="00953281">
        <w:rPr>
          <w:szCs w:val="18"/>
          <w:lang w:val="en-CA"/>
        </w:rPr>
        <w:t>意见。</w:t>
      </w:r>
    </w:p>
  </w:footnote>
  <w:footnote w:id="55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 xml:space="preserve">Garanti Kos LLP </w:t>
      </w:r>
      <w:r w:rsidRPr="00953281">
        <w:rPr>
          <w:rFonts w:eastAsia="楷体"/>
          <w:szCs w:val="18"/>
          <w:lang w:val="en-CA"/>
        </w:rPr>
        <w:t>诉土库曼斯坦案，</w:t>
      </w:r>
      <w:r w:rsidRPr="00953281">
        <w:rPr>
          <w:szCs w:val="18"/>
          <w:lang w:val="en-CA"/>
        </w:rPr>
        <w:t>关于反对管辖权的裁决，</w:t>
      </w:r>
      <w:r w:rsidRPr="00953281">
        <w:rPr>
          <w:szCs w:val="18"/>
          <w:lang w:val="en-CA"/>
        </w:rPr>
        <w:t>2013</w:t>
      </w:r>
      <w:r w:rsidRPr="00953281">
        <w:rPr>
          <w:szCs w:val="18"/>
          <w:lang w:val="en-CA"/>
        </w:rPr>
        <w:t>年</w:t>
      </w:r>
      <w:r w:rsidRPr="00953281">
        <w:rPr>
          <w:szCs w:val="18"/>
          <w:lang w:val="en-CA"/>
        </w:rPr>
        <w:t>7</w:t>
      </w:r>
      <w:r w:rsidRPr="00953281">
        <w:rPr>
          <w:szCs w:val="18"/>
          <w:lang w:val="en-CA"/>
        </w:rPr>
        <w:t>月</w:t>
      </w:r>
      <w:r w:rsidRPr="00953281">
        <w:rPr>
          <w:szCs w:val="18"/>
          <w:lang w:val="en-CA"/>
        </w:rPr>
        <w:t>3</w:t>
      </w:r>
      <w:r w:rsidRPr="00953281">
        <w:rPr>
          <w:szCs w:val="18"/>
          <w:lang w:val="en-CA"/>
        </w:rPr>
        <w:t>日，国际投资争端解决中心第</w:t>
      </w:r>
      <w:r w:rsidRPr="00953281">
        <w:rPr>
          <w:szCs w:val="18"/>
          <w:lang w:val="en-CA"/>
        </w:rPr>
        <w:t>ARB/11/20</w:t>
      </w:r>
      <w:r w:rsidRPr="00953281">
        <w:rPr>
          <w:szCs w:val="18"/>
          <w:lang w:val="en-CA"/>
        </w:rPr>
        <w:t>号案件，多数票通过的裁决。仲裁员劳伦斯</w:t>
      </w:r>
      <w:r w:rsidRPr="00953281">
        <w:rPr>
          <w:rFonts w:hint="eastAsia"/>
          <w:szCs w:val="18"/>
          <w:lang w:val="en-CA"/>
        </w:rPr>
        <w:t>·</w:t>
      </w:r>
      <w:r w:rsidRPr="00953281">
        <w:rPr>
          <w:szCs w:val="18"/>
          <w:lang w:val="en-CA"/>
        </w:rPr>
        <w:t>布瓦松</w:t>
      </w:r>
      <w:r w:rsidRPr="00953281">
        <w:rPr>
          <w:rFonts w:hint="eastAsia"/>
          <w:szCs w:val="18"/>
          <w:lang w:val="en-CA"/>
        </w:rPr>
        <w:t>·</w:t>
      </w:r>
      <w:r w:rsidRPr="00953281">
        <w:rPr>
          <w:szCs w:val="18"/>
          <w:lang w:val="en-CA"/>
        </w:rPr>
        <w:t>德沙祖尔内另附一份</w:t>
      </w:r>
      <w:r w:rsidRPr="00953281">
        <w:rPr>
          <w:rFonts w:hint="eastAsia"/>
          <w:szCs w:val="18"/>
          <w:lang w:val="en-CA"/>
        </w:rPr>
        <w:t>反对</w:t>
      </w:r>
      <w:r w:rsidRPr="00953281">
        <w:rPr>
          <w:szCs w:val="18"/>
          <w:lang w:val="en-CA"/>
        </w:rPr>
        <w:t>意见。</w:t>
      </w:r>
    </w:p>
  </w:footnote>
  <w:footnote w:id="55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t>Renta</w:t>
      </w:r>
      <w:r w:rsidRPr="00953281">
        <w:rPr>
          <w:rFonts w:eastAsia="楷体"/>
          <w:szCs w:val="18"/>
        </w:rPr>
        <w:t>案</w:t>
      </w:r>
      <w:r w:rsidRPr="00953281">
        <w:rPr>
          <w:szCs w:val="18"/>
        </w:rPr>
        <w:t>，第</w:t>
      </w:r>
      <w:r w:rsidRPr="00953281">
        <w:rPr>
          <w:szCs w:val="18"/>
        </w:rPr>
        <w:t>105-119</w:t>
      </w:r>
      <w:r w:rsidRPr="00953281">
        <w:rPr>
          <w:szCs w:val="18"/>
        </w:rPr>
        <w:t>段。</w:t>
      </w:r>
    </w:p>
  </w:footnote>
  <w:footnote w:id="55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奥地利航空案</w:t>
      </w:r>
      <w:r w:rsidRPr="00953281">
        <w:rPr>
          <w:szCs w:val="18"/>
        </w:rPr>
        <w:t>，第</w:t>
      </w:r>
      <w:r w:rsidRPr="00953281">
        <w:rPr>
          <w:szCs w:val="18"/>
        </w:rPr>
        <w:t>138-139</w:t>
      </w:r>
      <w:r w:rsidRPr="00953281">
        <w:rPr>
          <w:szCs w:val="18"/>
        </w:rPr>
        <w:t>段。</w:t>
      </w:r>
    </w:p>
  </w:footnote>
  <w:footnote w:id="555">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t xml:space="preserve">MTD Equity Sdn. Bhd </w:t>
      </w:r>
      <w:r w:rsidRPr="00953281">
        <w:rPr>
          <w:rFonts w:eastAsia="楷体"/>
          <w:szCs w:val="18"/>
          <w:lang w:val="en-CA"/>
        </w:rPr>
        <w:t>和</w:t>
      </w:r>
      <w:r w:rsidRPr="00953281">
        <w:rPr>
          <w:rFonts w:eastAsia="楷体"/>
          <w:szCs w:val="18"/>
          <w:lang w:val="en-CA"/>
        </w:rPr>
        <w:t xml:space="preserve"> </w:t>
      </w:r>
      <w:r w:rsidRPr="00953281">
        <w:rPr>
          <w:szCs w:val="18"/>
          <w:lang w:val="en-CA"/>
        </w:rPr>
        <w:t>MTD Chile S.A.</w:t>
      </w:r>
      <w:r w:rsidRPr="00953281">
        <w:rPr>
          <w:rFonts w:eastAsia="楷体"/>
          <w:szCs w:val="18"/>
          <w:lang w:val="en-CA"/>
        </w:rPr>
        <w:t>诉智利共和国案</w:t>
      </w:r>
      <w:r w:rsidRPr="00953281">
        <w:rPr>
          <w:szCs w:val="18"/>
          <w:lang w:val="en-CA"/>
        </w:rPr>
        <w:t>，裁决，国际投资争端解决中心第</w:t>
      </w:r>
      <w:r w:rsidRPr="00953281">
        <w:rPr>
          <w:szCs w:val="18"/>
          <w:lang w:val="en-CA"/>
        </w:rPr>
        <w:t>ARB/01/7</w:t>
      </w:r>
      <w:r w:rsidRPr="00953281">
        <w:rPr>
          <w:szCs w:val="18"/>
          <w:lang w:val="en-CA"/>
        </w:rPr>
        <w:t>号案件，</w:t>
      </w:r>
      <w:r w:rsidRPr="00953281">
        <w:rPr>
          <w:szCs w:val="18"/>
          <w:lang w:val="en-CA"/>
        </w:rPr>
        <w:t>2004</w:t>
      </w:r>
      <w:r w:rsidRPr="00953281">
        <w:rPr>
          <w:szCs w:val="18"/>
          <w:lang w:val="en-CA"/>
        </w:rPr>
        <w:t>年</w:t>
      </w:r>
      <w:r w:rsidRPr="00953281">
        <w:rPr>
          <w:szCs w:val="18"/>
          <w:lang w:val="en-CA"/>
        </w:rPr>
        <w:t>5</w:t>
      </w:r>
      <w:r w:rsidRPr="00953281">
        <w:rPr>
          <w:szCs w:val="18"/>
          <w:lang w:val="en-CA"/>
        </w:rPr>
        <w:t>月</w:t>
      </w:r>
      <w:r w:rsidRPr="00953281">
        <w:rPr>
          <w:szCs w:val="18"/>
          <w:lang w:val="en-CA"/>
        </w:rPr>
        <w:t>25</w:t>
      </w:r>
      <w:r w:rsidRPr="00953281">
        <w:rPr>
          <w:szCs w:val="18"/>
          <w:lang w:val="en-CA"/>
        </w:rPr>
        <w:t>日</w:t>
      </w:r>
      <w:r w:rsidRPr="00953281">
        <w:rPr>
          <w:rFonts w:hint="eastAsia"/>
          <w:szCs w:val="18"/>
          <w:lang w:val="en-CA"/>
        </w:rPr>
        <w:t>，可查阅</w:t>
      </w:r>
      <w:r w:rsidRPr="00953281">
        <w:rPr>
          <w:szCs w:val="18"/>
        </w:rPr>
        <w:t>&lt;http:/www.italaw.com/documents/MTD-Award_</w:t>
      </w:r>
      <w:r>
        <w:rPr>
          <w:rFonts w:hint="eastAsia"/>
          <w:szCs w:val="18"/>
        </w:rPr>
        <w:t xml:space="preserve"> </w:t>
      </w:r>
      <w:r w:rsidRPr="00953281">
        <w:rPr>
          <w:szCs w:val="18"/>
        </w:rPr>
        <w:t>000.pdf&gt;</w:t>
      </w:r>
      <w:r w:rsidRPr="00953281">
        <w:rPr>
          <w:rFonts w:hint="eastAsia"/>
          <w:szCs w:val="18"/>
        </w:rPr>
        <w:t>。</w:t>
      </w:r>
    </w:p>
  </w:footnote>
  <w:footnote w:id="556">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 xml:space="preserve">Rumeli Telekom A.S. </w:t>
      </w:r>
      <w:r w:rsidRPr="00953281">
        <w:rPr>
          <w:rFonts w:eastAsia="楷体"/>
          <w:szCs w:val="18"/>
          <w:lang w:val="en-CA"/>
        </w:rPr>
        <w:t>和</w:t>
      </w:r>
      <w:r w:rsidRPr="00953281">
        <w:rPr>
          <w:rFonts w:eastAsia="楷体"/>
          <w:szCs w:val="18"/>
          <w:lang w:val="en-CA"/>
        </w:rPr>
        <w:t xml:space="preserve"> Telsim Mobil Telekomunikasyon Hizmetleri A.S. </w:t>
      </w:r>
      <w:r w:rsidRPr="00953281">
        <w:rPr>
          <w:rFonts w:eastAsia="楷体"/>
          <w:szCs w:val="18"/>
          <w:lang w:val="en-CA"/>
        </w:rPr>
        <w:t>诉哈萨克斯坦案，</w:t>
      </w:r>
      <w:r w:rsidRPr="00953281">
        <w:rPr>
          <w:szCs w:val="18"/>
          <w:lang w:val="en-CA"/>
        </w:rPr>
        <w:t>裁决，</w:t>
      </w:r>
      <w:r w:rsidRPr="00953281">
        <w:rPr>
          <w:rStyle w:val="caps"/>
          <w:szCs w:val="18"/>
          <w:lang w:val="en-CA"/>
        </w:rPr>
        <w:t>国际投资争端解决中心第</w:t>
      </w:r>
      <w:r w:rsidRPr="00953281">
        <w:rPr>
          <w:rStyle w:val="caps"/>
          <w:szCs w:val="18"/>
          <w:lang w:val="en-CA"/>
        </w:rPr>
        <w:t>ARB</w:t>
      </w:r>
      <w:r w:rsidRPr="00953281">
        <w:rPr>
          <w:szCs w:val="18"/>
          <w:lang w:val="en-CA"/>
        </w:rPr>
        <w:t>/05/16</w:t>
      </w:r>
      <w:r w:rsidRPr="00953281">
        <w:rPr>
          <w:szCs w:val="18"/>
          <w:lang w:val="en-CA"/>
        </w:rPr>
        <w:t>号案件</w:t>
      </w:r>
      <w:r w:rsidRPr="00953281">
        <w:rPr>
          <w:szCs w:val="18"/>
          <w:lang w:val="en-CA"/>
        </w:rPr>
        <w:t>(2008</w:t>
      </w:r>
      <w:r w:rsidRPr="00953281">
        <w:rPr>
          <w:szCs w:val="18"/>
          <w:lang w:val="en-CA"/>
        </w:rPr>
        <w:t>年</w:t>
      </w:r>
      <w:r w:rsidRPr="00953281">
        <w:rPr>
          <w:szCs w:val="18"/>
          <w:lang w:val="en-CA"/>
        </w:rPr>
        <w:t>7</w:t>
      </w:r>
      <w:r w:rsidRPr="00953281">
        <w:rPr>
          <w:szCs w:val="18"/>
          <w:lang w:val="en-CA"/>
        </w:rPr>
        <w:t>月</w:t>
      </w:r>
      <w:r w:rsidRPr="00953281">
        <w:rPr>
          <w:szCs w:val="18"/>
          <w:lang w:val="en-CA"/>
        </w:rPr>
        <w:t>29</w:t>
      </w:r>
      <w:r w:rsidRPr="00953281">
        <w:rPr>
          <w:szCs w:val="18"/>
          <w:lang w:val="en-CA"/>
        </w:rPr>
        <w:t>日</w:t>
      </w:r>
      <w:r w:rsidRPr="00953281">
        <w:rPr>
          <w:szCs w:val="18"/>
          <w:lang w:val="en-CA"/>
        </w:rPr>
        <w:t>)</w:t>
      </w:r>
      <w:r w:rsidRPr="00953281">
        <w:rPr>
          <w:szCs w:val="18"/>
          <w:lang w:val="en-CA"/>
        </w:rPr>
        <w:t>，第</w:t>
      </w:r>
      <w:r w:rsidRPr="00953281">
        <w:rPr>
          <w:szCs w:val="18"/>
          <w:lang w:val="en-CA"/>
        </w:rPr>
        <w:t>581-587</w:t>
      </w:r>
      <w:r w:rsidRPr="00953281">
        <w:rPr>
          <w:szCs w:val="18"/>
          <w:lang w:val="en-CA"/>
        </w:rPr>
        <w:t>段，第</w:t>
      </w:r>
      <w:r w:rsidRPr="00953281">
        <w:rPr>
          <w:szCs w:val="18"/>
          <w:lang w:val="en-CA"/>
        </w:rPr>
        <w:t>591-605</w:t>
      </w:r>
      <w:r w:rsidRPr="00953281">
        <w:rPr>
          <w:szCs w:val="18"/>
          <w:lang w:val="en-CA"/>
        </w:rPr>
        <w:t>段</w:t>
      </w:r>
      <w:r w:rsidRPr="00953281">
        <w:rPr>
          <w:szCs w:val="18"/>
          <w:lang w:val="en-CA"/>
        </w:rPr>
        <w:t>(</w:t>
      </w:r>
      <w:r w:rsidRPr="00953281">
        <w:rPr>
          <w:szCs w:val="18"/>
          <w:lang w:val="en-CA"/>
        </w:rPr>
        <w:t>《土耳其与哈萨克斯坦双边投资条约》</w:t>
      </w:r>
      <w:r w:rsidRPr="00953281">
        <w:rPr>
          <w:szCs w:val="18"/>
          <w:lang w:val="en-CA"/>
        </w:rPr>
        <w:t>)</w:t>
      </w:r>
      <w:r w:rsidRPr="00953281">
        <w:rPr>
          <w:rFonts w:hint="eastAsia"/>
          <w:szCs w:val="18"/>
          <w:lang w:val="en-CA"/>
        </w:rPr>
        <w:t>，可查阅</w:t>
      </w:r>
      <w:r w:rsidRPr="00953281">
        <w:rPr>
          <w:szCs w:val="18"/>
          <w:lang w:val="en-CA"/>
        </w:rPr>
        <w:t xml:space="preserve">&lt; </w:t>
      </w:r>
      <w:r w:rsidRPr="00953281">
        <w:rPr>
          <w:szCs w:val="18"/>
        </w:rPr>
        <w:t>http://www.italaw.com/sites/default/files/case-docume</w:t>
      </w:r>
      <w:r>
        <w:rPr>
          <w:rFonts w:hint="eastAsia"/>
          <w:szCs w:val="18"/>
        </w:rPr>
        <w:t xml:space="preserve"> </w:t>
      </w:r>
      <w:r w:rsidRPr="00953281">
        <w:rPr>
          <w:szCs w:val="18"/>
        </w:rPr>
        <w:t>nts/ita0728.pdf&gt;</w:t>
      </w:r>
      <w:r w:rsidRPr="00953281">
        <w:rPr>
          <w:szCs w:val="18"/>
          <w:lang w:val="en-CA"/>
        </w:rPr>
        <w:t>。</w:t>
      </w:r>
    </w:p>
  </w:footnote>
  <w:footnote w:id="557">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 xml:space="preserve">Bayindir Insaat Turizm Ticaret Ve Sanayi A.S. </w:t>
      </w:r>
      <w:r w:rsidRPr="00953281">
        <w:rPr>
          <w:rFonts w:eastAsia="楷体"/>
          <w:szCs w:val="18"/>
          <w:lang w:val="en-CA"/>
        </w:rPr>
        <w:t>诉巴基斯坦伊斯兰共和国案，</w:t>
      </w:r>
      <w:r w:rsidRPr="00953281">
        <w:rPr>
          <w:szCs w:val="18"/>
          <w:lang w:val="en-CA"/>
        </w:rPr>
        <w:t>裁决</w:t>
      </w:r>
      <w:r w:rsidRPr="00953281">
        <w:rPr>
          <w:rFonts w:eastAsia="楷体"/>
          <w:szCs w:val="18"/>
          <w:lang w:val="en-CA"/>
        </w:rPr>
        <w:t>，</w:t>
      </w:r>
      <w:r w:rsidRPr="00953281">
        <w:rPr>
          <w:szCs w:val="18"/>
          <w:lang w:val="en-CA"/>
        </w:rPr>
        <w:t>国际投资争端解决中心第</w:t>
      </w:r>
      <w:r w:rsidRPr="00953281">
        <w:rPr>
          <w:szCs w:val="18"/>
        </w:rPr>
        <w:t>ARB/03/29</w:t>
      </w:r>
      <w:r w:rsidRPr="00953281">
        <w:rPr>
          <w:szCs w:val="18"/>
        </w:rPr>
        <w:t>号案件</w:t>
      </w:r>
      <w:r w:rsidRPr="00953281">
        <w:rPr>
          <w:szCs w:val="18"/>
        </w:rPr>
        <w:t>(2009</w:t>
      </w:r>
      <w:r w:rsidRPr="00953281">
        <w:rPr>
          <w:szCs w:val="18"/>
        </w:rPr>
        <w:t>年</w:t>
      </w:r>
      <w:r w:rsidRPr="00953281">
        <w:rPr>
          <w:szCs w:val="18"/>
        </w:rPr>
        <w:t>8</w:t>
      </w:r>
      <w:r w:rsidRPr="00953281">
        <w:rPr>
          <w:szCs w:val="18"/>
        </w:rPr>
        <w:t>月</w:t>
      </w:r>
      <w:r w:rsidRPr="00953281">
        <w:rPr>
          <w:szCs w:val="18"/>
        </w:rPr>
        <w:t>27</w:t>
      </w:r>
      <w:r w:rsidRPr="00953281">
        <w:rPr>
          <w:szCs w:val="18"/>
        </w:rPr>
        <w:t>日</w:t>
      </w:r>
      <w:r w:rsidRPr="00953281">
        <w:rPr>
          <w:szCs w:val="18"/>
        </w:rPr>
        <w:t>)</w:t>
      </w:r>
      <w:r w:rsidRPr="00953281">
        <w:rPr>
          <w:szCs w:val="18"/>
        </w:rPr>
        <w:t>，</w:t>
      </w:r>
      <w:r w:rsidRPr="00953281">
        <w:rPr>
          <w:rFonts w:eastAsia="楷体"/>
          <w:szCs w:val="18"/>
          <w:lang w:val="es-ES"/>
        </w:rPr>
        <w:t>第</w:t>
      </w:r>
      <w:r w:rsidRPr="00953281">
        <w:rPr>
          <w:szCs w:val="18"/>
        </w:rPr>
        <w:t>153</w:t>
      </w:r>
      <w:r w:rsidRPr="00953281">
        <w:rPr>
          <w:rFonts w:eastAsia="楷体"/>
          <w:szCs w:val="18"/>
          <w:lang w:val="es-ES"/>
        </w:rPr>
        <w:t>段</w:t>
      </w:r>
      <w:r w:rsidRPr="00953281">
        <w:rPr>
          <w:szCs w:val="18"/>
        </w:rPr>
        <w:t>(</w:t>
      </w:r>
      <w:r w:rsidRPr="00953281">
        <w:rPr>
          <w:szCs w:val="18"/>
        </w:rPr>
        <w:t>《土耳其与巴基斯坦双边投资条约》</w:t>
      </w:r>
      <w:r w:rsidRPr="00953281">
        <w:rPr>
          <w:szCs w:val="18"/>
        </w:rPr>
        <w:t>)</w:t>
      </w:r>
      <w:r w:rsidRPr="00953281">
        <w:rPr>
          <w:rFonts w:hint="eastAsia"/>
          <w:szCs w:val="18"/>
        </w:rPr>
        <w:t>，可查阅</w:t>
      </w:r>
      <w:r w:rsidRPr="00953281">
        <w:rPr>
          <w:szCs w:val="18"/>
        </w:rPr>
        <w:t>&lt;http://www.italaw.com/documents/Bayandiraward.pdf&gt;</w:t>
      </w:r>
      <w:r w:rsidRPr="00953281">
        <w:rPr>
          <w:szCs w:val="18"/>
        </w:rPr>
        <w:t>。</w:t>
      </w:r>
    </w:p>
  </w:footnote>
  <w:footnote w:id="558">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rPr>
      </w:pPr>
      <w:r w:rsidRPr="00953281">
        <w:rPr>
          <w:szCs w:val="18"/>
        </w:rPr>
        <w:tab/>
      </w:r>
      <w:r w:rsidRPr="00953281">
        <w:rPr>
          <w:rStyle w:val="a3"/>
          <w:sz w:val="21"/>
          <w:szCs w:val="18"/>
        </w:rPr>
        <w:footnoteRef/>
      </w:r>
      <w:r w:rsidRPr="00953281">
        <w:rPr>
          <w:szCs w:val="18"/>
        </w:rPr>
        <w:tab/>
      </w:r>
      <w:r w:rsidRPr="00953281">
        <w:rPr>
          <w:rFonts w:eastAsia="楷体"/>
          <w:szCs w:val="18"/>
        </w:rPr>
        <w:t>中欧传媒企业案，</w:t>
      </w:r>
      <w:r w:rsidRPr="00953281">
        <w:rPr>
          <w:szCs w:val="18"/>
          <w:lang w:val="es-ES"/>
        </w:rPr>
        <w:t>第</w:t>
      </w:r>
      <w:r w:rsidRPr="00953281">
        <w:rPr>
          <w:szCs w:val="18"/>
        </w:rPr>
        <w:t>500</w:t>
      </w:r>
      <w:r w:rsidRPr="00953281">
        <w:rPr>
          <w:szCs w:val="18"/>
          <w:lang w:val="es-ES"/>
        </w:rPr>
        <w:t>段</w:t>
      </w:r>
      <w:r w:rsidRPr="00953281">
        <w:rPr>
          <w:szCs w:val="18"/>
        </w:rPr>
        <w:t>。</w:t>
      </w:r>
    </w:p>
  </w:footnote>
  <w:footnote w:id="559">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rPr>
        <w:tab/>
      </w:r>
      <w:r w:rsidRPr="00953281">
        <w:rPr>
          <w:rStyle w:val="a3"/>
          <w:sz w:val="21"/>
          <w:szCs w:val="18"/>
        </w:rPr>
        <w:footnoteRef/>
      </w:r>
      <w:r w:rsidRPr="00953281">
        <w:rPr>
          <w:szCs w:val="18"/>
        </w:rPr>
        <w:tab/>
      </w:r>
      <w:r w:rsidRPr="00953281">
        <w:rPr>
          <w:rFonts w:eastAsia="楷体"/>
          <w:szCs w:val="18"/>
        </w:rPr>
        <w:t>英波基洛案</w:t>
      </w:r>
      <w:r w:rsidRPr="00953281">
        <w:rPr>
          <w:szCs w:val="18"/>
        </w:rPr>
        <w:t>，</w:t>
      </w:r>
      <w:r w:rsidRPr="00953281">
        <w:rPr>
          <w:szCs w:val="18"/>
          <w:lang w:val="es-ES"/>
        </w:rPr>
        <w:t>第</w:t>
      </w:r>
      <w:r w:rsidRPr="00953281">
        <w:rPr>
          <w:szCs w:val="18"/>
          <w:lang w:val="en-CA"/>
        </w:rPr>
        <w:t>108</w:t>
      </w:r>
      <w:r w:rsidRPr="00953281">
        <w:rPr>
          <w:szCs w:val="18"/>
          <w:lang w:val="es-ES"/>
        </w:rPr>
        <w:t>段</w:t>
      </w:r>
      <w:r w:rsidRPr="00953281">
        <w:rPr>
          <w:szCs w:val="18"/>
          <w:lang w:val="en-CA"/>
        </w:rPr>
        <w:t>。</w:t>
      </w:r>
    </w:p>
  </w:footnote>
  <w:footnote w:id="560">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A3609D">
        <w:rPr>
          <w:rFonts w:ascii="楷体_GB2312" w:eastAsia="楷体_GB2312"/>
          <w:szCs w:val="18"/>
          <w:lang w:val="en-CA"/>
        </w:rPr>
        <w:t>同上</w:t>
      </w:r>
      <w:r w:rsidRPr="00953281">
        <w:rPr>
          <w:szCs w:val="18"/>
          <w:lang w:val="en-CA"/>
        </w:rPr>
        <w:t>；另见豪赫蒂夫案。</w:t>
      </w:r>
    </w:p>
  </w:footnote>
  <w:footnote w:id="561">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en-CA"/>
        </w:rPr>
      </w:pPr>
      <w:r w:rsidRPr="00953281">
        <w:rPr>
          <w:szCs w:val="18"/>
          <w:lang w:val="en-CA"/>
        </w:rPr>
        <w:tab/>
      </w:r>
      <w:r w:rsidRPr="00953281">
        <w:rPr>
          <w:rStyle w:val="a3"/>
          <w:sz w:val="21"/>
          <w:szCs w:val="18"/>
        </w:rPr>
        <w:footnoteRef/>
      </w:r>
      <w:r w:rsidRPr="00953281">
        <w:rPr>
          <w:szCs w:val="18"/>
          <w:lang w:val="en-CA"/>
        </w:rPr>
        <w:tab/>
      </w:r>
      <w:r w:rsidRPr="00953281">
        <w:rPr>
          <w:rFonts w:eastAsia="楷体"/>
          <w:szCs w:val="18"/>
          <w:lang w:val="en-CA"/>
        </w:rPr>
        <w:t>ICS</w:t>
      </w:r>
      <w:r w:rsidRPr="00953281">
        <w:rPr>
          <w:rFonts w:eastAsia="楷体"/>
          <w:szCs w:val="18"/>
          <w:lang w:val="en-CA"/>
        </w:rPr>
        <w:t>诉阿根廷案</w:t>
      </w:r>
      <w:r w:rsidRPr="00953281">
        <w:rPr>
          <w:szCs w:val="18"/>
          <w:lang w:val="en-CA"/>
        </w:rPr>
        <w:t>，第</w:t>
      </w:r>
      <w:r w:rsidRPr="00953281">
        <w:rPr>
          <w:szCs w:val="18"/>
          <w:lang w:val="en-CA"/>
        </w:rPr>
        <w:t>318</w:t>
      </w:r>
      <w:r w:rsidRPr="00953281">
        <w:rPr>
          <w:szCs w:val="18"/>
          <w:lang w:val="es-ES"/>
        </w:rPr>
        <w:t>-</w:t>
      </w:r>
      <w:r w:rsidRPr="00953281">
        <w:rPr>
          <w:szCs w:val="18"/>
          <w:lang w:val="en-CA"/>
        </w:rPr>
        <w:t>325</w:t>
      </w:r>
      <w:r w:rsidRPr="00953281">
        <w:rPr>
          <w:szCs w:val="18"/>
          <w:lang w:val="es-ES"/>
        </w:rPr>
        <w:t>段。</w:t>
      </w:r>
    </w:p>
  </w:footnote>
  <w:footnote w:id="562">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fr-CH"/>
        </w:rPr>
      </w:pPr>
      <w:r w:rsidRPr="00953281">
        <w:rPr>
          <w:szCs w:val="18"/>
          <w:lang w:val="fr-CH"/>
        </w:rPr>
        <w:tab/>
      </w:r>
      <w:r w:rsidRPr="00953281">
        <w:rPr>
          <w:rStyle w:val="a3"/>
          <w:sz w:val="21"/>
          <w:szCs w:val="18"/>
        </w:rPr>
        <w:footnoteRef/>
      </w:r>
      <w:r w:rsidRPr="00953281">
        <w:rPr>
          <w:szCs w:val="18"/>
          <w:lang w:val="fr-CH"/>
        </w:rPr>
        <w:tab/>
        <w:t>Garanti Kos</w:t>
      </w:r>
      <w:r w:rsidRPr="00953281">
        <w:rPr>
          <w:szCs w:val="18"/>
          <w:lang w:val="en-CA"/>
        </w:rPr>
        <w:t>案</w:t>
      </w:r>
      <w:r w:rsidRPr="00953281">
        <w:rPr>
          <w:szCs w:val="18"/>
          <w:lang w:val="fr-CH"/>
        </w:rPr>
        <w:t>，</w:t>
      </w:r>
      <w:r w:rsidRPr="00953281">
        <w:rPr>
          <w:szCs w:val="18"/>
          <w:lang w:val="es-ES"/>
        </w:rPr>
        <w:t>第</w:t>
      </w:r>
      <w:r w:rsidRPr="00953281">
        <w:rPr>
          <w:szCs w:val="18"/>
          <w:lang w:val="fr-CH"/>
        </w:rPr>
        <w:t>92</w:t>
      </w:r>
      <w:r w:rsidRPr="00953281">
        <w:rPr>
          <w:szCs w:val="18"/>
          <w:lang w:val="es-ES"/>
        </w:rPr>
        <w:t>段</w:t>
      </w:r>
      <w:r w:rsidRPr="00953281">
        <w:rPr>
          <w:szCs w:val="18"/>
          <w:lang w:val="en-CA"/>
        </w:rPr>
        <w:t>。</w:t>
      </w:r>
    </w:p>
  </w:footnote>
  <w:footnote w:id="563">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rStyle w:val="a3"/>
          <w:sz w:val="21"/>
          <w:szCs w:val="18"/>
          <w:lang w:val="fr-CH"/>
        </w:rPr>
      </w:pPr>
      <w:r w:rsidRPr="00953281">
        <w:rPr>
          <w:szCs w:val="18"/>
          <w:lang w:val="fr-CH"/>
        </w:rPr>
        <w:tab/>
      </w:r>
      <w:r w:rsidRPr="00953281">
        <w:rPr>
          <w:rStyle w:val="a3"/>
          <w:sz w:val="21"/>
          <w:szCs w:val="18"/>
        </w:rPr>
        <w:footnoteRef/>
      </w:r>
      <w:r w:rsidRPr="00953281">
        <w:rPr>
          <w:szCs w:val="18"/>
          <w:lang w:val="fr-CH"/>
        </w:rPr>
        <w:tab/>
      </w:r>
      <w:r w:rsidRPr="00953281">
        <w:rPr>
          <w:rFonts w:eastAsia="楷体"/>
          <w:szCs w:val="18"/>
          <w:lang w:val="es-ES"/>
        </w:rPr>
        <w:t>同上</w:t>
      </w:r>
      <w:r w:rsidRPr="00953281">
        <w:rPr>
          <w:szCs w:val="18"/>
          <w:lang w:val="fr-CH"/>
        </w:rPr>
        <w:t>，</w:t>
      </w:r>
      <w:r w:rsidRPr="00953281">
        <w:rPr>
          <w:szCs w:val="18"/>
          <w:lang w:val="es-ES"/>
        </w:rPr>
        <w:t>第</w:t>
      </w:r>
      <w:r w:rsidRPr="00953281">
        <w:rPr>
          <w:szCs w:val="18"/>
          <w:lang w:val="fr-CH"/>
        </w:rPr>
        <w:t>94-97</w:t>
      </w:r>
      <w:r w:rsidRPr="00953281">
        <w:rPr>
          <w:szCs w:val="18"/>
          <w:lang w:val="es-ES"/>
        </w:rPr>
        <w:t>段。</w:t>
      </w:r>
    </w:p>
  </w:footnote>
  <w:footnote w:id="564">
    <w:p w:rsidR="00F60D83" w:rsidRPr="00953281" w:rsidRDefault="00F60D83" w:rsidP="00F53060">
      <w:pPr>
        <w:pStyle w:val="a5"/>
        <w:tabs>
          <w:tab w:val="clear" w:pos="418"/>
          <w:tab w:val="right" w:pos="1195"/>
          <w:tab w:val="left" w:pos="1264"/>
          <w:tab w:val="left" w:pos="1695"/>
          <w:tab w:val="left" w:pos="2126"/>
          <w:tab w:val="left" w:pos="2557"/>
        </w:tabs>
        <w:ind w:left="1264" w:right="1264" w:hanging="432"/>
        <w:rPr>
          <w:szCs w:val="18"/>
          <w:lang w:val="fr-CH"/>
        </w:rPr>
      </w:pPr>
      <w:r w:rsidRPr="00953281">
        <w:rPr>
          <w:szCs w:val="18"/>
          <w:lang w:val="fr-CH"/>
        </w:rPr>
        <w:tab/>
      </w:r>
      <w:r w:rsidRPr="00953281">
        <w:rPr>
          <w:rStyle w:val="a3"/>
          <w:sz w:val="21"/>
          <w:szCs w:val="18"/>
        </w:rPr>
        <w:footnoteRef/>
      </w:r>
      <w:r w:rsidRPr="00953281">
        <w:rPr>
          <w:szCs w:val="18"/>
          <w:lang w:val="fr-CH"/>
        </w:rPr>
        <w:tab/>
      </w:r>
      <w:r w:rsidRPr="00953281">
        <w:rPr>
          <w:szCs w:val="18"/>
          <w:lang w:val="en-CA"/>
        </w:rPr>
        <w:t>见第</w:t>
      </w:r>
      <w:r w:rsidRPr="00953281">
        <w:rPr>
          <w:szCs w:val="18"/>
          <w:lang w:val="fr-CH"/>
        </w:rPr>
        <w:t>88-90</w:t>
      </w:r>
      <w:r w:rsidRPr="00953281">
        <w:rPr>
          <w:szCs w:val="18"/>
          <w:lang w:val="en-CA"/>
        </w:rPr>
        <w:t>段。</w:t>
      </w:r>
    </w:p>
  </w:footnote>
  <w:footnote w:id="565">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fr-CH"/>
        </w:rPr>
      </w:pPr>
      <w:r w:rsidRPr="00E66160">
        <w:rPr>
          <w:lang w:val="fr-CH"/>
        </w:rPr>
        <w:tab/>
      </w:r>
      <w:r w:rsidRPr="00E66160">
        <w:rPr>
          <w:rStyle w:val="a3"/>
        </w:rPr>
        <w:footnoteRef/>
      </w:r>
      <w:r w:rsidRPr="00E66160">
        <w:rPr>
          <w:lang w:val="fr-CH"/>
        </w:rPr>
        <w:tab/>
        <w:t>Jeswald W. Salacuse</w:t>
      </w:r>
      <w:r w:rsidRPr="00E66160">
        <w:rPr>
          <w:lang w:val="en-CA"/>
        </w:rPr>
        <w:t>和</w:t>
      </w:r>
      <w:r w:rsidRPr="00E66160">
        <w:rPr>
          <w:lang w:val="fr-CH"/>
        </w:rPr>
        <w:t>Nicholas P. Sullivan,</w:t>
      </w:r>
      <w:r w:rsidRPr="00E66160">
        <w:rPr>
          <w:rFonts w:hint="eastAsia"/>
          <w:lang w:val="fr-CH"/>
        </w:rPr>
        <w:t>“</w:t>
      </w:r>
      <w:r w:rsidRPr="00E66160">
        <w:rPr>
          <w:lang w:val="fr-CH"/>
        </w:rPr>
        <w:t>Do BIT’s Really Work</w:t>
      </w:r>
      <w:r w:rsidRPr="00E66160">
        <w:rPr>
          <w:lang w:val="fr-CH"/>
        </w:rPr>
        <w:t>？</w:t>
      </w:r>
      <w:r w:rsidRPr="00E66160">
        <w:rPr>
          <w:lang w:val="fr-CH"/>
        </w:rPr>
        <w:t>An Evaluation of Bilateral Investment Treaties and Their Grand Bargain</w:t>
      </w:r>
      <w:r w:rsidRPr="00E66160">
        <w:rPr>
          <w:rFonts w:hint="eastAsia"/>
          <w:lang w:val="fr-CH"/>
        </w:rPr>
        <w:t>”</w:t>
      </w:r>
      <w:r w:rsidRPr="00E66160">
        <w:rPr>
          <w:lang w:val="fr-CH"/>
        </w:rPr>
        <w:t>，</w:t>
      </w:r>
      <w:r w:rsidRPr="008C3271">
        <w:rPr>
          <w:i/>
          <w:iCs/>
          <w:lang w:val="fr-CH"/>
        </w:rPr>
        <w:t>Havard Interntional Law Journal</w:t>
      </w:r>
      <w:r w:rsidRPr="00E66160">
        <w:rPr>
          <w:lang w:val="fr-CH"/>
        </w:rPr>
        <w:t xml:space="preserve">, </w:t>
      </w:r>
      <w:r w:rsidRPr="00E66160">
        <w:rPr>
          <w:lang w:val="en-CA"/>
        </w:rPr>
        <w:t>第</w:t>
      </w:r>
      <w:r w:rsidRPr="00E66160">
        <w:rPr>
          <w:lang w:val="fr-CH"/>
        </w:rPr>
        <w:t>46</w:t>
      </w:r>
      <w:r w:rsidRPr="00E66160">
        <w:rPr>
          <w:lang w:val="en-CA"/>
        </w:rPr>
        <w:t>卷</w:t>
      </w:r>
      <w:r w:rsidRPr="00E66160">
        <w:rPr>
          <w:lang w:val="fr-CH"/>
        </w:rPr>
        <w:t>(2005</w:t>
      </w:r>
      <w:r w:rsidRPr="00E66160">
        <w:t>年</w:t>
      </w:r>
      <w:r w:rsidRPr="00E66160">
        <w:rPr>
          <w:lang w:val="fr-CH"/>
        </w:rPr>
        <w:t>)</w:t>
      </w:r>
      <w:r w:rsidRPr="00E66160">
        <w:rPr>
          <w:lang w:val="fr-CH"/>
        </w:rPr>
        <w:t>，</w:t>
      </w:r>
      <w:r w:rsidRPr="00E66160">
        <w:t>第</w:t>
      </w:r>
      <w:r w:rsidRPr="00E66160">
        <w:rPr>
          <w:lang w:val="fr-CH"/>
        </w:rPr>
        <w:t>67</w:t>
      </w:r>
      <w:r w:rsidRPr="00E66160">
        <w:t>页起</w:t>
      </w:r>
      <w:r w:rsidRPr="00E66160">
        <w:rPr>
          <w:lang w:val="fr-CH"/>
        </w:rPr>
        <w:t>，</w:t>
      </w:r>
      <w:r w:rsidRPr="00E66160">
        <w:t>见第</w:t>
      </w:r>
      <w:r w:rsidRPr="00E66160">
        <w:rPr>
          <w:lang w:val="fr-CH"/>
        </w:rPr>
        <w:t>78</w:t>
      </w:r>
      <w:r w:rsidRPr="00E66160">
        <w:t>页。</w:t>
      </w:r>
    </w:p>
  </w:footnote>
  <w:footnote w:id="566">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fr-CH"/>
        </w:rPr>
      </w:pPr>
      <w:r w:rsidRPr="00E66160">
        <w:rPr>
          <w:lang w:val="fr-CH"/>
        </w:rPr>
        <w:tab/>
      </w:r>
      <w:r w:rsidRPr="00E66160">
        <w:rPr>
          <w:rStyle w:val="a3"/>
        </w:rPr>
        <w:footnoteRef/>
      </w:r>
      <w:r w:rsidRPr="00E66160">
        <w:rPr>
          <w:lang w:val="fr-CH"/>
        </w:rPr>
        <w:tab/>
      </w:r>
      <w:r w:rsidRPr="00E66160">
        <w:rPr>
          <w:lang w:val="fr-CH" w:eastAsia="en-GB"/>
        </w:rPr>
        <w:t xml:space="preserve">A/C.6/65/SR.25, </w:t>
      </w:r>
      <w:r w:rsidRPr="00E66160">
        <w:rPr>
          <w:lang w:val="en-CA"/>
        </w:rPr>
        <w:t>第</w:t>
      </w:r>
      <w:r w:rsidRPr="00E66160">
        <w:rPr>
          <w:lang w:val="fr-CH" w:eastAsia="en-GB"/>
        </w:rPr>
        <w:t>75-76</w:t>
      </w:r>
      <w:r w:rsidRPr="00E66160">
        <w:rPr>
          <w:lang w:val="es-ES"/>
        </w:rPr>
        <w:t>段</w:t>
      </w:r>
      <w:r w:rsidRPr="00E66160">
        <w:rPr>
          <w:lang w:val="fr-CH" w:eastAsia="en-GB"/>
        </w:rPr>
        <w:t>(</w:t>
      </w:r>
      <w:r w:rsidRPr="00E66160">
        <w:rPr>
          <w:lang w:val="es-ES"/>
        </w:rPr>
        <w:t>葡萄牙</w:t>
      </w:r>
      <w:r w:rsidRPr="00E66160">
        <w:rPr>
          <w:lang w:val="fr-CH" w:eastAsia="en-GB"/>
        </w:rPr>
        <w:t>)</w:t>
      </w:r>
      <w:r w:rsidRPr="00E66160">
        <w:rPr>
          <w:lang w:val="fr-CH"/>
        </w:rPr>
        <w:t>；</w:t>
      </w:r>
      <w:r w:rsidRPr="00E66160">
        <w:rPr>
          <w:lang w:val="fr-CH" w:eastAsia="en-GB"/>
        </w:rPr>
        <w:t xml:space="preserve">A/C.6/66/SR.27, </w:t>
      </w:r>
      <w:r w:rsidRPr="00E66160">
        <w:rPr>
          <w:lang w:val="es-ES"/>
        </w:rPr>
        <w:t>第</w:t>
      </w:r>
      <w:r w:rsidRPr="00E66160">
        <w:rPr>
          <w:lang w:val="fr-CH" w:eastAsia="en-GB"/>
        </w:rPr>
        <w:t>49</w:t>
      </w:r>
      <w:r w:rsidRPr="00E66160">
        <w:rPr>
          <w:lang w:val="en-CA"/>
        </w:rPr>
        <w:t>段</w:t>
      </w:r>
      <w:r w:rsidRPr="00E66160">
        <w:rPr>
          <w:lang w:val="fr-CH" w:eastAsia="en-GB"/>
        </w:rPr>
        <w:t>(</w:t>
      </w:r>
      <w:r w:rsidRPr="00E66160">
        <w:rPr>
          <w:lang w:val="en-CA"/>
        </w:rPr>
        <w:t>伊朗伊斯兰共和国</w:t>
      </w:r>
      <w:r w:rsidRPr="00E66160">
        <w:rPr>
          <w:lang w:val="fr-CH" w:eastAsia="en-GB"/>
        </w:rPr>
        <w:t>)</w:t>
      </w:r>
      <w:r w:rsidRPr="00E66160">
        <w:rPr>
          <w:lang w:val="fr-CH"/>
        </w:rPr>
        <w:t>；</w:t>
      </w:r>
      <w:r w:rsidRPr="00E66160">
        <w:rPr>
          <w:lang w:val="fr-CH" w:eastAsia="en-GB"/>
        </w:rPr>
        <w:t xml:space="preserve">A/C.6/66/ SR.27, </w:t>
      </w:r>
      <w:r w:rsidRPr="00E66160">
        <w:rPr>
          <w:lang w:val="en-CA"/>
        </w:rPr>
        <w:t>第</w:t>
      </w:r>
      <w:r w:rsidRPr="00E66160">
        <w:rPr>
          <w:lang w:val="fr-CH" w:eastAsia="en-GB"/>
        </w:rPr>
        <w:t>78</w:t>
      </w:r>
      <w:r w:rsidRPr="00E66160">
        <w:rPr>
          <w:lang w:val="en-CA"/>
        </w:rPr>
        <w:t>段</w:t>
      </w:r>
      <w:r w:rsidRPr="00E66160">
        <w:rPr>
          <w:lang w:val="fr-CH" w:eastAsia="en-GB"/>
        </w:rPr>
        <w:t>(</w:t>
      </w:r>
      <w:r w:rsidRPr="00E66160">
        <w:rPr>
          <w:lang w:val="en-CA"/>
        </w:rPr>
        <w:t>葡萄牙</w:t>
      </w:r>
      <w:r w:rsidRPr="00E66160">
        <w:rPr>
          <w:lang w:val="fr-CH" w:eastAsia="en-GB"/>
        </w:rPr>
        <w:t>)</w:t>
      </w:r>
      <w:r w:rsidRPr="00E66160">
        <w:rPr>
          <w:lang w:val="fr-CH"/>
        </w:rPr>
        <w:t>；</w:t>
      </w:r>
      <w:r>
        <w:rPr>
          <w:lang w:val="fr-CH" w:eastAsia="en-GB"/>
        </w:rPr>
        <w:t>A/C.6/66/SR.28</w:t>
      </w:r>
      <w:r w:rsidRPr="00E66160">
        <w:rPr>
          <w:lang w:val="fr-CH" w:eastAsia="en-GB"/>
        </w:rPr>
        <w:t>(</w:t>
      </w:r>
      <w:r w:rsidRPr="00E66160">
        <w:rPr>
          <w:lang w:val="en-CA"/>
        </w:rPr>
        <w:t>联合王国</w:t>
      </w:r>
      <w:r w:rsidRPr="00E66160">
        <w:rPr>
          <w:lang w:val="fr-CH" w:eastAsia="en-GB"/>
        </w:rPr>
        <w:t>)</w:t>
      </w:r>
      <w:r w:rsidRPr="00E66160">
        <w:rPr>
          <w:lang w:val="fr-CH"/>
        </w:rPr>
        <w:t>；</w:t>
      </w:r>
      <w:r w:rsidRPr="00E66160">
        <w:rPr>
          <w:lang w:val="fr-CH" w:eastAsia="en-GB"/>
        </w:rPr>
        <w:t>A/C.6/67/SR.23, (</w:t>
      </w:r>
      <w:r w:rsidRPr="00E66160">
        <w:rPr>
          <w:lang w:val="en-CA"/>
        </w:rPr>
        <w:t>伊朗伊斯兰共和国</w:t>
      </w:r>
      <w:r w:rsidRPr="00E66160">
        <w:rPr>
          <w:lang w:val="fr-CH" w:eastAsia="en-GB"/>
        </w:rPr>
        <w:t>)</w:t>
      </w:r>
      <w:r w:rsidRPr="00E66160">
        <w:rPr>
          <w:lang w:val="en-CA"/>
        </w:rPr>
        <w:t>。</w:t>
      </w:r>
    </w:p>
  </w:footnote>
  <w:footnote w:id="567">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fr-CH"/>
        </w:rPr>
        <w:tab/>
      </w:r>
      <w:r w:rsidRPr="00E66160">
        <w:rPr>
          <w:rStyle w:val="a3"/>
        </w:rPr>
        <w:footnoteRef/>
      </w:r>
      <w:r w:rsidRPr="00E66160">
        <w:rPr>
          <w:lang w:val="en-CA"/>
        </w:rPr>
        <w:tab/>
        <w:t xml:space="preserve">A/C.6/65/SR.26, </w:t>
      </w:r>
      <w:r w:rsidRPr="00E66160">
        <w:rPr>
          <w:lang w:val="en-CA"/>
        </w:rPr>
        <w:t>第</w:t>
      </w:r>
      <w:r w:rsidRPr="00E66160">
        <w:rPr>
          <w:lang w:val="en-CA"/>
        </w:rPr>
        <w:t>17</w:t>
      </w:r>
      <w:r w:rsidRPr="00E66160">
        <w:rPr>
          <w:lang w:val="en-CA"/>
        </w:rPr>
        <w:t>段</w:t>
      </w:r>
      <w:r w:rsidRPr="00E66160">
        <w:rPr>
          <w:lang w:val="en-CA"/>
        </w:rPr>
        <w:t>(</w:t>
      </w:r>
      <w:r w:rsidRPr="00E66160">
        <w:rPr>
          <w:lang w:val="en-CA"/>
        </w:rPr>
        <w:t>美利坚合众国</w:t>
      </w:r>
      <w:r w:rsidRPr="00E66160">
        <w:rPr>
          <w:lang w:val="en-CA"/>
        </w:rPr>
        <w:t>)</w:t>
      </w:r>
      <w:r w:rsidRPr="00E66160">
        <w:rPr>
          <w:lang w:val="en-CA"/>
        </w:rPr>
        <w:t>；</w:t>
      </w:r>
      <w:r w:rsidRPr="00E66160">
        <w:rPr>
          <w:lang w:val="en-CA"/>
        </w:rPr>
        <w:t xml:space="preserve">A/C.6/66/SR.27, </w:t>
      </w:r>
      <w:r w:rsidRPr="00E66160">
        <w:rPr>
          <w:lang w:val="en-CA"/>
        </w:rPr>
        <w:t>第</w:t>
      </w:r>
      <w:r w:rsidRPr="00E66160">
        <w:rPr>
          <w:lang w:val="en-CA"/>
        </w:rPr>
        <w:t>94</w:t>
      </w:r>
      <w:r w:rsidRPr="00E66160">
        <w:rPr>
          <w:lang w:val="en-CA"/>
        </w:rPr>
        <w:t>段</w:t>
      </w:r>
      <w:r w:rsidRPr="00E66160">
        <w:rPr>
          <w:lang w:val="en-CA"/>
        </w:rPr>
        <w:t>(</w:t>
      </w:r>
      <w:r w:rsidRPr="00E66160">
        <w:rPr>
          <w:lang w:val="en-CA"/>
        </w:rPr>
        <w:t>美利坚合众国</w:t>
      </w:r>
      <w:r w:rsidRPr="00E66160">
        <w:rPr>
          <w:lang w:val="en-CA"/>
        </w:rPr>
        <w:t>)</w:t>
      </w:r>
      <w:r w:rsidRPr="00E66160">
        <w:rPr>
          <w:lang w:val="en-CA"/>
        </w:rPr>
        <w:t>。</w:t>
      </w:r>
    </w:p>
  </w:footnote>
  <w:footnote w:id="568">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sidRPr="00E66160">
        <w:tab/>
      </w:r>
      <w:r w:rsidRPr="00E66160">
        <w:rPr>
          <w:rStyle w:val="a3"/>
        </w:rPr>
        <w:footnoteRef/>
      </w:r>
      <w:r w:rsidRPr="00E66160">
        <w:tab/>
      </w:r>
      <w:r w:rsidRPr="00E66160">
        <w:t>《</w:t>
      </w:r>
      <w:r w:rsidRPr="00E66160">
        <w:t>1978</w:t>
      </w:r>
      <w:r w:rsidRPr="00E66160">
        <w:rPr>
          <w:rFonts w:hint="eastAsia"/>
        </w:rPr>
        <w:t>年……</w:t>
      </w:r>
      <w:r w:rsidRPr="00E66160">
        <w:t>年鉴》，第二卷</w:t>
      </w:r>
      <w:r w:rsidRPr="00E66160">
        <w:t>(</w:t>
      </w:r>
      <w:r w:rsidRPr="00E66160">
        <w:t>第二部分</w:t>
      </w:r>
      <w:r w:rsidRPr="00E66160">
        <w:t>)</w:t>
      </w:r>
      <w:r w:rsidRPr="00E66160">
        <w:t>，第</w:t>
      </w:r>
      <w:r w:rsidRPr="00E66160">
        <w:t>21</w:t>
      </w:r>
      <w:r w:rsidRPr="00E66160">
        <w:t>页</w:t>
      </w:r>
      <w:r w:rsidRPr="00E66160">
        <w:t>(</w:t>
      </w:r>
      <w:r w:rsidRPr="00E66160">
        <w:t>第五条草案</w:t>
      </w:r>
      <w:r w:rsidRPr="00E66160">
        <w:t>)</w:t>
      </w:r>
      <w:r w:rsidRPr="00E66160">
        <w:t>。</w:t>
      </w:r>
    </w:p>
  </w:footnote>
  <w:footnote w:id="569">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Pr>
          <w:lang w:val="en-CA"/>
        </w:rPr>
        <w:t>关于国际仲裁中公法和私法</w:t>
      </w:r>
      <w:r w:rsidRPr="00E66160">
        <w:rPr>
          <w:lang w:val="en-CA"/>
        </w:rPr>
        <w:t>重叠的问题，见</w:t>
      </w:r>
      <w:r w:rsidRPr="00E66160">
        <w:rPr>
          <w:color w:val="32322F"/>
          <w:lang w:val="en-CA"/>
        </w:rPr>
        <w:t xml:space="preserve">Gus Van Harten, </w:t>
      </w:r>
      <w:r w:rsidRPr="008C3271">
        <w:rPr>
          <w:i/>
          <w:iCs/>
          <w:lang w:val="en-CA"/>
        </w:rPr>
        <w:t>Investment Treaty Arbitration and Public Law</w:t>
      </w:r>
      <w:r w:rsidRPr="00E66160">
        <w:rPr>
          <w:lang w:val="en-CA"/>
        </w:rPr>
        <w:t xml:space="preserve"> (</w:t>
      </w:r>
      <w:r w:rsidRPr="00BC75B9">
        <w:rPr>
          <w:lang w:val="en-CA"/>
        </w:rPr>
        <w:t>Oxford</w:t>
      </w:r>
      <w:r w:rsidRPr="00BC75B9">
        <w:rPr>
          <w:lang w:val="en-CA"/>
        </w:rPr>
        <w:t>：</w:t>
      </w:r>
      <w:r w:rsidRPr="00BC75B9">
        <w:rPr>
          <w:lang w:val="en-CA"/>
        </w:rPr>
        <w:t>Oxford University Press, 2007)</w:t>
      </w:r>
      <w:r w:rsidRPr="00BC75B9">
        <w:rPr>
          <w:lang w:val="en-CA"/>
        </w:rPr>
        <w:t>，第三章。</w:t>
      </w:r>
    </w:p>
  </w:footnote>
  <w:footnote w:id="570">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w:t>
      </w:r>
      <w:r w:rsidRPr="00E66160">
        <w:t>关于解决国家与他国国民之间投资争端公约</w:t>
      </w:r>
      <w:r w:rsidRPr="00E66160">
        <w:rPr>
          <w:lang w:val="en-CA"/>
        </w:rPr>
        <w:t>》，</w:t>
      </w:r>
      <w:r w:rsidRPr="00E66160">
        <w:rPr>
          <w:lang w:val="en-CA"/>
        </w:rPr>
        <w:t>1965</w:t>
      </w:r>
      <w:r w:rsidRPr="00E66160">
        <w:rPr>
          <w:lang w:val="en-CA"/>
        </w:rPr>
        <w:t>年</w:t>
      </w:r>
      <w:r w:rsidRPr="00E66160">
        <w:rPr>
          <w:lang w:val="en-CA"/>
        </w:rPr>
        <w:t>3</w:t>
      </w:r>
      <w:r w:rsidRPr="00E66160">
        <w:rPr>
          <w:lang w:val="en-CA"/>
        </w:rPr>
        <w:t>月</w:t>
      </w:r>
      <w:r w:rsidRPr="00E66160">
        <w:rPr>
          <w:lang w:val="en-CA"/>
        </w:rPr>
        <w:t>18</w:t>
      </w:r>
      <w:r w:rsidRPr="00E66160">
        <w:rPr>
          <w:lang w:val="en-CA"/>
        </w:rPr>
        <w:t>日在华盛顿签署，联合国《条约汇编》，第</w:t>
      </w:r>
      <w:r w:rsidRPr="00E66160">
        <w:rPr>
          <w:lang w:val="en-CA"/>
        </w:rPr>
        <w:t>575</w:t>
      </w:r>
      <w:r w:rsidRPr="00E66160">
        <w:rPr>
          <w:lang w:val="en-CA"/>
        </w:rPr>
        <w:t>卷，第</w:t>
      </w:r>
      <w:r w:rsidRPr="00E66160">
        <w:rPr>
          <w:lang w:val="en-CA"/>
        </w:rPr>
        <w:t>159</w:t>
      </w:r>
      <w:r w:rsidRPr="00E66160">
        <w:rPr>
          <w:lang w:val="en-CA"/>
        </w:rPr>
        <w:t>页，第</w:t>
      </w:r>
      <w:r w:rsidRPr="00E66160">
        <w:rPr>
          <w:lang w:val="en-CA"/>
        </w:rPr>
        <w:t>42</w:t>
      </w:r>
      <w:r w:rsidRPr="00E66160">
        <w:rPr>
          <w:lang w:val="en-CA"/>
        </w:rPr>
        <w:t>条。</w:t>
      </w:r>
    </w:p>
  </w:footnote>
  <w:footnote w:id="571">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sidRPr="00E66160">
        <w:rPr>
          <w:lang w:val="en-CA"/>
        </w:rPr>
        <w:tab/>
      </w:r>
      <w:r w:rsidRPr="00E66160">
        <w:rPr>
          <w:rStyle w:val="a3"/>
        </w:rPr>
        <w:footnoteRef/>
      </w:r>
      <w:r w:rsidRPr="00E66160">
        <w:rPr>
          <w:lang w:val="en-CA"/>
        </w:rPr>
        <w:tab/>
      </w:r>
      <w:r w:rsidRPr="00E66160">
        <w:rPr>
          <w:lang w:val="en-CA"/>
        </w:rPr>
        <w:t>特别见第一至第十四条，《</w:t>
      </w:r>
      <w:r w:rsidRPr="00E66160">
        <w:rPr>
          <w:lang w:val="en-CA"/>
        </w:rPr>
        <w:t>1978</w:t>
      </w:r>
      <w:r w:rsidRPr="00E66160">
        <w:rPr>
          <w:rFonts w:hint="eastAsia"/>
          <w:lang w:val="en-CA"/>
        </w:rPr>
        <w:t>年……</w:t>
      </w:r>
      <w:r w:rsidRPr="00E66160">
        <w:rPr>
          <w:lang w:val="en-CA"/>
        </w:rPr>
        <w:t>年鉴》，第二卷</w:t>
      </w:r>
      <w:r w:rsidRPr="00E66160">
        <w:t>(</w:t>
      </w:r>
      <w:r w:rsidRPr="00E66160">
        <w:t>第二部分</w:t>
      </w:r>
      <w:r w:rsidRPr="00E66160">
        <w:t>)</w:t>
      </w:r>
      <w:r w:rsidRPr="00E66160">
        <w:t>，第</w:t>
      </w:r>
      <w:r w:rsidRPr="00E66160">
        <w:t>16-39</w:t>
      </w:r>
      <w:r w:rsidRPr="00E66160">
        <w:t>页。</w:t>
      </w:r>
    </w:p>
  </w:footnote>
  <w:footnote w:id="572">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spacing w:val="-6"/>
          <w:lang w:val="en-CA"/>
        </w:rPr>
        <w:t>《联合王国双边投资</w:t>
      </w:r>
      <w:r w:rsidRPr="00E66160">
        <w:rPr>
          <w:rFonts w:hint="eastAsia"/>
          <w:spacing w:val="-6"/>
          <w:lang w:val="en-CA"/>
        </w:rPr>
        <w:t>条约</w:t>
      </w:r>
      <w:r w:rsidRPr="00E66160">
        <w:rPr>
          <w:spacing w:val="-6"/>
          <w:lang w:val="en-CA"/>
        </w:rPr>
        <w:t>范本》，</w:t>
      </w:r>
      <w:r w:rsidRPr="00E66160">
        <w:rPr>
          <w:spacing w:val="-6"/>
          <w:lang w:val="en-CA"/>
        </w:rPr>
        <w:t>2008</w:t>
      </w:r>
      <w:r w:rsidRPr="00E66160">
        <w:rPr>
          <w:spacing w:val="-6"/>
          <w:lang w:val="en-CA"/>
        </w:rPr>
        <w:t>年，可查阅</w:t>
      </w:r>
      <w:r w:rsidRPr="00E66160">
        <w:rPr>
          <w:lang w:val="en-CA"/>
        </w:rPr>
        <w:t>&lt;http://investmentpolicyhub.unctad.org/</w:t>
      </w:r>
      <w:r w:rsidRPr="00E66160">
        <w:rPr>
          <w:rFonts w:hint="eastAsia"/>
          <w:lang w:val="en-CA"/>
        </w:rPr>
        <w:t xml:space="preserve"> </w:t>
      </w:r>
      <w:r w:rsidRPr="00E66160">
        <w:rPr>
          <w:lang w:val="en-CA"/>
        </w:rPr>
        <w:t>Download/TreatyFile/2847&gt;</w:t>
      </w:r>
      <w:r w:rsidRPr="00E66160">
        <w:rPr>
          <w:lang w:val="en-CA"/>
        </w:rPr>
        <w:t>。</w:t>
      </w:r>
    </w:p>
  </w:footnote>
  <w:footnote w:id="573">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另见上文第</w:t>
      </w:r>
      <w:r w:rsidRPr="00E66160">
        <w:rPr>
          <w:lang w:val="en-CA"/>
        </w:rPr>
        <w:t>105</w:t>
      </w:r>
      <w:r w:rsidRPr="00E66160">
        <w:rPr>
          <w:lang w:val="en-CA"/>
        </w:rPr>
        <w:t>段。</w:t>
      </w:r>
    </w:p>
  </w:footnote>
  <w:footnote w:id="574">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见</w:t>
      </w:r>
      <w:r w:rsidRPr="00E66160">
        <w:rPr>
          <w:lang w:val="en-CA"/>
        </w:rPr>
        <w:t>HICEE</w:t>
      </w:r>
      <w:r w:rsidRPr="00E66160">
        <w:rPr>
          <w:lang w:val="en-CA"/>
        </w:rPr>
        <w:t>案</w:t>
      </w:r>
      <w:r w:rsidRPr="00E66160">
        <w:rPr>
          <w:rFonts w:hint="eastAsia"/>
          <w:lang w:val="en-CA"/>
        </w:rPr>
        <w:t>，第</w:t>
      </w:r>
      <w:r w:rsidRPr="00E66160">
        <w:rPr>
          <w:rFonts w:hint="eastAsia"/>
          <w:lang w:val="en-CA"/>
        </w:rPr>
        <w:t>149</w:t>
      </w:r>
      <w:r w:rsidRPr="00E66160">
        <w:rPr>
          <w:rFonts w:hint="eastAsia"/>
          <w:lang w:val="en-CA"/>
        </w:rPr>
        <w:t>段。</w:t>
      </w:r>
    </w:p>
  </w:footnote>
  <w:footnote w:id="575">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大致参见：</w:t>
      </w:r>
      <w:r w:rsidRPr="00E66160">
        <w:rPr>
          <w:lang w:val="en-CA"/>
        </w:rPr>
        <w:t xml:space="preserve">Shabtai Rosenne, </w:t>
      </w:r>
      <w:r w:rsidRPr="008C3271">
        <w:rPr>
          <w:i/>
          <w:iCs/>
          <w:lang w:val="en-CA"/>
        </w:rPr>
        <w:t>The Law and Practice of the International Court, 1920-2005</w:t>
      </w:r>
      <w:r w:rsidRPr="00E66160">
        <w:rPr>
          <w:lang w:val="en-CA"/>
        </w:rPr>
        <w:t>,</w:t>
      </w:r>
      <w:r w:rsidRPr="00E66160">
        <w:rPr>
          <w:rFonts w:hint="eastAsia"/>
          <w:lang w:val="en-CA"/>
        </w:rPr>
        <w:t xml:space="preserve"> </w:t>
      </w:r>
      <w:r w:rsidRPr="00E66160">
        <w:rPr>
          <w:lang w:val="en-CA"/>
        </w:rPr>
        <w:t>第</w:t>
      </w:r>
      <w:r w:rsidRPr="00E66160">
        <w:rPr>
          <w:lang w:val="en-CA"/>
        </w:rPr>
        <w:t>4</w:t>
      </w:r>
      <w:r w:rsidRPr="00E66160">
        <w:rPr>
          <w:lang w:val="en-CA"/>
        </w:rPr>
        <w:t>版</w:t>
      </w:r>
      <w:r w:rsidRPr="00E66160">
        <w:rPr>
          <w:lang w:val="en-CA"/>
        </w:rPr>
        <w:t>(Leiden</w:t>
      </w:r>
      <w:r w:rsidRPr="00E66160">
        <w:rPr>
          <w:lang w:val="en-CA"/>
        </w:rPr>
        <w:t>：</w:t>
      </w:r>
      <w:r w:rsidRPr="00E66160">
        <w:rPr>
          <w:lang w:val="en-CA"/>
        </w:rPr>
        <w:t>Martinus Nijhoff Publishers, 2006)</w:t>
      </w:r>
      <w:r w:rsidRPr="00E66160">
        <w:rPr>
          <w:lang w:val="en-CA"/>
        </w:rPr>
        <w:t>，第</w:t>
      </w:r>
      <w:r w:rsidRPr="00E66160">
        <w:rPr>
          <w:lang w:val="en-CA"/>
        </w:rPr>
        <w:t>505-586</w:t>
      </w:r>
      <w:r w:rsidRPr="00E66160">
        <w:rPr>
          <w:lang w:val="en-CA"/>
        </w:rPr>
        <w:t>页。</w:t>
      </w:r>
    </w:p>
  </w:footnote>
  <w:footnote w:id="576">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t>Jan Paulsson,</w:t>
      </w:r>
      <w:r w:rsidRPr="00E66160">
        <w:rPr>
          <w:rFonts w:hint="eastAsia"/>
        </w:rPr>
        <w:t>“</w:t>
      </w:r>
      <w:r w:rsidRPr="00E66160">
        <w:t>Jurisdiction and Admissibility</w:t>
      </w:r>
      <w:r w:rsidRPr="00E66160">
        <w:rPr>
          <w:rFonts w:hint="eastAsia"/>
        </w:rPr>
        <w:t>”</w:t>
      </w:r>
      <w:r w:rsidRPr="00E66160">
        <w:t>，选自</w:t>
      </w:r>
      <w:r w:rsidRPr="00E66160">
        <w:t>Gerald Aksen, Karl-Heinz Böckstiegel, Michael J. Mustill, Paolo Michele Patocchi</w:t>
      </w:r>
      <w:r w:rsidRPr="00E66160">
        <w:rPr>
          <w:rFonts w:hint="eastAsia"/>
        </w:rPr>
        <w:t xml:space="preserve"> </w:t>
      </w:r>
      <w:r w:rsidRPr="00E66160">
        <w:t>和</w:t>
      </w:r>
      <w:r w:rsidRPr="00E66160">
        <w:rPr>
          <w:rFonts w:hint="eastAsia"/>
        </w:rPr>
        <w:t xml:space="preserve"> </w:t>
      </w:r>
      <w:r w:rsidRPr="00E66160">
        <w:t>Anne Marie Whitesell</w:t>
      </w:r>
      <w:r w:rsidRPr="00E66160">
        <w:rPr>
          <w:rFonts w:hint="eastAsia"/>
        </w:rPr>
        <w:t xml:space="preserve"> </w:t>
      </w:r>
      <w:r w:rsidRPr="00E66160">
        <w:t>(</w:t>
      </w:r>
      <w:r w:rsidRPr="00E66160">
        <w:t>编</w:t>
      </w:r>
      <w:r w:rsidRPr="00E66160">
        <w:t>)</w:t>
      </w:r>
      <w:r w:rsidRPr="00E66160">
        <w:t>，</w:t>
      </w:r>
      <w:r w:rsidRPr="008C3271">
        <w:rPr>
          <w:i/>
          <w:iCs/>
        </w:rPr>
        <w:t>Global Reflections on International Law, Commerce and Dispute Resolution, Liber Amicorum in Honour of Robert Briner</w:t>
      </w:r>
      <w:r w:rsidRPr="00E66160">
        <w:t xml:space="preserve"> (Paris</w:t>
      </w:r>
      <w:r w:rsidRPr="00E66160">
        <w:t>：</w:t>
      </w:r>
      <w:r w:rsidRPr="00E66160">
        <w:t>ICC Publishing, 2005)</w:t>
      </w:r>
      <w:r w:rsidRPr="00E66160">
        <w:t>，第</w:t>
      </w:r>
      <w:r w:rsidRPr="00E66160">
        <w:t>601</w:t>
      </w:r>
      <w:r w:rsidRPr="00E66160">
        <w:t>页起，见第</w:t>
      </w:r>
      <w:r w:rsidRPr="00E66160">
        <w:t>616</w:t>
      </w:r>
      <w:r w:rsidRPr="00E66160">
        <w:t>页。</w:t>
      </w:r>
    </w:p>
  </w:footnote>
  <w:footnote w:id="577">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这些关于解释的规定总体上反映了习惯国际法。</w:t>
      </w:r>
    </w:p>
  </w:footnote>
  <w:footnote w:id="578">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Pr>
          <w:rFonts w:hint="eastAsia"/>
          <w:lang w:val="en-CA"/>
        </w:rPr>
        <w:t>《</w:t>
      </w:r>
      <w:r>
        <w:rPr>
          <w:rFonts w:hint="eastAsia"/>
          <w:lang w:val="en-CA"/>
        </w:rPr>
        <w:t>1966</w:t>
      </w:r>
      <w:r>
        <w:rPr>
          <w:rFonts w:hint="eastAsia"/>
          <w:lang w:val="en-CA"/>
        </w:rPr>
        <w:t>年……年鉴》，第二卷，第</w:t>
      </w:r>
      <w:r>
        <w:rPr>
          <w:rFonts w:hint="eastAsia"/>
          <w:lang w:val="en-CA"/>
        </w:rPr>
        <w:t>220</w:t>
      </w:r>
      <w:r>
        <w:rPr>
          <w:rFonts w:hint="eastAsia"/>
          <w:lang w:val="en-CA"/>
        </w:rPr>
        <w:t>页，第</w:t>
      </w:r>
      <w:r>
        <w:rPr>
          <w:rFonts w:hint="eastAsia"/>
          <w:lang w:val="en-CA"/>
        </w:rPr>
        <w:t>11</w:t>
      </w:r>
      <w:r>
        <w:rPr>
          <w:rFonts w:hint="eastAsia"/>
          <w:lang w:val="en-CA"/>
        </w:rPr>
        <w:t>段</w:t>
      </w:r>
      <w:r w:rsidRPr="00E66160">
        <w:rPr>
          <w:lang w:val="en-CA"/>
        </w:rPr>
        <w:t>。</w:t>
      </w:r>
    </w:p>
  </w:footnote>
  <w:footnote w:id="579">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t xml:space="preserve">Ian Sinclair, </w:t>
      </w:r>
      <w:r w:rsidRPr="008C3271">
        <w:rPr>
          <w:i/>
          <w:iCs/>
          <w:lang w:val="en-CA"/>
        </w:rPr>
        <w:t>The Vienna Convention on the Law of Treaties</w:t>
      </w:r>
      <w:r w:rsidRPr="00E66160">
        <w:rPr>
          <w:lang w:val="en-CA"/>
        </w:rPr>
        <w:t xml:space="preserve">, </w:t>
      </w:r>
      <w:r w:rsidRPr="00E66160">
        <w:rPr>
          <w:lang w:val="en-CA"/>
        </w:rPr>
        <w:t>第</w:t>
      </w:r>
      <w:r w:rsidRPr="00E66160">
        <w:rPr>
          <w:lang w:val="en-CA"/>
        </w:rPr>
        <w:t>2</w:t>
      </w:r>
      <w:r w:rsidRPr="00E66160">
        <w:rPr>
          <w:lang w:val="en-CA"/>
        </w:rPr>
        <w:t>版</w:t>
      </w:r>
      <w:r>
        <w:rPr>
          <w:rFonts w:hint="eastAsia"/>
          <w:lang w:val="en-CA"/>
        </w:rPr>
        <w:t xml:space="preserve"> </w:t>
      </w:r>
      <w:r w:rsidRPr="00E66160">
        <w:rPr>
          <w:lang w:val="en-CA"/>
        </w:rPr>
        <w:t>(Manchester</w:t>
      </w:r>
      <w:r w:rsidRPr="00E66160">
        <w:rPr>
          <w:lang w:val="en-CA"/>
        </w:rPr>
        <w:t>：</w:t>
      </w:r>
      <w:r w:rsidRPr="00E66160">
        <w:rPr>
          <w:lang w:val="en-CA"/>
        </w:rPr>
        <w:t>Manchester University Press, 1984)</w:t>
      </w:r>
      <w:r w:rsidRPr="00E66160">
        <w:rPr>
          <w:lang w:val="en-CA"/>
        </w:rPr>
        <w:t>，第</w:t>
      </w:r>
      <w:r w:rsidRPr="00E66160">
        <w:rPr>
          <w:lang w:val="en-CA"/>
        </w:rPr>
        <w:t>115</w:t>
      </w:r>
      <w:r w:rsidRPr="00E66160">
        <w:rPr>
          <w:lang w:val="en-CA"/>
        </w:rPr>
        <w:t>页。</w:t>
      </w:r>
    </w:p>
  </w:footnote>
  <w:footnote w:id="580">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rFonts w:eastAsia="楷体"/>
          <w:lang w:val="en-CA"/>
        </w:rPr>
        <w:t>Plama</w:t>
      </w:r>
      <w:r w:rsidRPr="00E66160">
        <w:rPr>
          <w:rFonts w:eastAsia="楷体"/>
          <w:lang w:val="en-CA"/>
        </w:rPr>
        <w:t>案</w:t>
      </w:r>
      <w:r w:rsidRPr="00E66160">
        <w:rPr>
          <w:lang w:val="en-CA"/>
        </w:rPr>
        <w:t>，</w:t>
      </w:r>
      <w:r w:rsidRPr="00E66160">
        <w:rPr>
          <w:lang w:val="es-ES"/>
        </w:rPr>
        <w:t>第</w:t>
      </w:r>
      <w:r w:rsidRPr="00E66160">
        <w:rPr>
          <w:lang w:val="en-CA"/>
        </w:rPr>
        <w:t>197</w:t>
      </w:r>
      <w:r w:rsidRPr="00E66160">
        <w:rPr>
          <w:lang w:val="en-CA"/>
        </w:rPr>
        <w:t>段。</w:t>
      </w:r>
    </w:p>
  </w:footnote>
  <w:footnote w:id="581">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w:t>
      </w:r>
      <w:r w:rsidRPr="00E66160">
        <w:t>南非不遵守安全理事会第</w:t>
      </w:r>
      <w:r w:rsidRPr="00E66160">
        <w:t>276(1970)</w:t>
      </w:r>
      <w:r w:rsidRPr="00E66160">
        <w:t>号决议继续留驻纳米比亚</w:t>
      </w:r>
      <w:r w:rsidRPr="00E66160">
        <w:t>(</w:t>
      </w:r>
      <w:r w:rsidRPr="00E66160">
        <w:t>西南非洲</w:t>
      </w:r>
      <w:r w:rsidRPr="00E66160">
        <w:t>)</w:t>
      </w:r>
      <w:r w:rsidRPr="00E66160">
        <w:t>对各国的法律后果</w:t>
      </w:r>
      <w:r w:rsidRPr="00E66160">
        <w:rPr>
          <w:lang w:val="en-CA"/>
        </w:rPr>
        <w:t>》，咨询意见</w:t>
      </w:r>
      <w:r>
        <w:rPr>
          <w:rFonts w:hint="eastAsia"/>
          <w:lang w:val="en-CA"/>
        </w:rPr>
        <w:t>，</w:t>
      </w:r>
      <w:r w:rsidRPr="00E66160">
        <w:t>《</w:t>
      </w:r>
      <w:r w:rsidRPr="00E66160">
        <w:t>1971</w:t>
      </w:r>
      <w:r w:rsidRPr="00E66160">
        <w:t>年国际法院案例汇编》，第</w:t>
      </w:r>
      <w:r w:rsidRPr="00E66160">
        <w:t>16</w:t>
      </w:r>
      <w:r w:rsidRPr="00E66160">
        <w:t>页起，见第</w:t>
      </w:r>
      <w:r w:rsidRPr="00E66160">
        <w:t>30</w:t>
      </w:r>
      <w:r w:rsidRPr="00E66160">
        <w:t>页</w:t>
      </w:r>
      <w:r>
        <w:rPr>
          <w:rFonts w:hint="eastAsia"/>
        </w:rPr>
        <w:t>，</w:t>
      </w:r>
      <w:r w:rsidRPr="00E66160">
        <w:t>第</w:t>
      </w:r>
      <w:r w:rsidRPr="00E66160">
        <w:t>53</w:t>
      </w:r>
      <w:r w:rsidRPr="00E66160">
        <w:t>段。</w:t>
      </w:r>
    </w:p>
  </w:footnote>
  <w:footnote w:id="582">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sidRPr="00E66160">
        <w:rPr>
          <w:lang w:val="en-CA"/>
        </w:rPr>
        <w:tab/>
      </w:r>
      <w:r w:rsidRPr="00E66160">
        <w:rPr>
          <w:rStyle w:val="a3"/>
        </w:rPr>
        <w:footnoteRef/>
      </w:r>
      <w:r w:rsidRPr="00E66160">
        <w:rPr>
          <w:lang w:val="en-CA"/>
        </w:rPr>
        <w:tab/>
      </w:r>
      <w:r w:rsidRPr="00E66160">
        <w:rPr>
          <w:lang w:val="en-CA"/>
        </w:rPr>
        <w:t>《</w:t>
      </w:r>
      <w:r w:rsidRPr="00E66160">
        <w:t>关于厄立特里亚国与埃塞俄比亚联邦民主共和国划界问题的裁决</w:t>
      </w:r>
      <w:r w:rsidRPr="00E66160">
        <w:rPr>
          <w:lang w:val="en-CA"/>
        </w:rPr>
        <w:t>》，</w:t>
      </w:r>
      <w:r w:rsidRPr="00E66160">
        <w:t>(2002</w:t>
      </w:r>
      <w:r w:rsidRPr="00E66160">
        <w:t>年</w:t>
      </w:r>
      <w:r w:rsidRPr="00E66160">
        <w:t>4</w:t>
      </w:r>
      <w:r w:rsidRPr="00E66160">
        <w:t>月</w:t>
      </w:r>
      <w:r w:rsidRPr="00E66160">
        <w:t>13</w:t>
      </w:r>
      <w:r w:rsidRPr="00E66160">
        <w:t>日</w:t>
      </w:r>
      <w:r w:rsidRPr="00E66160">
        <w:t>)</w:t>
      </w:r>
      <w:r>
        <w:t>《国际仲裁裁决汇编》</w:t>
      </w:r>
      <w:r w:rsidRPr="00E66160">
        <w:t>第</w:t>
      </w:r>
      <w:r w:rsidRPr="00E66160">
        <w:t>25</w:t>
      </w:r>
      <w:r w:rsidRPr="00E66160">
        <w:t>卷，第</w:t>
      </w:r>
      <w:r w:rsidRPr="00E66160">
        <w:rPr>
          <w:lang w:val="en-CA"/>
        </w:rPr>
        <w:t>83-195</w:t>
      </w:r>
      <w:r w:rsidRPr="00E66160">
        <w:rPr>
          <w:lang w:val="en-CA"/>
        </w:rPr>
        <w:t>页，见第</w:t>
      </w:r>
      <w:r w:rsidRPr="00E66160">
        <w:rPr>
          <w:lang w:val="en-CA"/>
        </w:rPr>
        <w:t>3.5</w:t>
      </w:r>
      <w:r w:rsidRPr="00E66160">
        <w:rPr>
          <w:lang w:val="en-CA"/>
        </w:rPr>
        <w:t>段。</w:t>
      </w:r>
    </w:p>
  </w:footnote>
  <w:footnote w:id="583">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Pr>
          <w:rFonts w:hint="eastAsia"/>
        </w:rPr>
        <w:tab/>
      </w:r>
      <w:r w:rsidRPr="00E66160">
        <w:rPr>
          <w:rStyle w:val="a3"/>
        </w:rPr>
        <w:footnoteRef/>
      </w:r>
      <w:r>
        <w:rPr>
          <w:rFonts w:hint="eastAsia"/>
        </w:rPr>
        <w:tab/>
      </w:r>
      <w:r w:rsidRPr="00EE6A21">
        <w:rPr>
          <w:rFonts w:eastAsia="楷体" w:hint="eastAsia"/>
        </w:rPr>
        <w:t>有关航行权和相关权利的争端案</w:t>
      </w:r>
      <w:r w:rsidRPr="00E66160">
        <w:rPr>
          <w:rFonts w:hint="eastAsia"/>
        </w:rPr>
        <w:t>(</w:t>
      </w:r>
      <w:r w:rsidRPr="008C3271">
        <w:rPr>
          <w:rFonts w:ascii="楷体" w:eastAsia="楷体" w:hAnsi="楷体" w:hint="eastAsia"/>
        </w:rPr>
        <w:t>哥斯达黎加诉尼加拉瓜</w:t>
      </w:r>
      <w:r w:rsidRPr="00E66160">
        <w:rPr>
          <w:rFonts w:hint="eastAsia"/>
        </w:rPr>
        <w:t>)</w:t>
      </w:r>
      <w:r w:rsidRPr="00E66160">
        <w:rPr>
          <w:rFonts w:hint="eastAsia"/>
        </w:rPr>
        <w:t>，</w:t>
      </w:r>
      <w:r w:rsidRPr="008C3271">
        <w:rPr>
          <w:rFonts w:ascii="楷体" w:eastAsia="楷体" w:hAnsi="楷体" w:hint="eastAsia"/>
        </w:rPr>
        <w:t>判决</w:t>
      </w:r>
      <w:r w:rsidRPr="00E66160">
        <w:rPr>
          <w:rFonts w:hint="eastAsia"/>
        </w:rPr>
        <w:t>，《</w:t>
      </w:r>
      <w:r w:rsidRPr="00E66160">
        <w:rPr>
          <w:rFonts w:hint="eastAsia"/>
        </w:rPr>
        <w:t>2009</w:t>
      </w:r>
      <w:r w:rsidRPr="00E66160">
        <w:rPr>
          <w:rFonts w:hint="eastAsia"/>
        </w:rPr>
        <w:t>年国际法院案例汇编》，第</w:t>
      </w:r>
      <w:r w:rsidRPr="00E66160">
        <w:rPr>
          <w:rFonts w:hint="eastAsia"/>
        </w:rPr>
        <w:t>213</w:t>
      </w:r>
      <w:r w:rsidRPr="00E66160">
        <w:rPr>
          <w:rFonts w:hint="eastAsia"/>
        </w:rPr>
        <w:t>页起，见第</w:t>
      </w:r>
      <w:r w:rsidRPr="00E66160">
        <w:rPr>
          <w:rFonts w:hint="eastAsia"/>
        </w:rPr>
        <w:t>242</w:t>
      </w:r>
      <w:r w:rsidRPr="00E66160">
        <w:rPr>
          <w:rFonts w:hint="eastAsia"/>
        </w:rPr>
        <w:t>页，第</w:t>
      </w:r>
      <w:r w:rsidRPr="00E66160">
        <w:rPr>
          <w:rFonts w:hint="eastAsia"/>
        </w:rPr>
        <w:t>64</w:t>
      </w:r>
      <w:r w:rsidRPr="00E66160">
        <w:rPr>
          <w:rFonts w:hint="eastAsia"/>
        </w:rPr>
        <w:t>段。</w:t>
      </w:r>
    </w:p>
  </w:footnote>
  <w:footnote w:id="584">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Pr>
          <w:rFonts w:hint="eastAsia"/>
        </w:rPr>
        <w:tab/>
      </w:r>
      <w:r w:rsidRPr="00E66160">
        <w:rPr>
          <w:rStyle w:val="a3"/>
        </w:rPr>
        <w:footnoteRef/>
      </w:r>
      <w:r>
        <w:rPr>
          <w:rFonts w:hint="eastAsia"/>
        </w:rPr>
        <w:tab/>
      </w:r>
      <w:r w:rsidRPr="00E66160">
        <w:rPr>
          <w:i/>
          <w:iCs/>
        </w:rPr>
        <w:t>Ibid</w:t>
      </w:r>
      <w:r w:rsidRPr="00E66160">
        <w:t>.</w:t>
      </w:r>
    </w:p>
  </w:footnote>
  <w:footnote w:id="585">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国际法委员会，</w:t>
      </w:r>
      <w:r w:rsidRPr="00E66160">
        <w:t>与条约解释相关的嗣后协定和嗣后惯例，</w:t>
      </w:r>
      <w:r w:rsidRPr="00E66160">
        <w:rPr>
          <w:lang w:val="en-CA"/>
        </w:rPr>
        <w:t>第</w:t>
      </w:r>
      <w:r w:rsidRPr="00E66160">
        <w:rPr>
          <w:lang w:val="en-CA"/>
        </w:rPr>
        <w:t>A/CN.4/L.813</w:t>
      </w:r>
      <w:r w:rsidRPr="00E66160">
        <w:rPr>
          <w:lang w:val="en-CA"/>
        </w:rPr>
        <w:t>号文件，结论草案</w:t>
      </w:r>
      <w:r w:rsidRPr="00E66160">
        <w:rPr>
          <w:lang w:val="en-CA"/>
        </w:rPr>
        <w:t>3</w:t>
      </w:r>
      <w:r w:rsidRPr="00E66160">
        <w:rPr>
          <w:lang w:val="en-CA"/>
        </w:rPr>
        <w:t>。</w:t>
      </w:r>
      <w:r w:rsidRPr="00E66160">
        <w:rPr>
          <w:spacing w:val="-2"/>
          <w:lang w:val="en-CA"/>
        </w:rPr>
        <w:t>另见该文件的续：国际法委员会，</w:t>
      </w:r>
      <w:r w:rsidRPr="00E66160">
        <w:rPr>
          <w:spacing w:val="-2"/>
        </w:rPr>
        <w:t>与条约解释相关的嗣后协定和嗣后惯例，</w:t>
      </w:r>
      <w:r w:rsidRPr="00E66160">
        <w:rPr>
          <w:spacing w:val="-2"/>
          <w:lang w:val="en-CA"/>
        </w:rPr>
        <w:t>第</w:t>
      </w:r>
      <w:r w:rsidRPr="00E66160">
        <w:rPr>
          <w:lang w:val="en-CA"/>
        </w:rPr>
        <w:t>A/CN.4/L.833</w:t>
      </w:r>
      <w:r w:rsidRPr="00E66160">
        <w:rPr>
          <w:lang w:val="en-CA"/>
        </w:rPr>
        <w:t>文件。另见《大会正式记录，第六十八届会议，补编第</w:t>
      </w:r>
      <w:r w:rsidRPr="00E66160">
        <w:rPr>
          <w:lang w:val="en-CA"/>
        </w:rPr>
        <w:t>10</w:t>
      </w:r>
      <w:r w:rsidRPr="00E66160">
        <w:rPr>
          <w:lang w:val="en-CA"/>
        </w:rPr>
        <w:t>号》</w:t>
      </w:r>
      <w:r w:rsidRPr="00E66160">
        <w:rPr>
          <w:lang w:val="en-CA"/>
        </w:rPr>
        <w:t>(A/68/10)</w:t>
      </w:r>
      <w:r w:rsidRPr="00E66160">
        <w:rPr>
          <w:lang w:val="en-CA"/>
        </w:rPr>
        <w:t>，第四章。</w:t>
      </w:r>
    </w:p>
  </w:footnote>
  <w:footnote w:id="586">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Pr>
          <w:rFonts w:hint="eastAsia"/>
        </w:rPr>
        <w:tab/>
      </w:r>
      <w:r w:rsidRPr="00E66160">
        <w:rPr>
          <w:rStyle w:val="a3"/>
        </w:rPr>
        <w:footnoteRef/>
      </w:r>
      <w:r>
        <w:rPr>
          <w:rFonts w:hint="eastAsia"/>
        </w:rPr>
        <w:tab/>
      </w:r>
      <w:r w:rsidRPr="00E66160">
        <w:rPr>
          <w:rFonts w:hint="eastAsia"/>
        </w:rPr>
        <w:t>《维也纳条约法公约》第三十二条规定，“……</w:t>
      </w:r>
      <w:r w:rsidRPr="00E66160">
        <w:rPr>
          <w:rFonts w:hint="eastAsia"/>
          <w:spacing w:val="10"/>
          <w:lang w:val="fr-CH"/>
        </w:rPr>
        <w:t>得使用解释之补充资料，包括条约之准备工作……</w:t>
      </w:r>
      <w:r w:rsidRPr="00E66160">
        <w:rPr>
          <w:rFonts w:hint="eastAsia"/>
        </w:rPr>
        <w:t>”</w:t>
      </w:r>
      <w:r>
        <w:rPr>
          <w:rFonts w:hint="eastAsia"/>
        </w:rPr>
        <w:t>。</w:t>
      </w:r>
    </w:p>
  </w:footnote>
  <w:footnote w:id="587">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tab/>
      </w:r>
      <w:r w:rsidRPr="00E66160">
        <w:rPr>
          <w:rStyle w:val="a3"/>
        </w:rPr>
        <w:footnoteRef/>
      </w:r>
      <w:r w:rsidRPr="00E66160">
        <w:tab/>
      </w:r>
      <w:r w:rsidRPr="00E66160">
        <w:t>法庭在</w:t>
      </w:r>
      <w:r w:rsidRPr="00EE6A21">
        <w:rPr>
          <w:rFonts w:eastAsia="楷体"/>
          <w:lang w:val="en-CA"/>
        </w:rPr>
        <w:t>Plama</w:t>
      </w:r>
      <w:r w:rsidRPr="00EE6A21">
        <w:rPr>
          <w:rFonts w:eastAsia="楷体"/>
          <w:lang w:val="es-ES"/>
        </w:rPr>
        <w:t>案</w:t>
      </w:r>
      <w:r w:rsidRPr="00E66160">
        <w:rPr>
          <w:lang w:val="es-ES"/>
        </w:rPr>
        <w:t>裁决第</w:t>
      </w:r>
      <w:r w:rsidRPr="00E66160">
        <w:rPr>
          <w:lang w:val="en-CA"/>
        </w:rPr>
        <w:t>196</w:t>
      </w:r>
      <w:r w:rsidRPr="00E66160">
        <w:rPr>
          <w:lang w:val="es-ES"/>
        </w:rPr>
        <w:t>段指出</w:t>
      </w:r>
      <w:r w:rsidRPr="00E66160">
        <w:rPr>
          <w:lang w:val="en-CA"/>
        </w:rPr>
        <w:t>，</w:t>
      </w:r>
      <w:r w:rsidRPr="00E66160">
        <w:rPr>
          <w:lang w:val="es-ES"/>
        </w:rPr>
        <w:t>当事方没有提供任何准备工作文件。</w:t>
      </w:r>
    </w:p>
  </w:footnote>
  <w:footnote w:id="588">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E6A21">
        <w:rPr>
          <w:rFonts w:eastAsia="楷体"/>
          <w:lang w:val="en-CA"/>
        </w:rPr>
        <w:t>奥地利航空案</w:t>
      </w:r>
      <w:r w:rsidRPr="00E66160">
        <w:t>，第</w:t>
      </w:r>
      <w:r w:rsidRPr="00E66160">
        <w:rPr>
          <w:lang w:val="en-CA"/>
        </w:rPr>
        <w:t>137</w:t>
      </w:r>
      <w:r w:rsidRPr="00E66160">
        <w:rPr>
          <w:lang w:val="en-CA"/>
        </w:rPr>
        <w:t>段。</w:t>
      </w:r>
    </w:p>
  </w:footnote>
  <w:footnote w:id="589">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rStyle w:val="a3"/>
        </w:rPr>
        <w:tab/>
      </w:r>
      <w:r w:rsidRPr="00E66160">
        <w:rPr>
          <w:lang w:val="en-CA"/>
        </w:rPr>
        <w:t>国际法委员会，</w:t>
      </w:r>
      <w:r w:rsidRPr="00E66160">
        <w:t>与条约解释相关的嗣后协定和嗣后惯例，</w:t>
      </w:r>
      <w:r w:rsidRPr="00E66160">
        <w:rPr>
          <w:lang w:val="en-CA"/>
        </w:rPr>
        <w:t>第</w:t>
      </w:r>
      <w:r w:rsidRPr="00E66160">
        <w:rPr>
          <w:lang w:val="en-CA"/>
        </w:rPr>
        <w:t>A/CN.4/L.813</w:t>
      </w:r>
      <w:r w:rsidRPr="00E66160">
        <w:rPr>
          <w:lang w:val="en-CA"/>
        </w:rPr>
        <w:t>号文件</w:t>
      </w:r>
      <w:r>
        <w:rPr>
          <w:rFonts w:hint="eastAsia"/>
        </w:rPr>
        <w:t>[</w:t>
      </w:r>
      <w:r w:rsidRPr="00E66160">
        <w:t>第一部分</w:t>
      </w:r>
      <w:r>
        <w:rPr>
          <w:rFonts w:hint="eastAsia"/>
        </w:rPr>
        <w:t>]</w:t>
      </w:r>
      <w:r w:rsidRPr="00E66160">
        <w:rPr>
          <w:lang w:val="en-CA"/>
        </w:rPr>
        <w:t>，和第</w:t>
      </w:r>
      <w:r w:rsidRPr="00E66160">
        <w:rPr>
          <w:lang w:val="en-CA"/>
        </w:rPr>
        <w:t>A/CN.4/L.833</w:t>
      </w:r>
      <w:r w:rsidRPr="00E66160">
        <w:rPr>
          <w:lang w:val="en-CA"/>
        </w:rPr>
        <w:t>号文件</w:t>
      </w:r>
      <w:r>
        <w:rPr>
          <w:rFonts w:hint="eastAsia"/>
          <w:lang w:val="en-CA"/>
        </w:rPr>
        <w:t>[</w:t>
      </w:r>
      <w:r w:rsidRPr="00E66160">
        <w:t>第二部分</w:t>
      </w:r>
      <w:r>
        <w:rPr>
          <w:rFonts w:hint="eastAsia"/>
          <w:lang w:val="en-CA"/>
        </w:rPr>
        <w:t>]</w:t>
      </w:r>
      <w:r w:rsidRPr="00E66160">
        <w:rPr>
          <w:lang w:val="en-CA"/>
        </w:rPr>
        <w:t>。特别见结论草案</w:t>
      </w:r>
      <w:r w:rsidRPr="00E66160">
        <w:rPr>
          <w:lang w:val="en-CA"/>
        </w:rPr>
        <w:t>7</w:t>
      </w:r>
      <w:r w:rsidRPr="00E66160">
        <w:rPr>
          <w:lang w:val="en-CA"/>
        </w:rPr>
        <w:t>。另见《大会正式记录，第六十九届会议，补编第</w:t>
      </w:r>
      <w:r w:rsidRPr="00E66160">
        <w:rPr>
          <w:lang w:val="en-CA"/>
        </w:rPr>
        <w:t>10</w:t>
      </w:r>
      <w:r w:rsidRPr="00E66160">
        <w:rPr>
          <w:lang w:val="en-CA"/>
        </w:rPr>
        <w:t>号》</w:t>
      </w:r>
      <w:r w:rsidRPr="00E66160">
        <w:rPr>
          <w:lang w:val="en-CA"/>
        </w:rPr>
        <w:t>(A/69/10)</w:t>
      </w:r>
      <w:r w:rsidRPr="00E66160">
        <w:rPr>
          <w:lang w:val="en-CA"/>
        </w:rPr>
        <w:t>，第七章。</w:t>
      </w:r>
    </w:p>
  </w:footnote>
  <w:footnote w:id="590">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然而根据《北美自由贸易协定》，缔约方根据条约有权发出对法庭具有约束力的</w:t>
      </w:r>
      <w:r w:rsidRPr="00E66160">
        <w:rPr>
          <w:rFonts w:hint="eastAsia"/>
          <w:lang w:val="en-CA"/>
        </w:rPr>
        <w:t>“</w:t>
      </w:r>
      <w:r w:rsidRPr="00E66160">
        <w:rPr>
          <w:lang w:val="en-CA"/>
        </w:rPr>
        <w:t>权威解释</w:t>
      </w:r>
      <w:r w:rsidRPr="00E66160">
        <w:rPr>
          <w:rFonts w:hint="eastAsia"/>
          <w:lang w:val="en-CA"/>
        </w:rPr>
        <w:t>”</w:t>
      </w:r>
      <w:r w:rsidRPr="00E66160">
        <w:rPr>
          <w:lang w:val="en-CA"/>
        </w:rPr>
        <w:t>。见《北美自由贸易协定》，第</w:t>
      </w:r>
      <w:r w:rsidRPr="00E66160">
        <w:rPr>
          <w:lang w:val="en-CA"/>
        </w:rPr>
        <w:t>1131(2)</w:t>
      </w:r>
      <w:r w:rsidRPr="00E66160">
        <w:rPr>
          <w:lang w:val="en-CA"/>
        </w:rPr>
        <w:t>条。</w:t>
      </w:r>
    </w:p>
  </w:footnote>
  <w:footnote w:id="591">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在</w:t>
      </w:r>
      <w:r w:rsidRPr="00E66160">
        <w:rPr>
          <w:lang w:val="en-CA"/>
        </w:rPr>
        <w:t>Plama</w:t>
      </w:r>
      <w:r w:rsidRPr="008C3271">
        <w:rPr>
          <w:rFonts w:ascii="楷体_GB2312" w:eastAsia="楷体_GB2312"/>
          <w:lang w:val="en-CA"/>
        </w:rPr>
        <w:t>案</w:t>
      </w:r>
      <w:r w:rsidRPr="00E66160">
        <w:rPr>
          <w:lang w:val="en-CA"/>
        </w:rPr>
        <w:t>中，法庭说：</w:t>
      </w:r>
      <w:r w:rsidRPr="00E66160">
        <w:rPr>
          <w:rFonts w:hint="eastAsia"/>
          <w:lang w:val="en-CA"/>
        </w:rPr>
        <w:t>“</w:t>
      </w:r>
      <w:r w:rsidRPr="00E66160">
        <w:rPr>
          <w:lang w:val="en-CA"/>
        </w:rPr>
        <w:t>缔约一方与第三国缔结的条约确实可以加以考虑，用以明确条约案文在订立时的含义。</w:t>
      </w:r>
      <w:r w:rsidRPr="00E66160">
        <w:rPr>
          <w:rFonts w:hint="eastAsia"/>
          <w:lang w:val="es-ES"/>
        </w:rPr>
        <w:t>”</w:t>
      </w:r>
      <w:r w:rsidRPr="00E66160">
        <w:rPr>
          <w:lang w:val="es-ES"/>
        </w:rPr>
        <w:t>Plama</w:t>
      </w:r>
      <w:r w:rsidRPr="008C3271">
        <w:rPr>
          <w:rFonts w:ascii="楷体_GB2312" w:eastAsia="楷体_GB2312"/>
          <w:lang w:val="en-CA"/>
        </w:rPr>
        <w:t>案</w:t>
      </w:r>
      <w:r w:rsidRPr="00E66160">
        <w:rPr>
          <w:lang w:val="es-ES"/>
        </w:rPr>
        <w:t>，</w:t>
      </w:r>
      <w:r w:rsidRPr="00E66160">
        <w:rPr>
          <w:lang w:val="en-CA"/>
        </w:rPr>
        <w:t>第</w:t>
      </w:r>
      <w:r w:rsidRPr="00E66160">
        <w:rPr>
          <w:lang w:val="en-CA"/>
        </w:rPr>
        <w:t>195</w:t>
      </w:r>
      <w:r w:rsidRPr="00E66160">
        <w:rPr>
          <w:lang w:val="en-CA"/>
        </w:rPr>
        <w:t>段。</w:t>
      </w:r>
    </w:p>
  </w:footnote>
  <w:footnote w:id="592">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fr-CH"/>
        </w:rPr>
      </w:pPr>
      <w:r w:rsidRPr="00E66160">
        <w:rPr>
          <w:lang w:val="fr-CH"/>
        </w:rPr>
        <w:tab/>
      </w:r>
      <w:r w:rsidRPr="00E66160">
        <w:rPr>
          <w:rStyle w:val="a3"/>
        </w:rPr>
        <w:footnoteRef/>
      </w:r>
      <w:r w:rsidRPr="00E66160">
        <w:rPr>
          <w:lang w:val="fr-CH"/>
        </w:rPr>
        <w:tab/>
        <w:t>Renta</w:t>
      </w:r>
      <w:r w:rsidRPr="008C3271">
        <w:rPr>
          <w:rFonts w:ascii="楷体_GB2312" w:eastAsia="楷体_GB2312"/>
          <w:lang w:val="en-CA"/>
        </w:rPr>
        <w:t>案</w:t>
      </w:r>
      <w:r w:rsidRPr="00E66160">
        <w:rPr>
          <w:lang w:val="en-CA"/>
        </w:rPr>
        <w:t>。</w:t>
      </w:r>
    </w:p>
  </w:footnote>
  <w:footnote w:id="593">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pPr>
      <w:r>
        <w:rPr>
          <w:rFonts w:hint="eastAsia"/>
          <w:lang w:val="fr-CH"/>
        </w:rPr>
        <w:tab/>
      </w:r>
      <w:r w:rsidRPr="00E66160">
        <w:rPr>
          <w:rStyle w:val="a3"/>
        </w:rPr>
        <w:footnoteRef/>
      </w:r>
      <w:r>
        <w:rPr>
          <w:rFonts w:hint="eastAsia"/>
          <w:lang w:val="fr-CH"/>
        </w:rPr>
        <w:tab/>
      </w:r>
      <w:r w:rsidRPr="00E66160">
        <w:rPr>
          <w:rFonts w:hint="eastAsia"/>
        </w:rPr>
        <w:t>特别见国际法委员会</w:t>
      </w:r>
      <w:r w:rsidRPr="00E66160">
        <w:rPr>
          <w:rFonts w:hint="eastAsia"/>
          <w:lang w:val="fr-CH"/>
        </w:rPr>
        <w:t>，与条约解释相关的嗣后协定和嗣后惯例，见结论草案</w:t>
      </w:r>
      <w:r w:rsidRPr="00E66160">
        <w:rPr>
          <w:rFonts w:hint="eastAsia"/>
          <w:lang w:val="fr-CH"/>
        </w:rPr>
        <w:t>1(4)</w:t>
      </w:r>
      <w:r w:rsidRPr="00E66160">
        <w:rPr>
          <w:rFonts w:hint="eastAsia"/>
          <w:lang w:val="fr-CH"/>
        </w:rPr>
        <w:t>和</w:t>
      </w:r>
      <w:r w:rsidRPr="00E66160">
        <w:rPr>
          <w:rFonts w:hint="eastAsia"/>
          <w:lang w:val="fr-CH"/>
        </w:rPr>
        <w:t>4(3)</w:t>
      </w:r>
      <w:r w:rsidRPr="00E66160">
        <w:rPr>
          <w:rFonts w:hint="eastAsia"/>
          <w:lang w:val="fr-CH"/>
        </w:rPr>
        <w:t>，包括有关评注，《大会正式记录，第六十八届会议，补编第</w:t>
      </w:r>
      <w:r w:rsidRPr="00E66160">
        <w:rPr>
          <w:rFonts w:hint="eastAsia"/>
          <w:lang w:val="fr-CH"/>
        </w:rPr>
        <w:t>10</w:t>
      </w:r>
      <w:r w:rsidRPr="00E66160">
        <w:rPr>
          <w:rFonts w:hint="eastAsia"/>
          <w:lang w:val="fr-CH"/>
        </w:rPr>
        <w:t>号》</w:t>
      </w:r>
      <w:r w:rsidRPr="00E66160">
        <w:rPr>
          <w:lang w:val="fr-CH"/>
        </w:rPr>
        <w:t>(A/68/10)</w:t>
      </w:r>
      <w:r w:rsidRPr="00E66160">
        <w:rPr>
          <w:rFonts w:hint="eastAsia"/>
          <w:lang w:val="fr-CH"/>
        </w:rPr>
        <w:t>，第</w:t>
      </w:r>
      <w:r w:rsidRPr="00E66160">
        <w:rPr>
          <w:rFonts w:hint="eastAsia"/>
          <w:lang w:val="fr-CH"/>
        </w:rPr>
        <w:t>38</w:t>
      </w:r>
      <w:r w:rsidRPr="00E66160">
        <w:rPr>
          <w:rFonts w:hint="eastAsia"/>
          <w:lang w:val="fr-CH"/>
        </w:rPr>
        <w:t>和</w:t>
      </w:r>
      <w:r w:rsidRPr="00E66160">
        <w:rPr>
          <w:rFonts w:hint="eastAsia"/>
          <w:lang w:val="fr-CH"/>
        </w:rPr>
        <w:t>39</w:t>
      </w:r>
      <w:r w:rsidRPr="00E66160">
        <w:rPr>
          <w:rFonts w:hint="eastAsia"/>
          <w:lang w:val="fr-CH"/>
        </w:rPr>
        <w:t>段。</w:t>
      </w:r>
    </w:p>
  </w:footnote>
  <w:footnote w:id="594">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fr-CH"/>
        </w:rPr>
      </w:pPr>
      <w:r w:rsidRPr="00E66160">
        <w:rPr>
          <w:lang w:val="fr-CH"/>
        </w:rPr>
        <w:tab/>
      </w:r>
      <w:r w:rsidRPr="00E66160">
        <w:rPr>
          <w:rStyle w:val="a3"/>
        </w:rPr>
        <w:footnoteRef/>
      </w:r>
      <w:r>
        <w:rPr>
          <w:lang w:val="fr-CH"/>
        </w:rPr>
        <w:tab/>
        <w:t>ICS</w:t>
      </w:r>
      <w:r w:rsidRPr="00E66160">
        <w:rPr>
          <w:rFonts w:ascii="Time New Roman" w:eastAsia="楷体" w:hAnsi="Time New Roman"/>
          <w:lang w:val="fr-CH"/>
        </w:rPr>
        <w:t>诉阿根廷</w:t>
      </w:r>
      <w:r w:rsidRPr="00E66160">
        <w:rPr>
          <w:rFonts w:ascii="Time New Roman" w:eastAsia="楷体" w:hAnsi="Time New Roman"/>
        </w:rPr>
        <w:t>案</w:t>
      </w:r>
      <w:r w:rsidRPr="00E66160">
        <w:rPr>
          <w:lang w:val="fr-CH"/>
        </w:rPr>
        <w:t>，</w:t>
      </w:r>
      <w:r w:rsidRPr="00E66160">
        <w:t>第</w:t>
      </w:r>
      <w:r w:rsidRPr="00E66160">
        <w:rPr>
          <w:lang w:val="fr-CH"/>
        </w:rPr>
        <w:t>314-315</w:t>
      </w:r>
      <w:r w:rsidRPr="00E66160">
        <w:rPr>
          <w:lang w:val="fr-CH"/>
        </w:rPr>
        <w:t>段。</w:t>
      </w:r>
    </w:p>
  </w:footnote>
  <w:footnote w:id="595">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eastAsia="ja-JP"/>
        </w:rPr>
        <w:t>研究组关于</w:t>
      </w:r>
      <w:r w:rsidRPr="00E66160">
        <w:rPr>
          <w:rFonts w:hint="eastAsia"/>
          <w:lang w:val="en-CA" w:eastAsia="ja-JP"/>
        </w:rPr>
        <w:t>“</w:t>
      </w:r>
      <w:r w:rsidRPr="00E66160">
        <w:rPr>
          <w:lang w:val="en-CA" w:eastAsia="ja-JP"/>
        </w:rPr>
        <w:t>国际法不成体系问题：国际法多样化和扩展引起的困难</w:t>
      </w:r>
      <w:r w:rsidRPr="00E66160">
        <w:rPr>
          <w:rFonts w:hint="eastAsia"/>
          <w:lang w:val="en-CA" w:eastAsia="ja-JP"/>
        </w:rPr>
        <w:t>”</w:t>
      </w:r>
      <w:r w:rsidRPr="00E66160">
        <w:rPr>
          <w:lang w:val="en-CA" w:eastAsia="ja-JP"/>
        </w:rPr>
        <w:t>的工作结论</w:t>
      </w:r>
      <w:r w:rsidRPr="00E66160">
        <w:rPr>
          <w:lang w:val="en-CA"/>
        </w:rPr>
        <w:t>，</w:t>
      </w:r>
      <w:r w:rsidRPr="00E66160">
        <w:rPr>
          <w:lang w:val="en-CA" w:eastAsia="ja-JP"/>
        </w:rPr>
        <w:t>《</w:t>
      </w:r>
      <w:r w:rsidRPr="00E66160">
        <w:rPr>
          <w:lang w:val="en-CA" w:eastAsia="ja-JP"/>
        </w:rPr>
        <w:t>2006</w:t>
      </w:r>
      <w:r w:rsidRPr="00E66160">
        <w:rPr>
          <w:rFonts w:hint="eastAsia"/>
          <w:lang w:val="en-CA"/>
        </w:rPr>
        <w:t>年……</w:t>
      </w:r>
      <w:r w:rsidRPr="00E66160">
        <w:rPr>
          <w:lang w:val="en-CA" w:eastAsia="ja-JP"/>
        </w:rPr>
        <w:t>年鉴》，第二卷，第二部分，见结论</w:t>
      </w:r>
      <w:r w:rsidRPr="00E66160">
        <w:rPr>
          <w:lang w:val="en-CA" w:eastAsia="ja-JP"/>
        </w:rPr>
        <w:t>5</w:t>
      </w:r>
      <w:r w:rsidRPr="00E66160">
        <w:rPr>
          <w:lang w:val="en-CA"/>
        </w:rPr>
        <w:t>。</w:t>
      </w:r>
    </w:p>
  </w:footnote>
  <w:footnote w:id="596">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见</w:t>
      </w:r>
      <w:r w:rsidRPr="00E66160">
        <w:rPr>
          <w:lang w:val="en-CA"/>
        </w:rPr>
        <w:t>Charles N. Brower</w:t>
      </w:r>
      <w:r w:rsidRPr="00E66160">
        <w:rPr>
          <w:lang w:val="en-CA"/>
        </w:rPr>
        <w:t>在</w:t>
      </w:r>
      <w:r w:rsidRPr="009D5C12">
        <w:rPr>
          <w:rFonts w:eastAsia="楷体"/>
          <w:lang w:val="en-CA"/>
        </w:rPr>
        <w:t>奥地利航空案</w:t>
      </w:r>
      <w:r w:rsidRPr="00E66160">
        <w:rPr>
          <w:lang w:val="en-CA"/>
        </w:rPr>
        <w:t>中的个别意见。</w:t>
      </w:r>
    </w:p>
  </w:footnote>
  <w:footnote w:id="597">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t xml:space="preserve">Anthony Aust, </w:t>
      </w:r>
      <w:r w:rsidRPr="008C3271">
        <w:rPr>
          <w:i/>
          <w:iCs/>
          <w:lang w:val="en-CA"/>
        </w:rPr>
        <w:t>Modern Treaty Law and Practice</w:t>
      </w:r>
      <w:r w:rsidRPr="00E66160">
        <w:rPr>
          <w:lang w:val="en-CA"/>
        </w:rPr>
        <w:t xml:space="preserve">, </w:t>
      </w:r>
      <w:r w:rsidRPr="00E66160">
        <w:rPr>
          <w:lang w:val="en-CA"/>
        </w:rPr>
        <w:t>第</w:t>
      </w:r>
      <w:r w:rsidRPr="00E66160">
        <w:rPr>
          <w:lang w:val="en-CA"/>
        </w:rPr>
        <w:t>2</w:t>
      </w:r>
      <w:r w:rsidRPr="00E66160">
        <w:rPr>
          <w:lang w:val="en-CA"/>
        </w:rPr>
        <w:t>版</w:t>
      </w:r>
      <w:r w:rsidRPr="00E66160">
        <w:rPr>
          <w:lang w:val="en-CA"/>
        </w:rPr>
        <w:t>(Cambridge</w:t>
      </w:r>
      <w:r w:rsidRPr="00E66160">
        <w:rPr>
          <w:lang w:val="en-CA"/>
        </w:rPr>
        <w:t>：</w:t>
      </w:r>
      <w:r w:rsidRPr="00E66160">
        <w:rPr>
          <w:lang w:val="en-CA"/>
        </w:rPr>
        <w:t>Cambridge University Press, 2007)</w:t>
      </w:r>
      <w:r w:rsidRPr="00E66160">
        <w:rPr>
          <w:lang w:val="en-CA"/>
        </w:rPr>
        <w:t>，第</w:t>
      </w:r>
      <w:r w:rsidRPr="00E66160">
        <w:rPr>
          <w:lang w:val="en-CA"/>
        </w:rPr>
        <w:t>248-249</w:t>
      </w:r>
      <w:r w:rsidRPr="00E66160">
        <w:rPr>
          <w:lang w:val="en-CA"/>
        </w:rPr>
        <w:t>页。</w:t>
      </w:r>
    </w:p>
  </w:footnote>
  <w:footnote w:id="598">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Pr>
          <w:rFonts w:eastAsia="楷体"/>
          <w:lang w:val="en-CA"/>
        </w:rPr>
        <w:t>ICS</w:t>
      </w:r>
      <w:r w:rsidRPr="00E66160">
        <w:rPr>
          <w:rFonts w:eastAsia="楷体"/>
          <w:lang w:val="fr-CH"/>
        </w:rPr>
        <w:t>诉阿根廷</w:t>
      </w:r>
      <w:r w:rsidRPr="00E66160">
        <w:rPr>
          <w:rFonts w:eastAsia="楷体"/>
          <w:lang w:val="en-CA"/>
        </w:rPr>
        <w:t>案</w:t>
      </w:r>
      <w:r w:rsidRPr="00E66160">
        <w:rPr>
          <w:lang w:val="en-CA"/>
        </w:rPr>
        <w:t>，第</w:t>
      </w:r>
      <w:r w:rsidRPr="00E66160">
        <w:rPr>
          <w:lang w:val="en-CA"/>
        </w:rPr>
        <w:t>315-317</w:t>
      </w:r>
      <w:r w:rsidRPr="00E66160">
        <w:rPr>
          <w:lang w:val="fr-CH"/>
        </w:rPr>
        <w:t>段。</w:t>
      </w:r>
    </w:p>
  </w:footnote>
  <w:footnote w:id="599">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lang w:val="en-CA"/>
        </w:rPr>
        <w:t>《</w:t>
      </w:r>
      <w:r w:rsidRPr="00E66160">
        <w:rPr>
          <w:lang w:val="en-CA"/>
        </w:rPr>
        <w:t>1978</w:t>
      </w:r>
      <w:r w:rsidRPr="00E66160">
        <w:rPr>
          <w:rFonts w:hint="eastAsia"/>
          <w:lang w:val="en-CA"/>
        </w:rPr>
        <w:t>年……</w:t>
      </w:r>
      <w:r w:rsidRPr="00E66160">
        <w:rPr>
          <w:lang w:val="en-CA"/>
        </w:rPr>
        <w:t>年鉴》，第二卷</w:t>
      </w:r>
      <w:r w:rsidRPr="00E66160">
        <w:t>(</w:t>
      </w:r>
      <w:r w:rsidRPr="00E66160">
        <w:t>第二部分</w:t>
      </w:r>
      <w:r w:rsidRPr="00E66160">
        <w:t>)</w:t>
      </w:r>
      <w:r w:rsidRPr="00E66160">
        <w:t>，第</w:t>
      </w:r>
      <w:r w:rsidRPr="00E66160">
        <w:t>33</w:t>
      </w:r>
      <w:r w:rsidRPr="00E66160">
        <w:t>页，第</w:t>
      </w:r>
      <w:r w:rsidRPr="00E66160">
        <w:rPr>
          <w:rFonts w:eastAsia="MS Mincho"/>
          <w:lang w:val="en-CA" w:eastAsia="ja-JP"/>
        </w:rPr>
        <w:t>25-26</w:t>
      </w:r>
      <w:r w:rsidRPr="00E66160">
        <w:rPr>
          <w:lang w:val="en-CA"/>
        </w:rPr>
        <w:t>段。</w:t>
      </w:r>
    </w:p>
  </w:footnote>
  <w:footnote w:id="600">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Pr>
          <w:lang w:val="en-CA"/>
        </w:rPr>
        <w:tab/>
        <w:t>Berchsader</w:t>
      </w:r>
      <w:r w:rsidRPr="008C3271">
        <w:rPr>
          <w:rFonts w:ascii="楷体_GB2312" w:eastAsia="楷体_GB2312"/>
          <w:lang w:val="en-CA"/>
        </w:rPr>
        <w:t>案</w:t>
      </w:r>
      <w:r w:rsidRPr="00E66160">
        <w:rPr>
          <w:lang w:val="en-CA"/>
        </w:rPr>
        <w:t>。</w:t>
      </w:r>
    </w:p>
  </w:footnote>
  <w:footnote w:id="601">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highlight w:val="yellow"/>
          <w:lang w:val="en-CA"/>
        </w:rPr>
      </w:pPr>
      <w:r w:rsidRPr="00E66160">
        <w:rPr>
          <w:lang w:val="en-CA"/>
        </w:rPr>
        <w:tab/>
      </w:r>
      <w:r w:rsidRPr="00E66160">
        <w:rPr>
          <w:rStyle w:val="a3"/>
        </w:rPr>
        <w:footnoteRef/>
      </w:r>
      <w:r w:rsidRPr="00E66160">
        <w:rPr>
          <w:lang w:val="en-CA"/>
        </w:rPr>
        <w:tab/>
      </w:r>
      <w:r w:rsidRPr="00E66160">
        <w:rPr>
          <w:rFonts w:eastAsia="楷体"/>
          <w:lang w:val="en-CA"/>
        </w:rPr>
        <w:t>马菲基尼案</w:t>
      </w:r>
      <w:r w:rsidRPr="00E66160">
        <w:rPr>
          <w:lang w:val="en-CA"/>
        </w:rPr>
        <w:t>，第</w:t>
      </w:r>
      <w:r w:rsidRPr="00E66160">
        <w:rPr>
          <w:lang w:val="en-CA"/>
        </w:rPr>
        <w:t>61</w:t>
      </w:r>
      <w:r w:rsidRPr="00E66160">
        <w:rPr>
          <w:lang w:val="en-CA"/>
        </w:rPr>
        <w:t>段；</w:t>
      </w:r>
      <w:r w:rsidRPr="00E66160">
        <w:rPr>
          <w:rFonts w:eastAsia="楷体"/>
          <w:lang w:val="en-CA"/>
        </w:rPr>
        <w:t>豪赫蒂夫</w:t>
      </w:r>
      <w:r w:rsidRPr="00990F87">
        <w:rPr>
          <w:rFonts w:eastAsia="楷体"/>
          <w:lang w:val="en-CA"/>
        </w:rPr>
        <w:t>案</w:t>
      </w:r>
      <w:r w:rsidRPr="00E66160">
        <w:t>，第</w:t>
      </w:r>
      <w:r w:rsidRPr="00E66160">
        <w:rPr>
          <w:lang w:val="en-CA"/>
        </w:rPr>
        <w:t>107-111</w:t>
      </w:r>
      <w:r w:rsidRPr="00E66160">
        <w:rPr>
          <w:lang w:val="en-CA"/>
        </w:rPr>
        <w:t>段</w:t>
      </w:r>
      <w:r w:rsidRPr="00E66160">
        <w:rPr>
          <w:lang w:val="en-CA"/>
        </w:rPr>
        <w:t>(</w:t>
      </w:r>
      <w:r w:rsidRPr="00E66160">
        <w:rPr>
          <w:lang w:val="en-CA"/>
        </w:rPr>
        <w:t>多数意见</w:t>
      </w:r>
      <w:r w:rsidRPr="00E66160">
        <w:rPr>
          <w:lang w:val="en-CA"/>
        </w:rPr>
        <w:t>)</w:t>
      </w:r>
      <w:r w:rsidRPr="00E66160">
        <w:rPr>
          <w:lang w:val="en-CA"/>
        </w:rPr>
        <w:t>。</w:t>
      </w:r>
    </w:p>
  </w:footnote>
  <w:footnote w:id="602">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rFonts w:eastAsia="楷体"/>
          <w:lang w:val="en-CA"/>
        </w:rPr>
        <w:t>ICS</w:t>
      </w:r>
      <w:r w:rsidRPr="00E66160">
        <w:rPr>
          <w:rFonts w:eastAsia="楷体"/>
          <w:lang w:val="en-CA"/>
        </w:rPr>
        <w:t>诉阿根廷案</w:t>
      </w:r>
      <w:r w:rsidRPr="00E66160">
        <w:rPr>
          <w:lang w:val="en-CA"/>
        </w:rPr>
        <w:t>，第</w:t>
      </w:r>
      <w:r w:rsidRPr="00E66160">
        <w:rPr>
          <w:lang w:val="en-CA"/>
        </w:rPr>
        <w:t>296</w:t>
      </w:r>
      <w:r w:rsidRPr="00E66160">
        <w:rPr>
          <w:lang w:val="en-CA"/>
        </w:rPr>
        <w:t>段，第</w:t>
      </w:r>
      <w:r w:rsidRPr="00E66160">
        <w:rPr>
          <w:lang w:val="en-CA"/>
        </w:rPr>
        <w:t>305-308</w:t>
      </w:r>
      <w:r w:rsidRPr="00E66160">
        <w:rPr>
          <w:lang w:val="en-CA"/>
        </w:rPr>
        <w:t>段；</w:t>
      </w:r>
      <w:r w:rsidRPr="00E66160">
        <w:rPr>
          <w:rFonts w:eastAsia="楷体"/>
          <w:lang w:val="en-CA"/>
        </w:rPr>
        <w:t>戴姆勒案</w:t>
      </w:r>
      <w:r w:rsidRPr="00E66160">
        <w:rPr>
          <w:lang w:val="en-CA"/>
        </w:rPr>
        <w:t>，第</w:t>
      </w:r>
      <w:r w:rsidRPr="00E66160">
        <w:rPr>
          <w:lang w:val="en-CA"/>
        </w:rPr>
        <w:t>225-231</w:t>
      </w:r>
      <w:r w:rsidRPr="00E66160">
        <w:rPr>
          <w:lang w:val="en-CA"/>
        </w:rPr>
        <w:t>段，第</w:t>
      </w:r>
      <w:r w:rsidRPr="00E66160">
        <w:rPr>
          <w:lang w:val="en-CA"/>
        </w:rPr>
        <w:t>236</w:t>
      </w:r>
      <w:r w:rsidRPr="00E66160">
        <w:rPr>
          <w:lang w:val="en-CA"/>
        </w:rPr>
        <w:t>段</w:t>
      </w:r>
      <w:r w:rsidRPr="00E66160">
        <w:rPr>
          <w:lang w:val="en-CA"/>
        </w:rPr>
        <w:t>(</w:t>
      </w:r>
      <w:r w:rsidRPr="00E66160">
        <w:rPr>
          <w:lang w:val="en-CA"/>
        </w:rPr>
        <w:t>多数意见</w:t>
      </w:r>
      <w:r w:rsidRPr="00E66160">
        <w:rPr>
          <w:lang w:val="en-CA"/>
        </w:rPr>
        <w:t>)</w:t>
      </w:r>
      <w:r w:rsidRPr="00E66160">
        <w:rPr>
          <w:lang w:val="en-CA"/>
        </w:rPr>
        <w:t>。</w:t>
      </w:r>
    </w:p>
  </w:footnote>
  <w:footnote w:id="603">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lang w:val="en-CA"/>
        </w:rPr>
        <w:tab/>
      </w:r>
      <w:r w:rsidRPr="00E66160">
        <w:rPr>
          <w:spacing w:val="-6"/>
          <w:lang w:val="en-CA"/>
        </w:rPr>
        <w:t>《中美洲自由贸易协定草案》</w:t>
      </w:r>
      <w:r w:rsidRPr="00E66160">
        <w:rPr>
          <w:spacing w:val="-5"/>
          <w:lang w:val="en-CA"/>
        </w:rPr>
        <w:t>(2004</w:t>
      </w:r>
      <w:r w:rsidRPr="00E66160">
        <w:rPr>
          <w:spacing w:val="-5"/>
          <w:lang w:val="en-CA"/>
        </w:rPr>
        <w:t>年</w:t>
      </w:r>
      <w:r w:rsidRPr="00E66160">
        <w:rPr>
          <w:spacing w:val="-5"/>
          <w:lang w:val="en-CA"/>
        </w:rPr>
        <w:t>1</w:t>
      </w:r>
      <w:r w:rsidRPr="00E66160">
        <w:rPr>
          <w:spacing w:val="-5"/>
          <w:lang w:val="en-CA"/>
        </w:rPr>
        <w:t>月</w:t>
      </w:r>
      <w:r w:rsidRPr="00E66160">
        <w:rPr>
          <w:spacing w:val="-5"/>
          <w:lang w:val="en-CA"/>
        </w:rPr>
        <w:t>28</w:t>
      </w:r>
      <w:r w:rsidRPr="00E66160">
        <w:rPr>
          <w:spacing w:val="-5"/>
          <w:lang w:val="en-CA"/>
        </w:rPr>
        <w:t>日</w:t>
      </w:r>
      <w:r w:rsidRPr="00E66160">
        <w:rPr>
          <w:spacing w:val="-5"/>
          <w:lang w:val="en-CA"/>
        </w:rPr>
        <w:t>)</w:t>
      </w:r>
      <w:r w:rsidRPr="00E66160">
        <w:rPr>
          <w:spacing w:val="-5"/>
          <w:lang w:val="en-CA"/>
        </w:rPr>
        <w:t>，可查阅</w:t>
      </w:r>
      <w:r w:rsidRPr="00E66160">
        <w:rPr>
          <w:lang w:val="en-CA"/>
        </w:rPr>
        <w:t>&lt;http://www.sice.oas.org/TPD/ USA_CAFTA/Jan28draft/CAFTAind_e.asp&gt;</w:t>
      </w:r>
      <w:r w:rsidRPr="00E66160">
        <w:rPr>
          <w:lang w:val="en-CA"/>
        </w:rPr>
        <w:t>。</w:t>
      </w:r>
    </w:p>
  </w:footnote>
  <w:footnote w:id="604">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rPr>
      </w:pPr>
      <w:r w:rsidRPr="00E66160">
        <w:rPr>
          <w:lang w:val="en-CA"/>
        </w:rPr>
        <w:tab/>
      </w:r>
      <w:r w:rsidRPr="00E66160">
        <w:rPr>
          <w:rStyle w:val="a3"/>
        </w:rPr>
        <w:footnoteRef/>
      </w:r>
      <w:r w:rsidRPr="00E66160">
        <w:rPr>
          <w:rStyle w:val="a3"/>
        </w:rPr>
        <w:tab/>
      </w:r>
      <w:r w:rsidRPr="00E66160">
        <w:rPr>
          <w:spacing w:val="-2"/>
          <w:lang w:val="en-CA"/>
        </w:rPr>
        <w:t>《哥伦比亚共和国与瑞士联邦关于促进和相互保护投资的协定》，</w:t>
      </w:r>
      <w:r w:rsidRPr="00E66160">
        <w:rPr>
          <w:lang w:val="en-CA"/>
        </w:rPr>
        <w:t>2006</w:t>
      </w:r>
      <w:r w:rsidRPr="00E66160">
        <w:rPr>
          <w:lang w:val="en-CA"/>
        </w:rPr>
        <w:t>年</w:t>
      </w:r>
      <w:r w:rsidRPr="00E66160">
        <w:rPr>
          <w:lang w:val="en-CA"/>
        </w:rPr>
        <w:t>5</w:t>
      </w:r>
      <w:r w:rsidRPr="00E66160">
        <w:rPr>
          <w:lang w:val="en-CA"/>
        </w:rPr>
        <w:t>月</w:t>
      </w:r>
      <w:r w:rsidRPr="00E66160">
        <w:rPr>
          <w:lang w:val="en-CA"/>
        </w:rPr>
        <w:t>17</w:t>
      </w:r>
      <w:r w:rsidRPr="00E66160">
        <w:rPr>
          <w:lang w:val="en-CA"/>
        </w:rPr>
        <w:t>日在伯尔尼签署，可查阅</w:t>
      </w:r>
      <w:r w:rsidRPr="00E66160">
        <w:rPr>
          <w:lang w:val="en-CA"/>
        </w:rPr>
        <w:t>&lt;http://investmentpolicyhub.unctad.org/IIA/country/45/treaty/1008&gt;</w:t>
      </w:r>
      <w:r w:rsidRPr="00E66160">
        <w:rPr>
          <w:lang w:val="en-CA"/>
        </w:rPr>
        <w:t>。</w:t>
      </w:r>
    </w:p>
  </w:footnote>
  <w:footnote w:id="605">
    <w:p w:rsidR="00F60D83" w:rsidRPr="00E66160" w:rsidRDefault="00F60D83" w:rsidP="00F91618">
      <w:pPr>
        <w:pStyle w:val="a5"/>
        <w:tabs>
          <w:tab w:val="clear" w:pos="418"/>
          <w:tab w:val="right" w:pos="1195"/>
          <w:tab w:val="left" w:pos="1264"/>
          <w:tab w:val="left" w:pos="1695"/>
          <w:tab w:val="left" w:pos="2126"/>
          <w:tab w:val="left" w:pos="2557"/>
        </w:tabs>
        <w:ind w:left="1264" w:right="1264" w:hanging="432"/>
        <w:rPr>
          <w:lang w:val="en-CA" w:eastAsia="en-CA"/>
        </w:rPr>
      </w:pPr>
      <w:r w:rsidRPr="00E66160">
        <w:rPr>
          <w:lang w:val="en-CA"/>
        </w:rPr>
        <w:tab/>
      </w:r>
      <w:r w:rsidRPr="00E66160">
        <w:rPr>
          <w:rStyle w:val="a3"/>
        </w:rPr>
        <w:footnoteRef/>
      </w:r>
      <w:r w:rsidRPr="00E66160">
        <w:rPr>
          <w:lang w:val="en-CA"/>
        </w:rPr>
        <w:tab/>
      </w:r>
      <w:r w:rsidRPr="00E66160">
        <w:rPr>
          <w:lang w:val="en-CA"/>
        </w:rPr>
        <w:t>《日本与墨西哥合众国关于加强经济伙伴关系的协定》，</w:t>
      </w:r>
      <w:r w:rsidRPr="00E66160">
        <w:rPr>
          <w:lang w:val="en-CA"/>
        </w:rPr>
        <w:t>2004</w:t>
      </w:r>
      <w:r w:rsidRPr="00E66160">
        <w:rPr>
          <w:lang w:val="en-CA"/>
        </w:rPr>
        <w:t>年</w:t>
      </w:r>
      <w:r w:rsidRPr="00E66160">
        <w:rPr>
          <w:lang w:val="en-CA"/>
        </w:rPr>
        <w:t>9</w:t>
      </w:r>
      <w:r w:rsidRPr="00E66160">
        <w:rPr>
          <w:lang w:val="en-CA"/>
        </w:rPr>
        <w:t>月</w:t>
      </w:r>
      <w:r w:rsidRPr="00E66160">
        <w:rPr>
          <w:lang w:val="en-CA"/>
        </w:rPr>
        <w:t>17</w:t>
      </w:r>
      <w:r w:rsidRPr="00E66160">
        <w:rPr>
          <w:lang w:val="en-CA"/>
        </w:rPr>
        <w:t>日在墨西哥城签署，可查阅</w:t>
      </w:r>
      <w:r w:rsidRPr="00E66160">
        <w:rPr>
          <w:lang w:val="en-CA"/>
        </w:rPr>
        <w:t>&lt;</w:t>
      </w:r>
      <w:hyperlink r:id="rId2" w:history="1">
        <w:r w:rsidRPr="00E66160">
          <w:rPr>
            <w:lang w:val="en-CA"/>
          </w:rPr>
          <w:t>http://www.sice.oas.org/Trade/MEX_JPN_e/agreement.pdf</w:t>
        </w:r>
      </w:hyperlink>
      <w:r w:rsidRPr="00E66160">
        <w:rPr>
          <w:lang w:val="en-CA"/>
        </w:rPr>
        <w:t>&gt;</w:t>
      </w:r>
      <w:r w:rsidRPr="00E66160">
        <w:rPr>
          <w:lang w:val="en-CA"/>
        </w:rPr>
        <w:t>；联合王国没有更改双边投资协定范本，其中将最惠国条款适用于争端解决。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10008"/>
    </w:tblGrid>
    <w:tr w:rsidR="00F60D83" w:rsidRPr="003531A9" w:rsidTr="003531A9">
      <w:trPr>
        <w:trHeight w:hRule="exact" w:val="1008"/>
        <w:jc w:val="center"/>
      </w:trPr>
      <w:tc>
        <w:tcPr>
          <w:tcW w:w="10008" w:type="dxa"/>
          <w:shd w:val="clear" w:color="auto" w:fill="auto"/>
          <w:vAlign w:val="bottom"/>
        </w:tcPr>
        <w:p w:rsidR="00F60D83" w:rsidRPr="003531A9" w:rsidRDefault="00F60D83" w:rsidP="003531A9">
          <w:pPr>
            <w:pStyle w:val="ab"/>
            <w:spacing w:after="80"/>
            <w:jc w:val="left"/>
            <w:rPr>
              <w:b/>
              <w:sz w:val="17"/>
            </w:rPr>
          </w:pPr>
        </w:p>
      </w:tc>
    </w:tr>
  </w:tbl>
  <w:p w:rsidR="00F60D83" w:rsidRDefault="00F60D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10253"/>
    </w:tblGrid>
    <w:tr w:rsidR="00F60D83" w:rsidRPr="003531A9" w:rsidTr="003531A9">
      <w:trPr>
        <w:trHeight w:hRule="exact" w:val="1008"/>
        <w:jc w:val="center"/>
      </w:trPr>
      <w:tc>
        <w:tcPr>
          <w:tcW w:w="10253" w:type="dxa"/>
          <w:shd w:val="clear" w:color="auto" w:fill="auto"/>
          <w:vAlign w:val="bottom"/>
        </w:tcPr>
        <w:p w:rsidR="00F60D83" w:rsidRPr="003531A9" w:rsidRDefault="00F60D83" w:rsidP="003531A9">
          <w:pPr>
            <w:pStyle w:val="ab"/>
            <w:spacing w:after="80"/>
            <w:jc w:val="right"/>
            <w:rPr>
              <w:b/>
              <w:sz w:val="17"/>
            </w:rPr>
          </w:pPr>
        </w:p>
      </w:tc>
    </w:tr>
  </w:tbl>
  <w:p w:rsidR="00F60D83" w:rsidRDefault="00F60D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60D83" w:rsidTr="003531A9">
      <w:trPr>
        <w:trHeight w:hRule="exact" w:val="864"/>
        <w:jc w:val="center"/>
      </w:trPr>
      <w:tc>
        <w:tcPr>
          <w:tcW w:w="4882" w:type="dxa"/>
          <w:shd w:val="clear" w:color="auto" w:fill="auto"/>
          <w:vAlign w:val="bottom"/>
        </w:tcPr>
        <w:p w:rsidR="00F60D83" w:rsidRPr="003531A9" w:rsidRDefault="00F60D83" w:rsidP="003531A9">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2B026F">
            <w:rPr>
              <w:b/>
              <w:sz w:val="17"/>
            </w:rPr>
            <w:t>A/70/10</w:t>
          </w:r>
          <w:r>
            <w:rPr>
              <w:b/>
              <w:sz w:val="17"/>
            </w:rPr>
            <w:fldChar w:fldCharType="end"/>
          </w:r>
        </w:p>
      </w:tc>
      <w:tc>
        <w:tcPr>
          <w:tcW w:w="5127" w:type="dxa"/>
          <w:shd w:val="clear" w:color="auto" w:fill="auto"/>
          <w:vAlign w:val="bottom"/>
        </w:tcPr>
        <w:p w:rsidR="00F60D83" w:rsidRDefault="00F60D83" w:rsidP="003531A9">
          <w:pPr>
            <w:pStyle w:val="ab"/>
          </w:pPr>
        </w:p>
      </w:tc>
    </w:tr>
  </w:tbl>
  <w:p w:rsidR="00F60D83" w:rsidRPr="003531A9" w:rsidRDefault="00F60D83" w:rsidP="003531A9">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60D83" w:rsidTr="003531A9">
      <w:trPr>
        <w:trHeight w:hRule="exact" w:val="864"/>
        <w:jc w:val="center"/>
      </w:trPr>
      <w:tc>
        <w:tcPr>
          <w:tcW w:w="4882" w:type="dxa"/>
          <w:shd w:val="clear" w:color="auto" w:fill="auto"/>
          <w:vAlign w:val="bottom"/>
        </w:tcPr>
        <w:p w:rsidR="00F60D83" w:rsidRDefault="00F60D83" w:rsidP="003531A9">
          <w:pPr>
            <w:pStyle w:val="ab"/>
          </w:pPr>
        </w:p>
      </w:tc>
      <w:tc>
        <w:tcPr>
          <w:tcW w:w="5127" w:type="dxa"/>
          <w:shd w:val="clear" w:color="auto" w:fill="auto"/>
          <w:vAlign w:val="bottom"/>
        </w:tcPr>
        <w:p w:rsidR="00F60D83" w:rsidRPr="003531A9" w:rsidRDefault="00F60D83" w:rsidP="003531A9">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2B026F">
            <w:rPr>
              <w:b/>
              <w:sz w:val="17"/>
            </w:rPr>
            <w:t>A/70/10</w:t>
          </w:r>
          <w:r>
            <w:rPr>
              <w:b/>
              <w:sz w:val="17"/>
            </w:rPr>
            <w:fldChar w:fldCharType="end"/>
          </w:r>
        </w:p>
      </w:tc>
    </w:tr>
  </w:tbl>
  <w:p w:rsidR="00F60D83" w:rsidRPr="003531A9" w:rsidRDefault="00F60D83" w:rsidP="003531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A09714E"/>
    <w:multiLevelType w:val="hybridMultilevel"/>
    <w:tmpl w:val="114255EC"/>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3">
    <w:nsid w:val="26F249AF"/>
    <w:multiLevelType w:val="multilevel"/>
    <w:tmpl w:val="2CF6609A"/>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chineseCountingThousand"/>
      <w:lvlText w:val="(%5)"/>
      <w:lvlJc w:val="left"/>
      <w:pPr>
        <w:tabs>
          <w:tab w:val="num" w:pos="3024"/>
        </w:tabs>
        <w:ind w:left="3024" w:hanging="432"/>
      </w:pPr>
      <w:rPr>
        <w:rFonts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5">
    <w:nsid w:val="2FC543B0"/>
    <w:multiLevelType w:val="hybridMultilevel"/>
    <w:tmpl w:val="FFA8571E"/>
    <w:lvl w:ilvl="0" w:tplc="1916A54E">
      <w:start w:val="1"/>
      <w:numFmt w:val="lowerLetter"/>
      <w:lvlText w:val="(%1)"/>
      <w:lvlJc w:val="left"/>
      <w:pPr>
        <w:ind w:left="1684" w:hanging="420"/>
      </w:p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45A80559"/>
    <w:multiLevelType w:val="multilevel"/>
    <w:tmpl w:val="2CF6609A"/>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chineseCountingThousand"/>
      <w:lvlText w:val="(%5)"/>
      <w:lvlJc w:val="left"/>
      <w:pPr>
        <w:tabs>
          <w:tab w:val="num" w:pos="3024"/>
        </w:tabs>
        <w:ind w:left="3024" w:hanging="432"/>
      </w:pPr>
      <w:rPr>
        <w:rFonts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4AFC5B59"/>
    <w:multiLevelType w:val="multilevel"/>
    <w:tmpl w:val="3E34A21E"/>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chineseCountingThousand"/>
      <w:lvlText w:val="(%5)"/>
      <w:lvlJc w:val="left"/>
      <w:pPr>
        <w:tabs>
          <w:tab w:val="num" w:pos="3024"/>
        </w:tabs>
        <w:ind w:left="3024" w:hanging="432"/>
      </w:pPr>
      <w:rPr>
        <w:rFonts w:hint="eastAsia"/>
        <w:color w:val="auto"/>
      </w:rPr>
    </w:lvl>
    <w:lvl w:ilvl="5">
      <w:start w:val="1"/>
      <w:numFmt w:val="decimal"/>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6"/>
  </w:num>
  <w:num w:numId="4">
    <w:abstractNumId w:val="0"/>
  </w:num>
  <w:num w:numId="5">
    <w:abstractNumId w:val="9"/>
  </w:num>
  <w:num w:numId="6">
    <w:abstractNumId w:val="1"/>
  </w:num>
  <w:num w:numId="7">
    <w:abstractNumId w:val="4"/>
  </w:num>
  <w:num w:numId="8">
    <w:abstractNumId w:val="8"/>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2529"/>
  </w:hdrShapeDefaults>
  <w:footnotePr>
    <w:numRestart w:val="eachSect"/>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770*"/>
    <w:docVar w:name="CreationDt" w:val="07/09/2015 16:04:37"/>
    <w:docVar w:name="DocCategory" w:val="Supplements"/>
    <w:docVar w:name="DocType" w:val="Final"/>
    <w:docVar w:name="DutyStation" w:val="Geneva"/>
    <w:docVar w:name="FooterJN" w:val="GE.15-13770 (C)"/>
    <w:docVar w:name="jobn" w:val="GE.15-13770 (C)"/>
    <w:docVar w:name="jobnDT" w:val="15-13770 (C)   070915"/>
    <w:docVar w:name="jobnDTDT" w:val="15-13770 (C)   070915   070915"/>
    <w:docVar w:name="JobNo" w:val="GE.1513770C"/>
    <w:docVar w:name="LocalDrive" w:val="0"/>
    <w:docVar w:name="OandT" w:val="mlu"/>
    <w:docVar w:name="PaperSize" w:val="A4"/>
    <w:docVar w:name="sss1" w:val="A/70/10"/>
    <w:docVar w:name="sss2" w:val="-"/>
    <w:docVar w:name="Symbol1" w:val="A/70/10"/>
    <w:docVar w:name="Symbol2" w:val="-"/>
  </w:docVars>
  <w:rsids>
    <w:rsidRoot w:val="00CD4265"/>
    <w:rsid w:val="00000689"/>
    <w:rsid w:val="0000347C"/>
    <w:rsid w:val="0000715A"/>
    <w:rsid w:val="000101C8"/>
    <w:rsid w:val="000125BC"/>
    <w:rsid w:val="000138E0"/>
    <w:rsid w:val="0001645E"/>
    <w:rsid w:val="00016C8A"/>
    <w:rsid w:val="0001726F"/>
    <w:rsid w:val="00021314"/>
    <w:rsid w:val="00021A2B"/>
    <w:rsid w:val="00024E72"/>
    <w:rsid w:val="00034465"/>
    <w:rsid w:val="000344BB"/>
    <w:rsid w:val="000366AA"/>
    <w:rsid w:val="0003678F"/>
    <w:rsid w:val="00036AA2"/>
    <w:rsid w:val="00036F1B"/>
    <w:rsid w:val="00037444"/>
    <w:rsid w:val="00037B39"/>
    <w:rsid w:val="000402B4"/>
    <w:rsid w:val="00044196"/>
    <w:rsid w:val="00044BB2"/>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8A5"/>
    <w:rsid w:val="00083CAB"/>
    <w:rsid w:val="00084D46"/>
    <w:rsid w:val="000863AD"/>
    <w:rsid w:val="00095C67"/>
    <w:rsid w:val="000A31F9"/>
    <w:rsid w:val="000A5D85"/>
    <w:rsid w:val="000B239E"/>
    <w:rsid w:val="000C1786"/>
    <w:rsid w:val="000C4C08"/>
    <w:rsid w:val="000C4DDE"/>
    <w:rsid w:val="000C5208"/>
    <w:rsid w:val="000D00CE"/>
    <w:rsid w:val="000D32BA"/>
    <w:rsid w:val="000E240F"/>
    <w:rsid w:val="000E49A4"/>
    <w:rsid w:val="000E7875"/>
    <w:rsid w:val="000F1058"/>
    <w:rsid w:val="000F55DC"/>
    <w:rsid w:val="000F7D03"/>
    <w:rsid w:val="00101C4E"/>
    <w:rsid w:val="00101D5B"/>
    <w:rsid w:val="00101F86"/>
    <w:rsid w:val="001113F8"/>
    <w:rsid w:val="00114578"/>
    <w:rsid w:val="00114C03"/>
    <w:rsid w:val="00114F57"/>
    <w:rsid w:val="00120041"/>
    <w:rsid w:val="001212F9"/>
    <w:rsid w:val="00121328"/>
    <w:rsid w:val="00122297"/>
    <w:rsid w:val="00124677"/>
    <w:rsid w:val="001267BE"/>
    <w:rsid w:val="0012708E"/>
    <w:rsid w:val="00130EE5"/>
    <w:rsid w:val="00131015"/>
    <w:rsid w:val="001329F7"/>
    <w:rsid w:val="00132FFE"/>
    <w:rsid w:val="00135334"/>
    <w:rsid w:val="001354B7"/>
    <w:rsid w:val="00140396"/>
    <w:rsid w:val="0014121B"/>
    <w:rsid w:val="00141322"/>
    <w:rsid w:val="00142E6B"/>
    <w:rsid w:val="0015066B"/>
    <w:rsid w:val="00150D3A"/>
    <w:rsid w:val="00151E34"/>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13E8"/>
    <w:rsid w:val="001F24BA"/>
    <w:rsid w:val="001F2F76"/>
    <w:rsid w:val="001F4913"/>
    <w:rsid w:val="001F595B"/>
    <w:rsid w:val="001F6F25"/>
    <w:rsid w:val="00203760"/>
    <w:rsid w:val="00207135"/>
    <w:rsid w:val="00212008"/>
    <w:rsid w:val="002145EA"/>
    <w:rsid w:val="002200D0"/>
    <w:rsid w:val="00221884"/>
    <w:rsid w:val="0022603B"/>
    <w:rsid w:val="00230FAB"/>
    <w:rsid w:val="00231575"/>
    <w:rsid w:val="00232F4A"/>
    <w:rsid w:val="0024013B"/>
    <w:rsid w:val="00241DB7"/>
    <w:rsid w:val="002423D2"/>
    <w:rsid w:val="00245212"/>
    <w:rsid w:val="00247382"/>
    <w:rsid w:val="00251744"/>
    <w:rsid w:val="00252E35"/>
    <w:rsid w:val="00254858"/>
    <w:rsid w:val="00254B46"/>
    <w:rsid w:val="00255FC4"/>
    <w:rsid w:val="00256847"/>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18E7"/>
    <w:rsid w:val="002A4AEF"/>
    <w:rsid w:val="002A5E53"/>
    <w:rsid w:val="002B026F"/>
    <w:rsid w:val="002B305F"/>
    <w:rsid w:val="002B3BAB"/>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132F"/>
    <w:rsid w:val="002E66D5"/>
    <w:rsid w:val="002F0378"/>
    <w:rsid w:val="002F41E2"/>
    <w:rsid w:val="002F746E"/>
    <w:rsid w:val="00301C97"/>
    <w:rsid w:val="003063F6"/>
    <w:rsid w:val="00320C99"/>
    <w:rsid w:val="00325197"/>
    <w:rsid w:val="003274A9"/>
    <w:rsid w:val="003305F1"/>
    <w:rsid w:val="00331221"/>
    <w:rsid w:val="0034089F"/>
    <w:rsid w:val="00346223"/>
    <w:rsid w:val="0034676B"/>
    <w:rsid w:val="00346C74"/>
    <w:rsid w:val="00350AE6"/>
    <w:rsid w:val="003531A9"/>
    <w:rsid w:val="00355510"/>
    <w:rsid w:val="00363610"/>
    <w:rsid w:val="003649EE"/>
    <w:rsid w:val="00366F7A"/>
    <w:rsid w:val="00371BC6"/>
    <w:rsid w:val="00373A15"/>
    <w:rsid w:val="00376C04"/>
    <w:rsid w:val="00383ACA"/>
    <w:rsid w:val="00384CB1"/>
    <w:rsid w:val="003869FA"/>
    <w:rsid w:val="00390041"/>
    <w:rsid w:val="00394A02"/>
    <w:rsid w:val="003966E8"/>
    <w:rsid w:val="003A1C26"/>
    <w:rsid w:val="003A7B88"/>
    <w:rsid w:val="003B6807"/>
    <w:rsid w:val="003C448D"/>
    <w:rsid w:val="003C7B20"/>
    <w:rsid w:val="003D075F"/>
    <w:rsid w:val="003D1CFA"/>
    <w:rsid w:val="003D5B4D"/>
    <w:rsid w:val="003E0696"/>
    <w:rsid w:val="003E2764"/>
    <w:rsid w:val="003E4565"/>
    <w:rsid w:val="003E5999"/>
    <w:rsid w:val="003E748F"/>
    <w:rsid w:val="003E7612"/>
    <w:rsid w:val="003F1277"/>
    <w:rsid w:val="003F4BD2"/>
    <w:rsid w:val="003F7BF8"/>
    <w:rsid w:val="004044EF"/>
    <w:rsid w:val="00412BAA"/>
    <w:rsid w:val="00413FBC"/>
    <w:rsid w:val="00414423"/>
    <w:rsid w:val="0041733F"/>
    <w:rsid w:val="00420761"/>
    <w:rsid w:val="00433853"/>
    <w:rsid w:val="00440B0D"/>
    <w:rsid w:val="004411AD"/>
    <w:rsid w:val="004424EF"/>
    <w:rsid w:val="0044421A"/>
    <w:rsid w:val="00452B11"/>
    <w:rsid w:val="00453BB0"/>
    <w:rsid w:val="00454ED4"/>
    <w:rsid w:val="00460162"/>
    <w:rsid w:val="004620A8"/>
    <w:rsid w:val="0046458E"/>
    <w:rsid w:val="0046589A"/>
    <w:rsid w:val="00466BB5"/>
    <w:rsid w:val="004700CF"/>
    <w:rsid w:val="00474C34"/>
    <w:rsid w:val="004821D0"/>
    <w:rsid w:val="00483BDA"/>
    <w:rsid w:val="00487444"/>
    <w:rsid w:val="004923ED"/>
    <w:rsid w:val="004925F0"/>
    <w:rsid w:val="004937FB"/>
    <w:rsid w:val="00493C9C"/>
    <w:rsid w:val="004955C1"/>
    <w:rsid w:val="00495C7E"/>
    <w:rsid w:val="00496316"/>
    <w:rsid w:val="0049799B"/>
    <w:rsid w:val="004A06D1"/>
    <w:rsid w:val="004A11FC"/>
    <w:rsid w:val="004A1D1E"/>
    <w:rsid w:val="004B2C67"/>
    <w:rsid w:val="004B4F06"/>
    <w:rsid w:val="004C0224"/>
    <w:rsid w:val="004C053E"/>
    <w:rsid w:val="004C089F"/>
    <w:rsid w:val="004C3255"/>
    <w:rsid w:val="004C3BAA"/>
    <w:rsid w:val="004C461C"/>
    <w:rsid w:val="004D07E1"/>
    <w:rsid w:val="004D1C19"/>
    <w:rsid w:val="004D4D71"/>
    <w:rsid w:val="004D60D1"/>
    <w:rsid w:val="004E4081"/>
    <w:rsid w:val="004E49EA"/>
    <w:rsid w:val="004E739A"/>
    <w:rsid w:val="004F29B8"/>
    <w:rsid w:val="004F3649"/>
    <w:rsid w:val="004F4BBB"/>
    <w:rsid w:val="004F4EFB"/>
    <w:rsid w:val="004F5333"/>
    <w:rsid w:val="004F5E26"/>
    <w:rsid w:val="0050413E"/>
    <w:rsid w:val="005054AA"/>
    <w:rsid w:val="00512841"/>
    <w:rsid w:val="00515657"/>
    <w:rsid w:val="0051592B"/>
    <w:rsid w:val="005200D8"/>
    <w:rsid w:val="00521275"/>
    <w:rsid w:val="0052216F"/>
    <w:rsid w:val="00523247"/>
    <w:rsid w:val="005232CA"/>
    <w:rsid w:val="00523636"/>
    <w:rsid w:val="00530CBB"/>
    <w:rsid w:val="00530FC5"/>
    <w:rsid w:val="0053111B"/>
    <w:rsid w:val="005335B9"/>
    <w:rsid w:val="00536CCE"/>
    <w:rsid w:val="00537F92"/>
    <w:rsid w:val="00542636"/>
    <w:rsid w:val="00545A99"/>
    <w:rsid w:val="00547EC6"/>
    <w:rsid w:val="00552A46"/>
    <w:rsid w:val="00552CE5"/>
    <w:rsid w:val="005541E4"/>
    <w:rsid w:val="00554F60"/>
    <w:rsid w:val="00562B21"/>
    <w:rsid w:val="00562FE7"/>
    <w:rsid w:val="00564EAA"/>
    <w:rsid w:val="0057094A"/>
    <w:rsid w:val="00570BD4"/>
    <w:rsid w:val="00572790"/>
    <w:rsid w:val="00572961"/>
    <w:rsid w:val="0057450D"/>
    <w:rsid w:val="00580721"/>
    <w:rsid w:val="0058302A"/>
    <w:rsid w:val="00583305"/>
    <w:rsid w:val="00585A6B"/>
    <w:rsid w:val="00595C38"/>
    <w:rsid w:val="005A0BD4"/>
    <w:rsid w:val="005A175A"/>
    <w:rsid w:val="005A7200"/>
    <w:rsid w:val="005B04F3"/>
    <w:rsid w:val="005B1476"/>
    <w:rsid w:val="005B1D3C"/>
    <w:rsid w:val="005B3B9A"/>
    <w:rsid w:val="005B4497"/>
    <w:rsid w:val="005B5962"/>
    <w:rsid w:val="005B6C71"/>
    <w:rsid w:val="005B7338"/>
    <w:rsid w:val="005C02AB"/>
    <w:rsid w:val="005C5FC3"/>
    <w:rsid w:val="005D0D2E"/>
    <w:rsid w:val="005D0F04"/>
    <w:rsid w:val="005D2204"/>
    <w:rsid w:val="005D4EF3"/>
    <w:rsid w:val="005D680F"/>
    <w:rsid w:val="005F12F0"/>
    <w:rsid w:val="005F1AAD"/>
    <w:rsid w:val="005F3273"/>
    <w:rsid w:val="005F34A3"/>
    <w:rsid w:val="005F5F2A"/>
    <w:rsid w:val="00601DF9"/>
    <w:rsid w:val="00602C6C"/>
    <w:rsid w:val="006107DE"/>
    <w:rsid w:val="00610CF2"/>
    <w:rsid w:val="00615A9C"/>
    <w:rsid w:val="00617802"/>
    <w:rsid w:val="006328DE"/>
    <w:rsid w:val="00632C9B"/>
    <w:rsid w:val="006353DE"/>
    <w:rsid w:val="00640671"/>
    <w:rsid w:val="006432CB"/>
    <w:rsid w:val="006479F1"/>
    <w:rsid w:val="0065055D"/>
    <w:rsid w:val="00650BEE"/>
    <w:rsid w:val="006520FA"/>
    <w:rsid w:val="0065377D"/>
    <w:rsid w:val="006578DB"/>
    <w:rsid w:val="00661120"/>
    <w:rsid w:val="00666F57"/>
    <w:rsid w:val="006740A7"/>
    <w:rsid w:val="006767D5"/>
    <w:rsid w:val="00691524"/>
    <w:rsid w:val="006926DF"/>
    <w:rsid w:val="006A2730"/>
    <w:rsid w:val="006A5CFB"/>
    <w:rsid w:val="006A654B"/>
    <w:rsid w:val="006B769C"/>
    <w:rsid w:val="006C4BB3"/>
    <w:rsid w:val="006C74BB"/>
    <w:rsid w:val="006D4068"/>
    <w:rsid w:val="006E2924"/>
    <w:rsid w:val="006E7A26"/>
    <w:rsid w:val="006F04EF"/>
    <w:rsid w:val="006F2B3D"/>
    <w:rsid w:val="006F6A4F"/>
    <w:rsid w:val="006F761A"/>
    <w:rsid w:val="006F7749"/>
    <w:rsid w:val="007016DF"/>
    <w:rsid w:val="007038D4"/>
    <w:rsid w:val="00704287"/>
    <w:rsid w:val="007052CC"/>
    <w:rsid w:val="007159E8"/>
    <w:rsid w:val="00715C4B"/>
    <w:rsid w:val="00717C69"/>
    <w:rsid w:val="00722965"/>
    <w:rsid w:val="00724400"/>
    <w:rsid w:val="007319E0"/>
    <w:rsid w:val="00731FBF"/>
    <w:rsid w:val="007328A2"/>
    <w:rsid w:val="00732A10"/>
    <w:rsid w:val="007345AA"/>
    <w:rsid w:val="00735C21"/>
    <w:rsid w:val="00737B00"/>
    <w:rsid w:val="007423CF"/>
    <w:rsid w:val="00747DB4"/>
    <w:rsid w:val="00750D7D"/>
    <w:rsid w:val="0075155C"/>
    <w:rsid w:val="00753A05"/>
    <w:rsid w:val="0075586B"/>
    <w:rsid w:val="00757193"/>
    <w:rsid w:val="007606E1"/>
    <w:rsid w:val="00761190"/>
    <w:rsid w:val="00766FD7"/>
    <w:rsid w:val="00770BE9"/>
    <w:rsid w:val="00774DE5"/>
    <w:rsid w:val="00776537"/>
    <w:rsid w:val="00780C90"/>
    <w:rsid w:val="00783A25"/>
    <w:rsid w:val="007843DB"/>
    <w:rsid w:val="00786309"/>
    <w:rsid w:val="007877F4"/>
    <w:rsid w:val="007973D6"/>
    <w:rsid w:val="007B2492"/>
    <w:rsid w:val="007B394B"/>
    <w:rsid w:val="007B3C23"/>
    <w:rsid w:val="007B6BAE"/>
    <w:rsid w:val="007C10AC"/>
    <w:rsid w:val="007C3A88"/>
    <w:rsid w:val="007C5623"/>
    <w:rsid w:val="007C6FC5"/>
    <w:rsid w:val="007C74B9"/>
    <w:rsid w:val="007D3DC8"/>
    <w:rsid w:val="007D441A"/>
    <w:rsid w:val="007D518C"/>
    <w:rsid w:val="007E0D70"/>
    <w:rsid w:val="007E1B5E"/>
    <w:rsid w:val="007E6253"/>
    <w:rsid w:val="007F2278"/>
    <w:rsid w:val="007F7F09"/>
    <w:rsid w:val="008006AB"/>
    <w:rsid w:val="00803014"/>
    <w:rsid w:val="00805783"/>
    <w:rsid w:val="00806CEF"/>
    <w:rsid w:val="00806F57"/>
    <w:rsid w:val="00806F90"/>
    <w:rsid w:val="00814156"/>
    <w:rsid w:val="00815AB6"/>
    <w:rsid w:val="00823252"/>
    <w:rsid w:val="008246FC"/>
    <w:rsid w:val="00824C19"/>
    <w:rsid w:val="00826250"/>
    <w:rsid w:val="0083056F"/>
    <w:rsid w:val="008343E5"/>
    <w:rsid w:val="008378D1"/>
    <w:rsid w:val="00843C13"/>
    <w:rsid w:val="00846462"/>
    <w:rsid w:val="00847383"/>
    <w:rsid w:val="00850C48"/>
    <w:rsid w:val="00860742"/>
    <w:rsid w:val="00862B69"/>
    <w:rsid w:val="0086691F"/>
    <w:rsid w:val="00872730"/>
    <w:rsid w:val="00883DB0"/>
    <w:rsid w:val="008843BC"/>
    <w:rsid w:val="00884C8F"/>
    <w:rsid w:val="00886950"/>
    <w:rsid w:val="00890C69"/>
    <w:rsid w:val="008927AD"/>
    <w:rsid w:val="00893A33"/>
    <w:rsid w:val="00896D38"/>
    <w:rsid w:val="008A0216"/>
    <w:rsid w:val="008A0650"/>
    <w:rsid w:val="008A1208"/>
    <w:rsid w:val="008A5DBC"/>
    <w:rsid w:val="008B0240"/>
    <w:rsid w:val="008B0349"/>
    <w:rsid w:val="008B1481"/>
    <w:rsid w:val="008B5DE8"/>
    <w:rsid w:val="008B6642"/>
    <w:rsid w:val="008C076B"/>
    <w:rsid w:val="008C3296"/>
    <w:rsid w:val="008C3413"/>
    <w:rsid w:val="008D1193"/>
    <w:rsid w:val="008D60CD"/>
    <w:rsid w:val="008D6C74"/>
    <w:rsid w:val="008E2913"/>
    <w:rsid w:val="008E2C22"/>
    <w:rsid w:val="008E2D03"/>
    <w:rsid w:val="008E4092"/>
    <w:rsid w:val="008E725F"/>
    <w:rsid w:val="008E7BDF"/>
    <w:rsid w:val="008F2BB5"/>
    <w:rsid w:val="008F425D"/>
    <w:rsid w:val="008F43E4"/>
    <w:rsid w:val="008F5472"/>
    <w:rsid w:val="008F5D0F"/>
    <w:rsid w:val="00907874"/>
    <w:rsid w:val="009122E0"/>
    <w:rsid w:val="00913351"/>
    <w:rsid w:val="009248ED"/>
    <w:rsid w:val="0092558D"/>
    <w:rsid w:val="009264B1"/>
    <w:rsid w:val="00946C87"/>
    <w:rsid w:val="00955333"/>
    <w:rsid w:val="00957134"/>
    <w:rsid w:val="0096193C"/>
    <w:rsid w:val="00976122"/>
    <w:rsid w:val="009769E1"/>
    <w:rsid w:val="00977E0D"/>
    <w:rsid w:val="00982D5C"/>
    <w:rsid w:val="00985C61"/>
    <w:rsid w:val="00986132"/>
    <w:rsid w:val="00986C04"/>
    <w:rsid w:val="009932F9"/>
    <w:rsid w:val="009A11E3"/>
    <w:rsid w:val="009A2F76"/>
    <w:rsid w:val="009B1250"/>
    <w:rsid w:val="009B378F"/>
    <w:rsid w:val="009B6787"/>
    <w:rsid w:val="009C600E"/>
    <w:rsid w:val="009C7B18"/>
    <w:rsid w:val="009D00AA"/>
    <w:rsid w:val="009D0B10"/>
    <w:rsid w:val="009D1E98"/>
    <w:rsid w:val="009D2AC2"/>
    <w:rsid w:val="009E1774"/>
    <w:rsid w:val="009E2668"/>
    <w:rsid w:val="009E40A3"/>
    <w:rsid w:val="009E457B"/>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5C75"/>
    <w:rsid w:val="00AA65E5"/>
    <w:rsid w:val="00AA759D"/>
    <w:rsid w:val="00AB1592"/>
    <w:rsid w:val="00AB2786"/>
    <w:rsid w:val="00AB5BEE"/>
    <w:rsid w:val="00AC2EAA"/>
    <w:rsid w:val="00AC373F"/>
    <w:rsid w:val="00AC550F"/>
    <w:rsid w:val="00AD4308"/>
    <w:rsid w:val="00AD704A"/>
    <w:rsid w:val="00AE6719"/>
    <w:rsid w:val="00AE6C5D"/>
    <w:rsid w:val="00AF021F"/>
    <w:rsid w:val="00AF077A"/>
    <w:rsid w:val="00AF114B"/>
    <w:rsid w:val="00AF2A33"/>
    <w:rsid w:val="00AF4C2D"/>
    <w:rsid w:val="00AF4FD7"/>
    <w:rsid w:val="00AF7599"/>
    <w:rsid w:val="00B014C7"/>
    <w:rsid w:val="00B03EFA"/>
    <w:rsid w:val="00B07B56"/>
    <w:rsid w:val="00B146B8"/>
    <w:rsid w:val="00B16C8C"/>
    <w:rsid w:val="00B171E7"/>
    <w:rsid w:val="00B309DD"/>
    <w:rsid w:val="00B31E9D"/>
    <w:rsid w:val="00B3574C"/>
    <w:rsid w:val="00B35788"/>
    <w:rsid w:val="00B36621"/>
    <w:rsid w:val="00B36D64"/>
    <w:rsid w:val="00B412C8"/>
    <w:rsid w:val="00B41B48"/>
    <w:rsid w:val="00B425CC"/>
    <w:rsid w:val="00B42711"/>
    <w:rsid w:val="00B43CAA"/>
    <w:rsid w:val="00B509DC"/>
    <w:rsid w:val="00B5567C"/>
    <w:rsid w:val="00B558FA"/>
    <w:rsid w:val="00B55E1D"/>
    <w:rsid w:val="00B56194"/>
    <w:rsid w:val="00B60F41"/>
    <w:rsid w:val="00B613C8"/>
    <w:rsid w:val="00B616F6"/>
    <w:rsid w:val="00B61A34"/>
    <w:rsid w:val="00B62FDC"/>
    <w:rsid w:val="00B64E8E"/>
    <w:rsid w:val="00B65E8B"/>
    <w:rsid w:val="00B677A0"/>
    <w:rsid w:val="00B71387"/>
    <w:rsid w:val="00B7141E"/>
    <w:rsid w:val="00B75C92"/>
    <w:rsid w:val="00B8025A"/>
    <w:rsid w:val="00B827B1"/>
    <w:rsid w:val="00B9116F"/>
    <w:rsid w:val="00B9408D"/>
    <w:rsid w:val="00B94698"/>
    <w:rsid w:val="00B955C0"/>
    <w:rsid w:val="00BB23A4"/>
    <w:rsid w:val="00BB6332"/>
    <w:rsid w:val="00BC0F5C"/>
    <w:rsid w:val="00BC2276"/>
    <w:rsid w:val="00BC38CF"/>
    <w:rsid w:val="00BD1B08"/>
    <w:rsid w:val="00BD1BFF"/>
    <w:rsid w:val="00BD2150"/>
    <w:rsid w:val="00BE1CC3"/>
    <w:rsid w:val="00BE1CDE"/>
    <w:rsid w:val="00BE365A"/>
    <w:rsid w:val="00BE47C4"/>
    <w:rsid w:val="00BE50EF"/>
    <w:rsid w:val="00BF58BB"/>
    <w:rsid w:val="00C052A2"/>
    <w:rsid w:val="00C05B36"/>
    <w:rsid w:val="00C06A4A"/>
    <w:rsid w:val="00C13183"/>
    <w:rsid w:val="00C131AA"/>
    <w:rsid w:val="00C1391A"/>
    <w:rsid w:val="00C14CE6"/>
    <w:rsid w:val="00C15218"/>
    <w:rsid w:val="00C21D51"/>
    <w:rsid w:val="00C22BB2"/>
    <w:rsid w:val="00C22F76"/>
    <w:rsid w:val="00C2725D"/>
    <w:rsid w:val="00C31771"/>
    <w:rsid w:val="00C31E79"/>
    <w:rsid w:val="00C35D84"/>
    <w:rsid w:val="00C403C9"/>
    <w:rsid w:val="00C41E4D"/>
    <w:rsid w:val="00C42033"/>
    <w:rsid w:val="00C464DD"/>
    <w:rsid w:val="00C4799D"/>
    <w:rsid w:val="00C52423"/>
    <w:rsid w:val="00C53A40"/>
    <w:rsid w:val="00C60D8E"/>
    <w:rsid w:val="00C62EF9"/>
    <w:rsid w:val="00C650F5"/>
    <w:rsid w:val="00C672B6"/>
    <w:rsid w:val="00C70268"/>
    <w:rsid w:val="00C74A0C"/>
    <w:rsid w:val="00C75600"/>
    <w:rsid w:val="00C765EF"/>
    <w:rsid w:val="00C76854"/>
    <w:rsid w:val="00C81548"/>
    <w:rsid w:val="00C847BD"/>
    <w:rsid w:val="00C900C5"/>
    <w:rsid w:val="00C92AE0"/>
    <w:rsid w:val="00C93BC6"/>
    <w:rsid w:val="00C943B4"/>
    <w:rsid w:val="00C97232"/>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4265"/>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2BEB"/>
    <w:rsid w:val="00D950BE"/>
    <w:rsid w:val="00D9586D"/>
    <w:rsid w:val="00D95A8C"/>
    <w:rsid w:val="00D9749C"/>
    <w:rsid w:val="00DA4C43"/>
    <w:rsid w:val="00DA51B2"/>
    <w:rsid w:val="00DA647E"/>
    <w:rsid w:val="00DA6965"/>
    <w:rsid w:val="00DB0932"/>
    <w:rsid w:val="00DB293E"/>
    <w:rsid w:val="00DB3DBB"/>
    <w:rsid w:val="00DB3DD4"/>
    <w:rsid w:val="00DB53E0"/>
    <w:rsid w:val="00DC2506"/>
    <w:rsid w:val="00DC4290"/>
    <w:rsid w:val="00DC49FA"/>
    <w:rsid w:val="00DC4E4F"/>
    <w:rsid w:val="00DD3D6B"/>
    <w:rsid w:val="00DD4467"/>
    <w:rsid w:val="00DD5418"/>
    <w:rsid w:val="00DD61C8"/>
    <w:rsid w:val="00DD772B"/>
    <w:rsid w:val="00DE5C4F"/>
    <w:rsid w:val="00DE61DE"/>
    <w:rsid w:val="00DF5B53"/>
    <w:rsid w:val="00DF742A"/>
    <w:rsid w:val="00E041F4"/>
    <w:rsid w:val="00E050BA"/>
    <w:rsid w:val="00E076AC"/>
    <w:rsid w:val="00E16655"/>
    <w:rsid w:val="00E16A6B"/>
    <w:rsid w:val="00E21275"/>
    <w:rsid w:val="00E25442"/>
    <w:rsid w:val="00E25A1F"/>
    <w:rsid w:val="00E31F78"/>
    <w:rsid w:val="00E34E6A"/>
    <w:rsid w:val="00E35B72"/>
    <w:rsid w:val="00E37B54"/>
    <w:rsid w:val="00E37EEB"/>
    <w:rsid w:val="00E440B3"/>
    <w:rsid w:val="00E46811"/>
    <w:rsid w:val="00E5153D"/>
    <w:rsid w:val="00E56B5D"/>
    <w:rsid w:val="00E63A20"/>
    <w:rsid w:val="00E66265"/>
    <w:rsid w:val="00E710FB"/>
    <w:rsid w:val="00E730F1"/>
    <w:rsid w:val="00E73CC9"/>
    <w:rsid w:val="00E75847"/>
    <w:rsid w:val="00E76FCC"/>
    <w:rsid w:val="00E80528"/>
    <w:rsid w:val="00E806D9"/>
    <w:rsid w:val="00E816C7"/>
    <w:rsid w:val="00E82CA2"/>
    <w:rsid w:val="00E86C2F"/>
    <w:rsid w:val="00E94E5A"/>
    <w:rsid w:val="00E95594"/>
    <w:rsid w:val="00E95A55"/>
    <w:rsid w:val="00EA0B27"/>
    <w:rsid w:val="00EA31C3"/>
    <w:rsid w:val="00EA4947"/>
    <w:rsid w:val="00EA73D1"/>
    <w:rsid w:val="00EB33AC"/>
    <w:rsid w:val="00EC25DE"/>
    <w:rsid w:val="00EC669D"/>
    <w:rsid w:val="00EC6C32"/>
    <w:rsid w:val="00EC6F21"/>
    <w:rsid w:val="00ED0D15"/>
    <w:rsid w:val="00ED2D39"/>
    <w:rsid w:val="00ED3A3A"/>
    <w:rsid w:val="00EE0913"/>
    <w:rsid w:val="00EF23C4"/>
    <w:rsid w:val="00EF2DB0"/>
    <w:rsid w:val="00EF36AA"/>
    <w:rsid w:val="00EF695D"/>
    <w:rsid w:val="00EF6CA2"/>
    <w:rsid w:val="00EF7649"/>
    <w:rsid w:val="00F01440"/>
    <w:rsid w:val="00F020E7"/>
    <w:rsid w:val="00F03676"/>
    <w:rsid w:val="00F04C64"/>
    <w:rsid w:val="00F057A4"/>
    <w:rsid w:val="00F11C7D"/>
    <w:rsid w:val="00F13305"/>
    <w:rsid w:val="00F1516C"/>
    <w:rsid w:val="00F26864"/>
    <w:rsid w:val="00F34E50"/>
    <w:rsid w:val="00F3596A"/>
    <w:rsid w:val="00F40463"/>
    <w:rsid w:val="00F433A5"/>
    <w:rsid w:val="00F44A01"/>
    <w:rsid w:val="00F50336"/>
    <w:rsid w:val="00F53060"/>
    <w:rsid w:val="00F55E5B"/>
    <w:rsid w:val="00F569BC"/>
    <w:rsid w:val="00F60D83"/>
    <w:rsid w:val="00F62E3F"/>
    <w:rsid w:val="00F66E5C"/>
    <w:rsid w:val="00F67F90"/>
    <w:rsid w:val="00F708D7"/>
    <w:rsid w:val="00F77B3E"/>
    <w:rsid w:val="00F833CB"/>
    <w:rsid w:val="00F87754"/>
    <w:rsid w:val="00F900A2"/>
    <w:rsid w:val="00F90A4B"/>
    <w:rsid w:val="00F90C56"/>
    <w:rsid w:val="00F91618"/>
    <w:rsid w:val="00F94B3C"/>
    <w:rsid w:val="00FA7A95"/>
    <w:rsid w:val="00FB089D"/>
    <w:rsid w:val="00FB282B"/>
    <w:rsid w:val="00FC1CE4"/>
    <w:rsid w:val="00FD4C0F"/>
    <w:rsid w:val="00FD594E"/>
    <w:rsid w:val="00FD75B9"/>
    <w:rsid w:val="00FE0315"/>
    <w:rsid w:val="00FE1E08"/>
    <w:rsid w:val="00FE3170"/>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page number" w:uiPriority="99" w:qFormat="1"/>
    <w:lsdException w:name="endnote reference" w:qFormat="1"/>
    <w:lsdException w:name="endnote text" w:qFormat="1"/>
    <w:lsdException w:name="Title" w:uiPriority="10" w:qFormat="1"/>
    <w:lsdException w:name="Subtitle" w:uiPriority="11" w:qFormat="1"/>
    <w:lsdException w:name="Hyperlink" w:uiPriority="99"/>
    <w:lsdException w:name="Followed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
    <w:qFormat/>
    <w:rsid w:val="007C3A88"/>
    <w:pPr>
      <w:keepNext/>
      <w:keepLines/>
      <w:widowControl w:val="0"/>
      <w:tabs>
        <w:tab w:val="left" w:pos="431"/>
      </w:tabs>
      <w:overflowPunct w:val="0"/>
      <w:adjustRightInd w:val="0"/>
      <w:snapToGrid w:val="0"/>
      <w:spacing w:after="240"/>
      <w:outlineLvl w:val="3"/>
    </w:pPr>
    <w:rPr>
      <w:snapToGrid w:val="0"/>
      <w:kern w:val="0"/>
      <w:u w:val="single"/>
    </w:rPr>
  </w:style>
  <w:style w:type="paragraph" w:styleId="5">
    <w:name w:val="heading 5"/>
    <w:basedOn w:val="a"/>
    <w:next w:val="a"/>
    <w:link w:val="5Char"/>
    <w:uiPriority w:val="9"/>
    <w:qFormat/>
    <w:rsid w:val="007C3A88"/>
    <w:pPr>
      <w:tabs>
        <w:tab w:val="left" w:pos="431"/>
      </w:tabs>
      <w:overflowPunct w:val="0"/>
      <w:adjustRightInd w:val="0"/>
      <w:snapToGrid w:val="0"/>
      <w:spacing w:after="240"/>
      <w:outlineLvl w:val="4"/>
    </w:pPr>
    <w:rPr>
      <w:rFonts w:eastAsia="黑体"/>
      <w:bCs/>
      <w:snapToGrid w:val="0"/>
      <w:kern w:val="0"/>
      <w:szCs w:val="36"/>
    </w:rPr>
  </w:style>
  <w:style w:type="paragraph" w:styleId="6">
    <w:name w:val="heading 6"/>
    <w:basedOn w:val="a"/>
    <w:next w:val="a"/>
    <w:link w:val="6Char"/>
    <w:uiPriority w:val="9"/>
    <w:qFormat/>
    <w:rsid w:val="007C3A88"/>
    <w:pPr>
      <w:keepNext/>
      <w:keepLines/>
      <w:tabs>
        <w:tab w:val="left" w:pos="431"/>
      </w:tabs>
      <w:overflowPunct w:val="0"/>
      <w:adjustRightInd w:val="0"/>
      <w:snapToGrid w:val="0"/>
      <w:spacing w:before="240" w:after="64" w:line="320" w:lineRule="auto"/>
      <w:outlineLvl w:val="5"/>
    </w:pPr>
    <w:rPr>
      <w:rFonts w:ascii="Arial" w:eastAsia="黑体" w:hAnsi="Arial"/>
      <w:b/>
      <w:bCs/>
      <w:snapToGrid w:val="0"/>
      <w:kern w:val="0"/>
      <w:szCs w:val="24"/>
    </w:rPr>
  </w:style>
  <w:style w:type="paragraph" w:styleId="7">
    <w:name w:val="heading 7"/>
    <w:basedOn w:val="a"/>
    <w:next w:val="a"/>
    <w:link w:val="7Char"/>
    <w:uiPriority w:val="9"/>
    <w:qFormat/>
    <w:rsid w:val="007C3A88"/>
    <w:pPr>
      <w:keepNext/>
      <w:keepLines/>
      <w:tabs>
        <w:tab w:val="left" w:pos="431"/>
      </w:tabs>
      <w:overflowPunct w:val="0"/>
      <w:adjustRightInd w:val="0"/>
      <w:snapToGrid w:val="0"/>
      <w:spacing w:before="240" w:after="64" w:line="320" w:lineRule="auto"/>
      <w:outlineLvl w:val="6"/>
    </w:pPr>
    <w:rPr>
      <w:b/>
      <w:bCs/>
      <w:snapToGrid w:val="0"/>
      <w:kern w:val="0"/>
      <w:szCs w:val="24"/>
    </w:rPr>
  </w:style>
  <w:style w:type="paragraph" w:styleId="8">
    <w:name w:val="heading 8"/>
    <w:basedOn w:val="a"/>
    <w:next w:val="a"/>
    <w:link w:val="8Char"/>
    <w:uiPriority w:val="9"/>
    <w:qFormat/>
    <w:rsid w:val="007C3A88"/>
    <w:pPr>
      <w:keepNext/>
      <w:keepLines/>
      <w:tabs>
        <w:tab w:val="left" w:pos="431"/>
      </w:tabs>
      <w:overflowPunct w:val="0"/>
      <w:adjustRightInd w:val="0"/>
      <w:snapToGrid w:val="0"/>
      <w:spacing w:before="240" w:after="64" w:line="320" w:lineRule="auto"/>
      <w:outlineLvl w:val="7"/>
    </w:pPr>
    <w:rPr>
      <w:rFonts w:ascii="Arial" w:eastAsia="黑体" w:hAnsi="Arial"/>
      <w:snapToGrid w:val="0"/>
      <w:kern w:val="0"/>
      <w:szCs w:val="24"/>
    </w:rPr>
  </w:style>
  <w:style w:type="paragraph" w:styleId="9">
    <w:name w:val="heading 9"/>
    <w:basedOn w:val="a"/>
    <w:next w:val="a"/>
    <w:link w:val="9Char"/>
    <w:uiPriority w:val="9"/>
    <w:qFormat/>
    <w:rsid w:val="007C3A88"/>
    <w:pPr>
      <w:keepNext/>
      <w:keepLines/>
      <w:tabs>
        <w:tab w:val="left" w:pos="431"/>
      </w:tabs>
      <w:overflowPunct w:val="0"/>
      <w:adjustRightInd w:val="0"/>
      <w:snapToGrid w:val="0"/>
      <w:spacing w:before="240" w:after="64" w:line="320" w:lineRule="auto"/>
      <w:outlineLvl w:val="8"/>
    </w:pPr>
    <w:rPr>
      <w:rFonts w:ascii="Arial" w:eastAsia="黑体" w:hAnsi="Arial"/>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r,英文脚注引用,Appel note de bas de page Char,Texto de nota al pie Char,referencia nota al pie Char,FZ Char,a Footnote Reference Char,a Footnote text + MetaNormal-Roman Char,Appel note de bas de page Char1 Char Char Char Char Char Char"/>
    <w:basedOn w:val="a0"/>
    <w:link w:val="Appelnotedebasdepage"/>
    <w:qFormat/>
    <w:rsid w:val="00803014"/>
    <w:rPr>
      <w:color w:val="auto"/>
      <w:spacing w:val="0"/>
      <w:w w:val="150"/>
      <w:position w:val="0"/>
      <w:vertAlign w:val="superscript"/>
    </w:rPr>
  </w:style>
  <w:style w:type="character" w:styleId="a4">
    <w:name w:val="endnote reference"/>
    <w:basedOn w:val="a3"/>
    <w:qFormat/>
    <w:rsid w:val="001E5A51"/>
    <w:rPr>
      <w:color w:val="auto"/>
      <w:spacing w:val="0"/>
      <w:w w:val="150"/>
      <w:position w:val="0"/>
      <w:vertAlign w:val="superscript"/>
    </w:rPr>
  </w:style>
  <w:style w:type="paragraph" w:styleId="a5">
    <w:name w:val="footnote text"/>
    <w:aliases w:val="5_G,Footnote Expulsion, Char,Char,FOOTNOTES,fn,single space,footnote text,f,ft,Footnote Text 1,Footnote Text Char1,Footnote Text Char Char,Footnote Text Char Char Char,Footnote Text Char2 Char,Footnote Text Char1 Char Char,ALTS FOOTNOTE,AD,ADB"/>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qFormat/>
    <w:rsid w:val="001E5A51"/>
  </w:style>
  <w:style w:type="paragraph" w:styleId="a7">
    <w:name w:val="annotation text"/>
    <w:basedOn w:val="a"/>
    <w:link w:val="Char1"/>
    <w:uiPriority w:val="99"/>
    <w:rsid w:val="001E5A51"/>
  </w:style>
  <w:style w:type="paragraph" w:styleId="a8">
    <w:name w:val="annotation subject"/>
    <w:basedOn w:val="a7"/>
    <w:next w:val="a7"/>
    <w:link w:val="Char2"/>
    <w:uiPriority w:val="99"/>
    <w:rsid w:val="001E5A51"/>
    <w:rPr>
      <w:b/>
      <w:bCs/>
    </w:rPr>
  </w:style>
  <w:style w:type="character" w:styleId="a9">
    <w:name w:val="annotation reference"/>
    <w:basedOn w:val="a0"/>
    <w:rsid w:val="001E5A51"/>
    <w:rPr>
      <w:sz w:val="21"/>
      <w:szCs w:val="21"/>
    </w:rPr>
  </w:style>
  <w:style w:type="paragraph" w:styleId="aa">
    <w:name w:val="Balloon Text"/>
    <w:basedOn w:val="a"/>
    <w:link w:val="Char3"/>
    <w:uiPriority w:val="99"/>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link w:val="Char4"/>
    <w:uiPriority w:val="99"/>
    <w:qFormat/>
    <w:rsid w:val="001E5A51"/>
    <w:pPr>
      <w:tabs>
        <w:tab w:val="center" w:pos="4320"/>
        <w:tab w:val="right" w:pos="8640"/>
      </w:tabs>
      <w:jc w:val="both"/>
    </w:pPr>
    <w:rPr>
      <w:noProof/>
      <w:sz w:val="18"/>
      <w:lang w:val="en-US"/>
    </w:rPr>
  </w:style>
  <w:style w:type="paragraph" w:styleId="ac">
    <w:name w:val="footer"/>
    <w:aliases w:val="3_G"/>
    <w:link w:val="Char5"/>
    <w:uiPriority w:val="99"/>
    <w:qFormat/>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uiPriority w:val="99"/>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uiPriority w:val="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table" w:styleId="af0">
    <w:name w:val="Table Grid"/>
    <w:basedOn w:val="a1"/>
    <w:uiPriority w:val="59"/>
    <w:rsid w:val="0035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GC">
    <w:name w:val="__S_M_GC"/>
    <w:basedOn w:val="a"/>
    <w:next w:val="a"/>
    <w:qFormat/>
    <w:rsid w:val="00B07B56"/>
    <w:pPr>
      <w:keepNext/>
      <w:keepLines/>
      <w:tabs>
        <w:tab w:val="left" w:pos="431"/>
      </w:tabs>
      <w:overflowPunct w:val="0"/>
      <w:adjustRightInd w:val="0"/>
      <w:snapToGrid w:val="0"/>
      <w:spacing w:before="240" w:after="240" w:line="420" w:lineRule="exact"/>
      <w:ind w:left="1134" w:right="1134"/>
      <w:jc w:val="left"/>
    </w:pPr>
    <w:rPr>
      <w:rFonts w:eastAsia="黑体"/>
      <w:snapToGrid w:val="0"/>
      <w:kern w:val="0"/>
      <w:sz w:val="40"/>
    </w:rPr>
  </w:style>
  <w:style w:type="paragraph" w:customStyle="1" w:styleId="SingleTxtGC">
    <w:name w:val="_ Single Txt_GC"/>
    <w:basedOn w:val="a"/>
    <w:link w:val="SingleTxtGCChar"/>
    <w:qFormat/>
    <w:rsid w:val="00412BAA"/>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link w:val="SingleTxtGC"/>
    <w:rsid w:val="00412BAA"/>
    <w:rPr>
      <w:rFonts w:eastAsia="宋体"/>
      <w:snapToGrid w:val="0"/>
      <w:sz w:val="21"/>
      <w:lang w:val="en-US"/>
    </w:rPr>
  </w:style>
  <w:style w:type="character" w:customStyle="1" w:styleId="Char">
    <w:name w:val="脚注文本 Char"/>
    <w:aliases w:val="5_G Char,Footnote Expulsion Char, Char Char,Char Char,FOOTNOTES Char,fn Char,single space Char,footnote text Char,f Char,ft Char,Footnote Text 1 Char,Footnote Text Char1 Char,Footnote Text Char Char Char1,Footnote Text Char Char Char Char"/>
    <w:link w:val="a5"/>
    <w:uiPriority w:val="99"/>
    <w:rsid w:val="00C70268"/>
    <w:rPr>
      <w:rFonts w:eastAsia="宋体"/>
      <w:noProof/>
      <w:kern w:val="14"/>
      <w:sz w:val="18"/>
      <w:lang w:val="en-US"/>
    </w:rPr>
  </w:style>
  <w:style w:type="paragraph" w:customStyle="1" w:styleId="Appelnotedebasdepage">
    <w:name w:val="Appel note de bas de page"/>
    <w:aliases w:val="Texto de nota al pie,referencia nota al pie,FZ,a Footnote Reference,a Footnote text + MetaNormal-Roman,Appel note de bas de page Char1 Char Char Char Char Char,FZ Char Char Char1 Char Char Char"/>
    <w:basedOn w:val="a"/>
    <w:link w:val="a3"/>
    <w:uiPriority w:val="99"/>
    <w:rsid w:val="00C70268"/>
    <w:pPr>
      <w:spacing w:line="240" w:lineRule="auto"/>
      <w:jc w:val="left"/>
    </w:pPr>
    <w:rPr>
      <w:rFonts w:eastAsiaTheme="minorEastAsia"/>
      <w:w w:val="150"/>
      <w:kern w:val="0"/>
      <w:sz w:val="20"/>
      <w:vertAlign w:val="superscript"/>
      <w:lang w:val="en-GB"/>
    </w:rPr>
  </w:style>
  <w:style w:type="character" w:customStyle="1" w:styleId="shorttext">
    <w:name w:val="short_text"/>
    <w:basedOn w:val="a0"/>
    <w:rsid w:val="00DB3DD4"/>
  </w:style>
  <w:style w:type="paragraph" w:customStyle="1" w:styleId="GB23126">
    <w:name w:val="样式 (中文) 楷体_GB2312 六号 蓝色 右 段后: 6 磅 行距: 单倍行距"/>
    <w:basedOn w:val="a"/>
    <w:rsid w:val="000E787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0E7875"/>
    <w:pPr>
      <w:spacing w:after="120"/>
      <w:jc w:val="left"/>
    </w:pPr>
    <w:rPr>
      <w:rFonts w:eastAsia="宋体" w:cs="宋体"/>
    </w:rPr>
  </w:style>
  <w:style w:type="character" w:customStyle="1" w:styleId="apple-converted-space">
    <w:name w:val="apple-converted-space"/>
    <w:rsid w:val="00632C9B"/>
  </w:style>
  <w:style w:type="character" w:customStyle="1" w:styleId="4Char">
    <w:name w:val="标题 4 Char"/>
    <w:basedOn w:val="a0"/>
    <w:link w:val="4"/>
    <w:uiPriority w:val="9"/>
    <w:rsid w:val="007C3A88"/>
    <w:rPr>
      <w:rFonts w:eastAsia="宋体"/>
      <w:snapToGrid w:val="0"/>
      <w:sz w:val="21"/>
      <w:u w:val="single"/>
      <w:lang w:val="en-US"/>
    </w:rPr>
  </w:style>
  <w:style w:type="character" w:customStyle="1" w:styleId="5Char">
    <w:name w:val="标题 5 Char"/>
    <w:basedOn w:val="a0"/>
    <w:link w:val="5"/>
    <w:uiPriority w:val="9"/>
    <w:rsid w:val="007C3A88"/>
    <w:rPr>
      <w:rFonts w:eastAsia="黑体"/>
      <w:bCs/>
      <w:snapToGrid w:val="0"/>
      <w:sz w:val="21"/>
      <w:szCs w:val="36"/>
      <w:lang w:val="en-US"/>
    </w:rPr>
  </w:style>
  <w:style w:type="character" w:customStyle="1" w:styleId="6Char">
    <w:name w:val="标题 6 Char"/>
    <w:basedOn w:val="a0"/>
    <w:link w:val="6"/>
    <w:uiPriority w:val="9"/>
    <w:rsid w:val="007C3A88"/>
    <w:rPr>
      <w:rFonts w:ascii="Arial" w:eastAsia="黑体" w:hAnsi="Arial"/>
      <w:b/>
      <w:bCs/>
      <w:snapToGrid w:val="0"/>
      <w:sz w:val="21"/>
      <w:szCs w:val="24"/>
      <w:lang w:val="en-US"/>
    </w:rPr>
  </w:style>
  <w:style w:type="character" w:customStyle="1" w:styleId="7Char">
    <w:name w:val="标题 7 Char"/>
    <w:basedOn w:val="a0"/>
    <w:link w:val="7"/>
    <w:uiPriority w:val="9"/>
    <w:rsid w:val="007C3A88"/>
    <w:rPr>
      <w:rFonts w:eastAsia="宋体"/>
      <w:b/>
      <w:bCs/>
      <w:snapToGrid w:val="0"/>
      <w:sz w:val="21"/>
      <w:szCs w:val="24"/>
      <w:lang w:val="en-US"/>
    </w:rPr>
  </w:style>
  <w:style w:type="character" w:customStyle="1" w:styleId="8Char">
    <w:name w:val="标题 8 Char"/>
    <w:basedOn w:val="a0"/>
    <w:link w:val="8"/>
    <w:uiPriority w:val="9"/>
    <w:rsid w:val="007C3A88"/>
    <w:rPr>
      <w:rFonts w:ascii="Arial" w:eastAsia="黑体" w:hAnsi="Arial"/>
      <w:snapToGrid w:val="0"/>
      <w:sz w:val="21"/>
      <w:szCs w:val="24"/>
      <w:lang w:val="en-US"/>
    </w:rPr>
  </w:style>
  <w:style w:type="character" w:customStyle="1" w:styleId="9Char">
    <w:name w:val="标题 9 Char"/>
    <w:basedOn w:val="a0"/>
    <w:link w:val="9"/>
    <w:uiPriority w:val="9"/>
    <w:rsid w:val="007C3A88"/>
    <w:rPr>
      <w:rFonts w:ascii="Arial" w:eastAsia="黑体" w:hAnsi="Arial"/>
      <w:snapToGrid w:val="0"/>
      <w:sz w:val="21"/>
      <w:szCs w:val="21"/>
      <w:lang w:val="en-US"/>
    </w:rPr>
  </w:style>
  <w:style w:type="character" w:customStyle="1" w:styleId="Char0">
    <w:name w:val="尾注文本 Char"/>
    <w:aliases w:val="2_G Char"/>
    <w:basedOn w:val="a0"/>
    <w:link w:val="a6"/>
    <w:rsid w:val="007C3A88"/>
    <w:rPr>
      <w:rFonts w:eastAsia="宋体"/>
      <w:noProof/>
      <w:kern w:val="14"/>
      <w:sz w:val="18"/>
      <w:lang w:val="en-US"/>
    </w:rPr>
  </w:style>
  <w:style w:type="character" w:customStyle="1" w:styleId="Char1">
    <w:name w:val="批注文字 Char"/>
    <w:basedOn w:val="a0"/>
    <w:link w:val="a7"/>
    <w:uiPriority w:val="99"/>
    <w:rsid w:val="007C3A88"/>
    <w:rPr>
      <w:rFonts w:eastAsia="宋体"/>
      <w:kern w:val="14"/>
      <w:sz w:val="21"/>
      <w:lang w:val="en-US"/>
    </w:rPr>
  </w:style>
  <w:style w:type="character" w:customStyle="1" w:styleId="Char2">
    <w:name w:val="批注主题 Char"/>
    <w:basedOn w:val="Char1"/>
    <w:link w:val="a8"/>
    <w:uiPriority w:val="99"/>
    <w:rsid w:val="007C3A88"/>
    <w:rPr>
      <w:rFonts w:eastAsia="宋体"/>
      <w:b/>
      <w:bCs/>
      <w:kern w:val="14"/>
      <w:sz w:val="21"/>
      <w:lang w:val="en-US"/>
    </w:rPr>
  </w:style>
  <w:style w:type="character" w:customStyle="1" w:styleId="Char3">
    <w:name w:val="批注框文本 Char"/>
    <w:basedOn w:val="a0"/>
    <w:link w:val="aa"/>
    <w:uiPriority w:val="99"/>
    <w:rsid w:val="007C3A88"/>
    <w:rPr>
      <w:rFonts w:eastAsia="宋体"/>
      <w:kern w:val="14"/>
      <w:sz w:val="18"/>
      <w:szCs w:val="18"/>
      <w:lang w:val="en-US"/>
    </w:rPr>
  </w:style>
  <w:style w:type="character" w:customStyle="1" w:styleId="Char4">
    <w:name w:val="页眉 Char"/>
    <w:basedOn w:val="a0"/>
    <w:link w:val="ab"/>
    <w:uiPriority w:val="99"/>
    <w:rsid w:val="007C3A88"/>
    <w:rPr>
      <w:noProof/>
      <w:sz w:val="18"/>
      <w:lang w:val="en-US"/>
    </w:rPr>
  </w:style>
  <w:style w:type="character" w:customStyle="1" w:styleId="Char5">
    <w:name w:val="页脚 Char"/>
    <w:aliases w:val="3_G Char"/>
    <w:basedOn w:val="a0"/>
    <w:link w:val="ac"/>
    <w:uiPriority w:val="99"/>
    <w:rsid w:val="007C3A88"/>
    <w:rPr>
      <w:b/>
      <w:noProof/>
      <w:sz w:val="18"/>
      <w:szCs w:val="18"/>
      <w:lang w:val="en-US"/>
    </w:rPr>
  </w:style>
  <w:style w:type="paragraph" w:customStyle="1" w:styleId="DashGC">
    <w:name w:val="_Dash_GC"/>
    <w:basedOn w:val="a"/>
    <w:qFormat/>
    <w:rsid w:val="007C3A88"/>
    <w:pPr>
      <w:numPr>
        <w:numId w:val="6"/>
      </w:numPr>
      <w:tabs>
        <w:tab w:val="left" w:pos="431"/>
      </w:tabs>
      <w:overflowPunct w:val="0"/>
      <w:adjustRightInd w:val="0"/>
      <w:snapToGrid w:val="0"/>
      <w:spacing w:after="120"/>
      <w:ind w:right="1134"/>
    </w:pPr>
    <w:rPr>
      <w:snapToGrid w:val="0"/>
      <w:kern w:val="0"/>
      <w:lang w:val="fr-CH"/>
    </w:rPr>
  </w:style>
  <w:style w:type="paragraph" w:styleId="af1">
    <w:name w:val="macro"/>
    <w:link w:val="Char6"/>
    <w:rsid w:val="007C3A8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eastAsia="宋体"/>
      <w:kern w:val="24"/>
      <w:sz w:val="24"/>
      <w:lang w:val="en-US"/>
    </w:rPr>
  </w:style>
  <w:style w:type="character" w:customStyle="1" w:styleId="Char6">
    <w:name w:val="宏文本 Char"/>
    <w:basedOn w:val="a0"/>
    <w:link w:val="af1"/>
    <w:rsid w:val="007C3A88"/>
    <w:rPr>
      <w:rFonts w:eastAsia="宋体"/>
      <w:kern w:val="24"/>
      <w:sz w:val="24"/>
      <w:lang w:val="en-US"/>
    </w:rPr>
  </w:style>
  <w:style w:type="paragraph" w:customStyle="1" w:styleId="af2">
    <w:name w:val="缩进正文"/>
    <w:basedOn w:val="SingleTxtGC"/>
    <w:qFormat/>
    <w:rsid w:val="007C3A88"/>
    <w:pPr>
      <w:ind w:left="1565"/>
    </w:pPr>
  </w:style>
  <w:style w:type="paragraph" w:customStyle="1" w:styleId="af3">
    <w:name w:val="目录段页次"/>
    <w:basedOn w:val="a"/>
    <w:qFormat/>
    <w:rsid w:val="007C3A88"/>
    <w:pPr>
      <w:widowControl w:val="0"/>
      <w:tabs>
        <w:tab w:val="right" w:pos="851"/>
        <w:tab w:val="left" w:pos="1134"/>
        <w:tab w:val="left" w:pos="1565"/>
        <w:tab w:val="left" w:pos="1996"/>
        <w:tab w:val="right" w:leader="dot" w:pos="7655"/>
        <w:tab w:val="right" w:pos="8789"/>
        <w:tab w:val="right" w:pos="9554"/>
      </w:tabs>
      <w:overflowPunct w:val="0"/>
      <w:adjustRightInd w:val="0"/>
      <w:snapToGrid w:val="0"/>
      <w:spacing w:after="120"/>
      <w:ind w:left="1134" w:right="4253" w:hanging="1134"/>
    </w:pPr>
    <w:rPr>
      <w:snapToGrid w:val="0"/>
      <w:kern w:val="0"/>
    </w:rPr>
  </w:style>
  <w:style w:type="paragraph" w:customStyle="1" w:styleId="af4">
    <w:name w:val="目录页次"/>
    <w:basedOn w:val="a"/>
    <w:qFormat/>
    <w:rsid w:val="007C3A88"/>
    <w:pPr>
      <w:widowControl w:val="0"/>
      <w:tabs>
        <w:tab w:val="right" w:pos="851"/>
        <w:tab w:val="left" w:pos="1134"/>
        <w:tab w:val="left" w:pos="1565"/>
        <w:tab w:val="left" w:pos="1996"/>
        <w:tab w:val="right" w:leader="dot" w:pos="8789"/>
        <w:tab w:val="right" w:pos="9554"/>
      </w:tabs>
      <w:overflowPunct w:val="0"/>
      <w:adjustRightInd w:val="0"/>
      <w:snapToGrid w:val="0"/>
      <w:spacing w:after="120"/>
      <w:ind w:left="1134" w:right="3119" w:hanging="1134"/>
    </w:pPr>
    <w:rPr>
      <w:snapToGrid w:val="0"/>
      <w:kern w:val="0"/>
    </w:rPr>
  </w:style>
  <w:style w:type="character" w:styleId="af5">
    <w:name w:val="page number"/>
    <w:uiPriority w:val="99"/>
    <w:qFormat/>
    <w:rsid w:val="007C3A88"/>
    <w:rPr>
      <w:rFonts w:ascii="Times New Roman" w:hAnsi="Times New Roman"/>
      <w:b/>
      <w:spacing w:val="0"/>
      <w:kern w:val="0"/>
      <w:sz w:val="18"/>
    </w:rPr>
  </w:style>
  <w:style w:type="paragraph" w:customStyle="1" w:styleId="Bullet1GC">
    <w:name w:val="_Bullet 1_GC"/>
    <w:basedOn w:val="a"/>
    <w:qFormat/>
    <w:rsid w:val="007C3A88"/>
    <w:pPr>
      <w:numPr>
        <w:numId w:val="4"/>
      </w:numPr>
      <w:tabs>
        <w:tab w:val="left" w:pos="431"/>
      </w:tabs>
      <w:overflowPunct w:val="0"/>
      <w:adjustRightInd w:val="0"/>
      <w:snapToGrid w:val="0"/>
      <w:spacing w:after="120"/>
      <w:ind w:right="1134"/>
    </w:pPr>
    <w:rPr>
      <w:snapToGrid w:val="0"/>
      <w:kern w:val="0"/>
    </w:rPr>
  </w:style>
  <w:style w:type="paragraph" w:customStyle="1" w:styleId="Bullet2GC">
    <w:name w:val="_Bullet 2_GC"/>
    <w:basedOn w:val="a"/>
    <w:qFormat/>
    <w:rsid w:val="007C3A88"/>
    <w:pPr>
      <w:numPr>
        <w:numId w:val="5"/>
      </w:numPr>
      <w:tabs>
        <w:tab w:val="left" w:pos="431"/>
      </w:tabs>
      <w:overflowPunct w:val="0"/>
      <w:adjustRightInd w:val="0"/>
      <w:snapToGrid w:val="0"/>
      <w:spacing w:after="120"/>
      <w:ind w:right="1134"/>
    </w:pPr>
    <w:rPr>
      <w:snapToGrid w:val="0"/>
      <w:kern w:val="0"/>
    </w:rPr>
  </w:style>
  <w:style w:type="paragraph" w:customStyle="1" w:styleId="H56GC">
    <w:name w:val="_ H_5/6_GC"/>
    <w:basedOn w:val="a"/>
    <w:next w:val="SingleTxtGC"/>
    <w:qFormat/>
    <w:rsid w:val="007C3A88"/>
    <w:pPr>
      <w:keepNext/>
      <w:keepLines/>
      <w:tabs>
        <w:tab w:val="right" w:pos="851"/>
      </w:tabs>
      <w:overflowPunct w:val="0"/>
      <w:adjustRightInd w:val="0"/>
      <w:snapToGrid w:val="0"/>
      <w:spacing w:before="240" w:after="120"/>
      <w:ind w:left="1134" w:right="1134" w:hanging="1134"/>
      <w:outlineLvl w:val="5"/>
    </w:pPr>
    <w:rPr>
      <w:snapToGrid w:val="0"/>
      <w:kern w:val="0"/>
    </w:rPr>
  </w:style>
  <w:style w:type="paragraph" w:customStyle="1" w:styleId="H4GC">
    <w:name w:val="_ H_4_GC"/>
    <w:basedOn w:val="a"/>
    <w:next w:val="SingleTxtGC"/>
    <w:link w:val="H4GCChar"/>
    <w:qFormat/>
    <w:rsid w:val="007C3A88"/>
    <w:pPr>
      <w:keepNext/>
      <w:keepLines/>
      <w:tabs>
        <w:tab w:val="right" w:pos="851"/>
      </w:tabs>
      <w:overflowPunct w:val="0"/>
      <w:adjustRightInd w:val="0"/>
      <w:snapToGrid w:val="0"/>
      <w:spacing w:before="240" w:after="120"/>
      <w:ind w:left="1134" w:right="1134" w:hanging="1134"/>
      <w:outlineLvl w:val="4"/>
    </w:pPr>
    <w:rPr>
      <w:rFonts w:eastAsia="楷体_GB2312"/>
      <w:snapToGrid w:val="0"/>
      <w:kern w:val="0"/>
      <w:sz w:val="23"/>
    </w:rPr>
  </w:style>
  <w:style w:type="character" w:customStyle="1" w:styleId="H4GCChar">
    <w:name w:val="_ H_4_GC Char"/>
    <w:link w:val="H4GC"/>
    <w:rsid w:val="007C3A88"/>
    <w:rPr>
      <w:rFonts w:eastAsia="楷体_GB2312"/>
      <w:snapToGrid w:val="0"/>
      <w:sz w:val="23"/>
      <w:lang w:val="en-US"/>
    </w:rPr>
  </w:style>
  <w:style w:type="paragraph" w:customStyle="1" w:styleId="HChGC">
    <w:name w:val="_ H _Ch_GC"/>
    <w:basedOn w:val="a"/>
    <w:next w:val="SingleTxtGC"/>
    <w:link w:val="HChGCChar"/>
    <w:qFormat/>
    <w:rsid w:val="007C3A88"/>
    <w:pPr>
      <w:keepNext/>
      <w:keepLines/>
      <w:tabs>
        <w:tab w:val="right" w:pos="851"/>
      </w:tabs>
      <w:overflowPunct w:val="0"/>
      <w:adjustRightInd w:val="0"/>
      <w:snapToGrid w:val="0"/>
      <w:spacing w:before="360" w:after="240" w:line="400" w:lineRule="exact"/>
      <w:ind w:left="1134" w:right="1134" w:hanging="1134"/>
      <w:outlineLvl w:val="1"/>
    </w:pPr>
    <w:rPr>
      <w:rFonts w:eastAsia="黑体"/>
      <w:snapToGrid w:val="0"/>
      <w:kern w:val="0"/>
      <w:sz w:val="28"/>
    </w:rPr>
  </w:style>
  <w:style w:type="character" w:customStyle="1" w:styleId="HChGCChar">
    <w:name w:val="_ H _Ch_GC Char"/>
    <w:link w:val="HChGC"/>
    <w:rsid w:val="007C3A88"/>
    <w:rPr>
      <w:rFonts w:eastAsia="黑体"/>
      <w:snapToGrid w:val="0"/>
      <w:sz w:val="28"/>
      <w:lang w:val="en-US"/>
    </w:rPr>
  </w:style>
  <w:style w:type="paragraph" w:customStyle="1" w:styleId="SLGC">
    <w:name w:val="__S_L_GC"/>
    <w:basedOn w:val="a"/>
    <w:next w:val="SingleTxtGC"/>
    <w:qFormat/>
    <w:rsid w:val="007C3A88"/>
    <w:pPr>
      <w:keepNext/>
      <w:keepLines/>
      <w:tabs>
        <w:tab w:val="left" w:pos="431"/>
      </w:tabs>
      <w:overflowPunct w:val="0"/>
      <w:adjustRightInd w:val="0"/>
      <w:snapToGrid w:val="0"/>
      <w:spacing w:before="240" w:after="240" w:line="580" w:lineRule="exact"/>
      <w:ind w:left="1134" w:right="1134"/>
      <w:jc w:val="left"/>
    </w:pPr>
    <w:rPr>
      <w:rFonts w:eastAsia="黑体"/>
      <w:snapToGrid w:val="0"/>
      <w:kern w:val="0"/>
      <w:sz w:val="56"/>
    </w:rPr>
  </w:style>
  <w:style w:type="paragraph" w:customStyle="1" w:styleId="SSGC">
    <w:name w:val="__S_S_GC"/>
    <w:basedOn w:val="a"/>
    <w:next w:val="SingleTxtGC"/>
    <w:qFormat/>
    <w:rsid w:val="007C3A88"/>
    <w:pPr>
      <w:keepNext/>
      <w:keepLines/>
      <w:tabs>
        <w:tab w:val="left" w:pos="431"/>
      </w:tabs>
      <w:overflowPunct w:val="0"/>
      <w:adjustRightInd w:val="0"/>
      <w:snapToGrid w:val="0"/>
      <w:spacing w:before="240" w:after="240" w:line="300" w:lineRule="exact"/>
      <w:ind w:left="1134" w:right="1134"/>
      <w:jc w:val="left"/>
    </w:pPr>
    <w:rPr>
      <w:rFonts w:eastAsia="黑体"/>
      <w:snapToGrid w:val="0"/>
      <w:kern w:val="0"/>
      <w:sz w:val="28"/>
    </w:rPr>
  </w:style>
  <w:style w:type="paragraph" w:customStyle="1" w:styleId="XLargeGC">
    <w:name w:val="__XLarge_GC"/>
    <w:basedOn w:val="a"/>
    <w:next w:val="SingleTxtGC"/>
    <w:qFormat/>
    <w:rsid w:val="007C3A88"/>
    <w:pPr>
      <w:keepNext/>
      <w:keepLines/>
      <w:tabs>
        <w:tab w:val="left" w:pos="431"/>
      </w:tabs>
      <w:overflowPunct w:val="0"/>
      <w:adjustRightInd w:val="0"/>
      <w:snapToGrid w:val="0"/>
      <w:spacing w:before="240" w:after="240" w:line="420" w:lineRule="exact"/>
      <w:ind w:left="1134" w:right="1134"/>
      <w:jc w:val="left"/>
    </w:pPr>
    <w:rPr>
      <w:rFonts w:eastAsia="黑体"/>
      <w:snapToGrid w:val="0"/>
      <w:kern w:val="0"/>
      <w:sz w:val="40"/>
    </w:rPr>
  </w:style>
  <w:style w:type="paragraph" w:customStyle="1" w:styleId="HMGC">
    <w:name w:val="_ H __M_GC"/>
    <w:basedOn w:val="a"/>
    <w:next w:val="SingleTxtGC"/>
    <w:qFormat/>
    <w:rsid w:val="007C3A88"/>
    <w:pPr>
      <w:keepNext/>
      <w:keepLines/>
      <w:tabs>
        <w:tab w:val="right" w:pos="851"/>
      </w:tabs>
      <w:overflowPunct w:val="0"/>
      <w:adjustRightInd w:val="0"/>
      <w:snapToGrid w:val="0"/>
      <w:spacing w:before="240" w:after="240" w:line="440" w:lineRule="exact"/>
      <w:ind w:left="1134" w:right="1134" w:hanging="1134"/>
      <w:outlineLvl w:val="0"/>
    </w:pPr>
    <w:rPr>
      <w:rFonts w:eastAsia="黑体"/>
      <w:snapToGrid w:val="0"/>
      <w:kern w:val="0"/>
      <w:sz w:val="34"/>
    </w:rPr>
  </w:style>
  <w:style w:type="paragraph" w:customStyle="1" w:styleId="H1GC">
    <w:name w:val="_ H_1_GC"/>
    <w:basedOn w:val="a"/>
    <w:next w:val="SingleTxtGC"/>
    <w:link w:val="H1GCChar"/>
    <w:qFormat/>
    <w:rsid w:val="007C3A88"/>
    <w:pPr>
      <w:keepNext/>
      <w:keepLines/>
      <w:tabs>
        <w:tab w:val="right" w:pos="851"/>
      </w:tabs>
      <w:overflowPunct w:val="0"/>
      <w:adjustRightInd w:val="0"/>
      <w:snapToGrid w:val="0"/>
      <w:spacing w:before="360" w:after="240"/>
      <w:ind w:left="1134" w:right="1134" w:hanging="1134"/>
      <w:outlineLvl w:val="2"/>
    </w:pPr>
    <w:rPr>
      <w:rFonts w:eastAsia="黑体"/>
      <w:snapToGrid w:val="0"/>
      <w:kern w:val="0"/>
      <w:sz w:val="24"/>
    </w:rPr>
  </w:style>
  <w:style w:type="character" w:customStyle="1" w:styleId="H1GCChar">
    <w:name w:val="_ H_1_GC Char"/>
    <w:link w:val="H1GC"/>
    <w:rsid w:val="007C3A88"/>
    <w:rPr>
      <w:rFonts w:eastAsia="黑体"/>
      <w:snapToGrid w:val="0"/>
      <w:sz w:val="24"/>
      <w:lang w:val="en-US"/>
    </w:rPr>
  </w:style>
  <w:style w:type="paragraph" w:customStyle="1" w:styleId="H23GC">
    <w:name w:val="_ H_2/3_GC"/>
    <w:basedOn w:val="a"/>
    <w:next w:val="SingleTxtGC"/>
    <w:link w:val="H23GCChar"/>
    <w:qFormat/>
    <w:rsid w:val="007C3A88"/>
    <w:pPr>
      <w:keepNext/>
      <w:keepLines/>
      <w:tabs>
        <w:tab w:val="right" w:pos="851"/>
      </w:tabs>
      <w:overflowPunct w:val="0"/>
      <w:adjustRightInd w:val="0"/>
      <w:snapToGrid w:val="0"/>
      <w:spacing w:before="240" w:after="120"/>
      <w:ind w:left="1134" w:right="1134" w:hanging="1134"/>
      <w:outlineLvl w:val="3"/>
    </w:pPr>
    <w:rPr>
      <w:rFonts w:eastAsia="黑体"/>
      <w:snapToGrid w:val="0"/>
      <w:kern w:val="0"/>
      <w:sz w:val="22"/>
    </w:rPr>
  </w:style>
  <w:style w:type="character" w:customStyle="1" w:styleId="H23GCChar">
    <w:name w:val="_ H_2/3_GC Char"/>
    <w:link w:val="H23GC"/>
    <w:rsid w:val="007C3A88"/>
    <w:rPr>
      <w:rFonts w:eastAsia="黑体"/>
      <w:snapToGrid w:val="0"/>
      <w:sz w:val="22"/>
      <w:lang w:val="en-US"/>
    </w:rPr>
  </w:style>
  <w:style w:type="paragraph" w:customStyle="1" w:styleId="af6">
    <w:name w:val="悬挂"/>
    <w:basedOn w:val="SingleTxtGC"/>
    <w:qFormat/>
    <w:rsid w:val="007C3A88"/>
    <w:pPr>
      <w:ind w:left="1565" w:hanging="431"/>
    </w:pPr>
  </w:style>
  <w:style w:type="paragraph" w:customStyle="1" w:styleId="af7">
    <w:name w:val="表中标题"/>
    <w:basedOn w:val="SingleTxtGC"/>
    <w:qFormat/>
    <w:rsid w:val="007C3A88"/>
    <w:pPr>
      <w:spacing w:before="80" w:after="80" w:line="200" w:lineRule="exact"/>
      <w:ind w:left="0" w:right="0"/>
      <w:jc w:val="left"/>
    </w:pPr>
    <w:rPr>
      <w:rFonts w:eastAsia="楷体_GB2312"/>
      <w:sz w:val="18"/>
    </w:rPr>
  </w:style>
  <w:style w:type="paragraph" w:customStyle="1" w:styleId="af8">
    <w:name w:val="表数文字"/>
    <w:basedOn w:val="SingleTxtGC"/>
    <w:qFormat/>
    <w:rsid w:val="007C3A88"/>
    <w:pPr>
      <w:spacing w:before="40" w:after="40" w:line="240" w:lineRule="atLeast"/>
      <w:ind w:left="0" w:right="113"/>
    </w:pPr>
    <w:rPr>
      <w:sz w:val="18"/>
    </w:rPr>
  </w:style>
  <w:style w:type="paragraph" w:customStyle="1" w:styleId="af9">
    <w:name w:val="目录"/>
    <w:basedOn w:val="a"/>
    <w:rsid w:val="007C3A88"/>
    <w:pPr>
      <w:widowControl w:val="0"/>
      <w:tabs>
        <w:tab w:val="left" w:pos="510"/>
        <w:tab w:val="left" w:pos="7201"/>
        <w:tab w:val="left" w:pos="7711"/>
        <w:tab w:val="left" w:pos="8618"/>
        <w:tab w:val="right" w:pos="9356"/>
      </w:tabs>
      <w:overflowPunct w:val="0"/>
      <w:adjustRightInd w:val="0"/>
      <w:snapToGrid w:val="0"/>
      <w:spacing w:line="360" w:lineRule="auto"/>
      <w:jc w:val="left"/>
    </w:pPr>
    <w:rPr>
      <w:rFonts w:eastAsia="楷体_GB2312"/>
      <w:noProof/>
      <w:kern w:val="0"/>
      <w:sz w:val="24"/>
    </w:rPr>
  </w:style>
  <w:style w:type="paragraph" w:styleId="afa">
    <w:name w:val="Body Text"/>
    <w:basedOn w:val="a"/>
    <w:link w:val="Char7"/>
    <w:rsid w:val="007C3A88"/>
    <w:pPr>
      <w:suppressAutoHyphens/>
      <w:spacing w:after="120" w:line="240" w:lineRule="auto"/>
      <w:jc w:val="left"/>
    </w:pPr>
    <w:rPr>
      <w:kern w:val="0"/>
      <w:sz w:val="24"/>
      <w:lang w:val="en-GB" w:eastAsia="ar-SA"/>
    </w:rPr>
  </w:style>
  <w:style w:type="character" w:customStyle="1" w:styleId="Char7">
    <w:name w:val="正文文本 Char"/>
    <w:basedOn w:val="a0"/>
    <w:link w:val="afa"/>
    <w:rsid w:val="007C3A88"/>
    <w:rPr>
      <w:rFonts w:eastAsia="宋体"/>
      <w:sz w:val="24"/>
      <w:lang w:eastAsia="ar-SA"/>
    </w:rPr>
  </w:style>
  <w:style w:type="paragraph" w:customStyle="1" w:styleId="H23G">
    <w:name w:val="_ H_2/3_G"/>
    <w:basedOn w:val="a"/>
    <w:next w:val="a"/>
    <w:link w:val="H23GChar"/>
    <w:rsid w:val="007C3A88"/>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H23GChar">
    <w:name w:val="_ H_2/3_G Char"/>
    <w:link w:val="H23G"/>
    <w:rsid w:val="007C3A88"/>
    <w:rPr>
      <w:rFonts w:eastAsia="宋体"/>
      <w:b/>
      <w:lang w:eastAsia="en-US"/>
    </w:rPr>
  </w:style>
  <w:style w:type="paragraph" w:customStyle="1" w:styleId="SingleTxtG">
    <w:name w:val="_ Single Txt_G"/>
    <w:basedOn w:val="a"/>
    <w:rsid w:val="007C3A88"/>
    <w:pPr>
      <w:suppressAutoHyphens/>
      <w:spacing w:after="120" w:line="240" w:lineRule="atLeast"/>
      <w:ind w:left="1134" w:right="1134"/>
    </w:pPr>
    <w:rPr>
      <w:kern w:val="0"/>
      <w:sz w:val="20"/>
      <w:lang w:val="en-GB" w:eastAsia="en-US"/>
    </w:rPr>
  </w:style>
  <w:style w:type="paragraph" w:styleId="afb">
    <w:name w:val="Plain Text"/>
    <w:basedOn w:val="a"/>
    <w:link w:val="Char8"/>
    <w:rsid w:val="007C3A88"/>
    <w:pPr>
      <w:tabs>
        <w:tab w:val="left" w:pos="431"/>
      </w:tabs>
      <w:overflowPunct w:val="0"/>
      <w:adjustRightInd w:val="0"/>
      <w:snapToGrid w:val="0"/>
    </w:pPr>
    <w:rPr>
      <w:rFonts w:ascii="宋体" w:hAnsi="Courier New" w:cs="Courier New"/>
      <w:snapToGrid w:val="0"/>
      <w:kern w:val="0"/>
      <w:szCs w:val="21"/>
    </w:rPr>
  </w:style>
  <w:style w:type="character" w:customStyle="1" w:styleId="Char8">
    <w:name w:val="纯文本 Char"/>
    <w:basedOn w:val="a0"/>
    <w:link w:val="afb"/>
    <w:rsid w:val="007C3A88"/>
    <w:rPr>
      <w:rFonts w:ascii="宋体" w:eastAsia="宋体" w:hAnsi="Courier New" w:cs="Courier New"/>
      <w:snapToGrid w:val="0"/>
      <w:sz w:val="21"/>
      <w:szCs w:val="21"/>
      <w:lang w:val="en-US"/>
    </w:rPr>
  </w:style>
  <w:style w:type="paragraph" w:styleId="afc">
    <w:name w:val="Title"/>
    <w:basedOn w:val="a"/>
    <w:link w:val="Char9"/>
    <w:uiPriority w:val="10"/>
    <w:qFormat/>
    <w:rsid w:val="007C3A88"/>
    <w:pPr>
      <w:tabs>
        <w:tab w:val="left" w:pos="431"/>
      </w:tabs>
      <w:overflowPunct w:val="0"/>
      <w:adjustRightInd w:val="0"/>
      <w:snapToGrid w:val="0"/>
      <w:spacing w:before="240" w:after="60"/>
      <w:jc w:val="center"/>
      <w:outlineLvl w:val="0"/>
    </w:pPr>
    <w:rPr>
      <w:rFonts w:ascii="Arial" w:hAnsi="Arial" w:cs="Arial"/>
      <w:b/>
      <w:bCs/>
      <w:snapToGrid w:val="0"/>
      <w:kern w:val="0"/>
      <w:sz w:val="32"/>
      <w:szCs w:val="32"/>
    </w:rPr>
  </w:style>
  <w:style w:type="character" w:customStyle="1" w:styleId="Char9">
    <w:name w:val="标题 Char"/>
    <w:basedOn w:val="a0"/>
    <w:link w:val="afc"/>
    <w:uiPriority w:val="10"/>
    <w:rsid w:val="007C3A88"/>
    <w:rPr>
      <w:rFonts w:ascii="Arial" w:eastAsia="宋体" w:hAnsi="Arial" w:cs="Arial"/>
      <w:b/>
      <w:bCs/>
      <w:snapToGrid w:val="0"/>
      <w:sz w:val="32"/>
      <w:szCs w:val="32"/>
      <w:lang w:val="en-US"/>
    </w:rPr>
  </w:style>
  <w:style w:type="character" w:customStyle="1" w:styleId="sb8d990e2">
    <w:name w:val="sb8d990e2"/>
    <w:rsid w:val="007C3A88"/>
  </w:style>
  <w:style w:type="character" w:customStyle="1" w:styleId="s6b621b36">
    <w:name w:val="s6b621b36"/>
    <w:rsid w:val="007C3A88"/>
  </w:style>
  <w:style w:type="character" w:customStyle="1" w:styleId="5GCharChar">
    <w:name w:val="5_G Char Char"/>
    <w:rsid w:val="007C3A88"/>
    <w:rPr>
      <w:sz w:val="18"/>
      <w:lang w:val="en-GB" w:eastAsia="en-US" w:bidi="ar-SA"/>
    </w:rPr>
  </w:style>
  <w:style w:type="paragraph" w:customStyle="1" w:styleId="afd">
    <w:name w:val="表中文字"/>
    <w:basedOn w:val="SingleTxtGC"/>
    <w:qFormat/>
    <w:rsid w:val="007C3A88"/>
    <w:pPr>
      <w:spacing w:before="40" w:line="240" w:lineRule="atLeast"/>
      <w:ind w:left="0" w:right="113"/>
    </w:pPr>
    <w:rPr>
      <w:sz w:val="18"/>
    </w:rPr>
  </w:style>
  <w:style w:type="paragraph" w:styleId="31">
    <w:name w:val="toc 3"/>
    <w:basedOn w:val="a"/>
    <w:next w:val="a"/>
    <w:autoRedefine/>
    <w:uiPriority w:val="39"/>
    <w:qFormat/>
    <w:rsid w:val="007C3A88"/>
    <w:pPr>
      <w:overflowPunct w:val="0"/>
      <w:adjustRightInd w:val="0"/>
      <w:snapToGrid w:val="0"/>
      <w:ind w:left="840"/>
    </w:pPr>
    <w:rPr>
      <w:snapToGrid w:val="0"/>
      <w:kern w:val="0"/>
    </w:rPr>
  </w:style>
  <w:style w:type="paragraph" w:styleId="41">
    <w:name w:val="toc 4"/>
    <w:basedOn w:val="a"/>
    <w:next w:val="a"/>
    <w:autoRedefine/>
    <w:uiPriority w:val="39"/>
    <w:rsid w:val="007C3A88"/>
    <w:pPr>
      <w:overflowPunct w:val="0"/>
      <w:adjustRightInd w:val="0"/>
      <w:snapToGrid w:val="0"/>
      <w:ind w:left="1260"/>
    </w:pPr>
    <w:rPr>
      <w:snapToGrid w:val="0"/>
      <w:kern w:val="0"/>
    </w:rPr>
  </w:style>
  <w:style w:type="character" w:customStyle="1" w:styleId="st">
    <w:name w:val="st"/>
    <w:rsid w:val="007C3A88"/>
  </w:style>
  <w:style w:type="paragraph" w:customStyle="1" w:styleId="Paragraphedeliste">
    <w:name w:val="Paragraphe de liste"/>
    <w:basedOn w:val="a"/>
    <w:qFormat/>
    <w:rsid w:val="007C3A88"/>
    <w:pPr>
      <w:spacing w:after="160" w:line="259" w:lineRule="auto"/>
      <w:ind w:left="720"/>
      <w:contextualSpacing/>
      <w:jc w:val="left"/>
    </w:pPr>
    <w:rPr>
      <w:rFonts w:ascii="Calibri" w:eastAsia="Calibri" w:hAnsi="Calibri"/>
      <w:kern w:val="0"/>
      <w:sz w:val="22"/>
      <w:szCs w:val="22"/>
      <w:lang w:val="en-GB" w:eastAsia="en-US"/>
    </w:rPr>
  </w:style>
  <w:style w:type="character" w:customStyle="1" w:styleId="atn">
    <w:name w:val="atn"/>
    <w:basedOn w:val="a0"/>
    <w:rsid w:val="007C3A88"/>
  </w:style>
  <w:style w:type="character" w:customStyle="1" w:styleId="hps">
    <w:name w:val="hps"/>
    <w:basedOn w:val="a0"/>
    <w:rsid w:val="007C3A88"/>
  </w:style>
  <w:style w:type="paragraph" w:styleId="afe">
    <w:name w:val="Subtitle"/>
    <w:basedOn w:val="a"/>
    <w:next w:val="a"/>
    <w:link w:val="Chara"/>
    <w:uiPriority w:val="11"/>
    <w:qFormat/>
    <w:rsid w:val="007C3A88"/>
    <w:pPr>
      <w:spacing w:after="600" w:line="276" w:lineRule="auto"/>
      <w:jc w:val="left"/>
    </w:pPr>
    <w:rPr>
      <w:rFonts w:ascii="Cambria" w:hAnsi="Cambria"/>
      <w:i/>
      <w:iCs/>
      <w:color w:val="000000"/>
      <w:spacing w:val="13"/>
      <w:kern w:val="0"/>
      <w:sz w:val="24"/>
      <w:szCs w:val="24"/>
      <w:lang w:eastAsia="en-US"/>
    </w:rPr>
  </w:style>
  <w:style w:type="character" w:customStyle="1" w:styleId="Chara">
    <w:name w:val="副标题 Char"/>
    <w:basedOn w:val="a0"/>
    <w:link w:val="afe"/>
    <w:uiPriority w:val="11"/>
    <w:rsid w:val="007C3A88"/>
    <w:rPr>
      <w:rFonts w:ascii="Cambria" w:eastAsia="宋体" w:hAnsi="Cambria"/>
      <w:i/>
      <w:iCs/>
      <w:color w:val="000000"/>
      <w:spacing w:val="13"/>
      <w:sz w:val="24"/>
      <w:szCs w:val="24"/>
      <w:lang w:val="en-US" w:eastAsia="en-US"/>
    </w:rPr>
  </w:style>
  <w:style w:type="character" w:styleId="aff">
    <w:name w:val="Strong"/>
    <w:uiPriority w:val="22"/>
    <w:qFormat/>
    <w:rsid w:val="007C3A88"/>
    <w:rPr>
      <w:b/>
      <w:bCs/>
    </w:rPr>
  </w:style>
  <w:style w:type="character" w:styleId="aff0">
    <w:name w:val="Emphasis"/>
    <w:uiPriority w:val="20"/>
    <w:qFormat/>
    <w:rsid w:val="007C3A88"/>
    <w:rPr>
      <w:b/>
      <w:bCs/>
      <w:i/>
      <w:iCs/>
      <w:spacing w:val="10"/>
      <w:bdr w:val="none" w:sz="0" w:space="0" w:color="auto"/>
      <w:shd w:val="clear" w:color="auto" w:fill="auto"/>
    </w:rPr>
  </w:style>
  <w:style w:type="character" w:customStyle="1" w:styleId="1-4Char">
    <w:name w:val="中等深浅网格 1 - 强调文字颜色 4 Char"/>
    <w:link w:val="1-4"/>
    <w:uiPriority w:val="29"/>
    <w:rsid w:val="007C3A88"/>
    <w:rPr>
      <w:i/>
      <w:iCs/>
      <w:color w:val="000000"/>
      <w:sz w:val="24"/>
      <w:szCs w:val="24"/>
      <w:lang w:eastAsia="en-US"/>
    </w:rPr>
  </w:style>
  <w:style w:type="table" w:styleId="1-4">
    <w:name w:val="Medium Grid 1 Accent 4"/>
    <w:basedOn w:val="a1"/>
    <w:link w:val="1-4Char"/>
    <w:uiPriority w:val="29"/>
    <w:rsid w:val="007C3A88"/>
    <w:rPr>
      <w:i/>
      <w:iCs/>
      <w:color w:val="000000"/>
      <w:sz w:val="24"/>
      <w:szCs w:val="24"/>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lastRow">
      <w:tblPr/>
      <w:tcPr>
        <w:tcBorders>
          <w:top w:val="single" w:sz="18" w:space="0" w:color="9F8AB9" w:themeColor="accent4" w:themeTint="BF"/>
        </w:tcBorders>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2-4Char">
    <w:name w:val="中等深浅网格 2 - 强调文字颜色 4 Char"/>
    <w:link w:val="2-4"/>
    <w:uiPriority w:val="30"/>
    <w:rsid w:val="007C3A88"/>
    <w:rPr>
      <w:b/>
      <w:bCs/>
      <w:i/>
      <w:iCs/>
      <w:color w:val="000000"/>
      <w:sz w:val="24"/>
      <w:szCs w:val="24"/>
      <w:lang w:eastAsia="en-US"/>
    </w:rPr>
  </w:style>
  <w:style w:type="table" w:styleId="2-4">
    <w:name w:val="Medium Grid 2 Accent 4"/>
    <w:basedOn w:val="a1"/>
    <w:link w:val="2-4Char"/>
    <w:uiPriority w:val="30"/>
    <w:rsid w:val="007C3A88"/>
    <w:rPr>
      <w:b/>
      <w:bCs/>
      <w:i/>
      <w:iCs/>
      <w:color w:val="000000"/>
      <w:sz w:val="24"/>
      <w:szCs w:val="24"/>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tblPr/>
      <w:tcPr>
        <w:shd w:val="clear" w:color="auto" w:fill="F2EFF6" w:themeFill="accent4"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11">
    <w:name w:val="不明显强调1"/>
    <w:uiPriority w:val="19"/>
    <w:qFormat/>
    <w:rsid w:val="007C3A88"/>
    <w:rPr>
      <w:i/>
      <w:iCs/>
    </w:rPr>
  </w:style>
  <w:style w:type="character" w:customStyle="1" w:styleId="12">
    <w:name w:val="明显强调1"/>
    <w:uiPriority w:val="21"/>
    <w:qFormat/>
    <w:rsid w:val="007C3A88"/>
    <w:rPr>
      <w:b/>
      <w:bCs/>
    </w:rPr>
  </w:style>
  <w:style w:type="character" w:customStyle="1" w:styleId="13">
    <w:name w:val="不明显参考1"/>
    <w:uiPriority w:val="31"/>
    <w:qFormat/>
    <w:rsid w:val="007C3A88"/>
    <w:rPr>
      <w:smallCaps/>
    </w:rPr>
  </w:style>
  <w:style w:type="character" w:customStyle="1" w:styleId="14">
    <w:name w:val="明显参考1"/>
    <w:uiPriority w:val="32"/>
    <w:qFormat/>
    <w:rsid w:val="007C3A88"/>
    <w:rPr>
      <w:smallCaps/>
      <w:spacing w:val="5"/>
      <w:u w:val="single"/>
    </w:rPr>
  </w:style>
  <w:style w:type="character" w:customStyle="1" w:styleId="15">
    <w:name w:val="书籍标题1"/>
    <w:uiPriority w:val="33"/>
    <w:qFormat/>
    <w:rsid w:val="007C3A88"/>
    <w:rPr>
      <w:i/>
      <w:iCs/>
      <w:smallCaps/>
      <w:spacing w:val="5"/>
    </w:rPr>
  </w:style>
  <w:style w:type="paragraph" w:customStyle="1" w:styleId="TOC1">
    <w:name w:val="TOC 标题1"/>
    <w:basedOn w:val="1"/>
    <w:next w:val="a"/>
    <w:uiPriority w:val="39"/>
    <w:unhideWhenUsed/>
    <w:qFormat/>
    <w:rsid w:val="007C3A88"/>
    <w:pPr>
      <w:keepNext w:val="0"/>
      <w:keepLines w:val="0"/>
      <w:tabs>
        <w:tab w:val="clear" w:pos="1021"/>
        <w:tab w:val="clear" w:pos="1264"/>
        <w:tab w:val="clear" w:pos="1695"/>
        <w:tab w:val="clear" w:pos="2126"/>
        <w:tab w:val="clear" w:pos="2557"/>
      </w:tabs>
      <w:spacing w:before="480" w:after="200" w:line="276" w:lineRule="auto"/>
      <w:ind w:left="0" w:right="0" w:firstLine="0"/>
      <w:contextualSpacing/>
      <w:jc w:val="left"/>
      <w:outlineLvl w:val="9"/>
    </w:pPr>
    <w:rPr>
      <w:rFonts w:ascii="Cambria" w:eastAsia="宋体" w:hAnsi="Cambria" w:cs="Times New Roman"/>
      <w:b/>
      <w:snapToGrid w:val="0"/>
      <w:color w:val="000000"/>
      <w:kern w:val="0"/>
      <w:lang w:eastAsia="en-US" w:bidi="en-US"/>
    </w:rPr>
  </w:style>
  <w:style w:type="character" w:customStyle="1" w:styleId="breadcrumb">
    <w:name w:val="breadcrumb"/>
    <w:rsid w:val="007C3A88"/>
  </w:style>
  <w:style w:type="paragraph" w:customStyle="1" w:styleId="style3style3style3">
    <w:name w:val="style3 style3 style3"/>
    <w:basedOn w:val="a"/>
    <w:rsid w:val="007C3A88"/>
    <w:pPr>
      <w:spacing w:beforeLines="1" w:afterLines="1" w:line="240" w:lineRule="auto"/>
      <w:jc w:val="left"/>
    </w:pPr>
    <w:rPr>
      <w:rFonts w:ascii="Times" w:hAnsi="Times" w:cs="Arial"/>
      <w:kern w:val="0"/>
      <w:sz w:val="20"/>
      <w:szCs w:val="24"/>
      <w:lang w:eastAsia="ja-JP"/>
    </w:rPr>
  </w:style>
  <w:style w:type="character" w:customStyle="1" w:styleId="highlight">
    <w:name w:val="highlight"/>
    <w:rsid w:val="007C3A88"/>
  </w:style>
  <w:style w:type="character" w:customStyle="1" w:styleId="additionalfieldscustomsecondarytext">
    <w:name w:val="additionalfields customsecondarytext"/>
    <w:rsid w:val="007C3A88"/>
  </w:style>
  <w:style w:type="paragraph" w:customStyle="1" w:styleId="HChG">
    <w:name w:val="_ H _Ch_G"/>
    <w:basedOn w:val="a"/>
    <w:next w:val="a"/>
    <w:rsid w:val="007C3A88"/>
    <w:pPr>
      <w:keepNext/>
      <w:keepLines/>
      <w:tabs>
        <w:tab w:val="right" w:pos="851"/>
      </w:tabs>
      <w:suppressAutoHyphens/>
      <w:spacing w:before="360" w:after="240" w:line="300" w:lineRule="exact"/>
      <w:ind w:left="1134" w:right="1134" w:hanging="1134"/>
      <w:jc w:val="left"/>
    </w:pPr>
    <w:rPr>
      <w:b/>
      <w:kern w:val="0"/>
      <w:sz w:val="28"/>
      <w:szCs w:val="24"/>
      <w:lang w:val="en-GB" w:eastAsia="ja-JP"/>
    </w:rPr>
  </w:style>
  <w:style w:type="character" w:customStyle="1" w:styleId="il">
    <w:name w:val="il"/>
    <w:rsid w:val="007C3A88"/>
  </w:style>
  <w:style w:type="paragraph" w:styleId="16">
    <w:name w:val="toc 1"/>
    <w:basedOn w:val="a"/>
    <w:next w:val="a"/>
    <w:autoRedefine/>
    <w:uiPriority w:val="39"/>
    <w:unhideWhenUsed/>
    <w:qFormat/>
    <w:rsid w:val="007C3A88"/>
    <w:pPr>
      <w:spacing w:before="120" w:line="240" w:lineRule="auto"/>
      <w:jc w:val="left"/>
    </w:pPr>
    <w:rPr>
      <w:rFonts w:eastAsia="MS Mincho"/>
      <w:b/>
      <w:kern w:val="0"/>
      <w:sz w:val="24"/>
      <w:szCs w:val="24"/>
      <w:lang w:eastAsia="en-US"/>
    </w:rPr>
  </w:style>
  <w:style w:type="paragraph" w:styleId="21">
    <w:name w:val="toc 2"/>
    <w:basedOn w:val="a"/>
    <w:next w:val="a"/>
    <w:autoRedefine/>
    <w:uiPriority w:val="39"/>
    <w:unhideWhenUsed/>
    <w:qFormat/>
    <w:rsid w:val="007C3A88"/>
    <w:pPr>
      <w:spacing w:line="240" w:lineRule="auto"/>
      <w:ind w:left="240"/>
      <w:jc w:val="left"/>
    </w:pPr>
    <w:rPr>
      <w:rFonts w:ascii="Calibri" w:eastAsia="MS Mincho" w:hAnsi="Calibri"/>
      <w:b/>
      <w:kern w:val="0"/>
      <w:sz w:val="22"/>
      <w:szCs w:val="22"/>
      <w:lang w:eastAsia="en-US"/>
    </w:rPr>
  </w:style>
  <w:style w:type="paragraph" w:customStyle="1" w:styleId="H1G">
    <w:name w:val="_ H_1_G"/>
    <w:basedOn w:val="a"/>
    <w:next w:val="a"/>
    <w:rsid w:val="007C3A88"/>
    <w:pPr>
      <w:keepNext/>
      <w:keepLines/>
      <w:tabs>
        <w:tab w:val="right" w:pos="851"/>
      </w:tabs>
      <w:suppressAutoHyphens/>
      <w:spacing w:before="360" w:after="240" w:line="270" w:lineRule="exact"/>
      <w:ind w:left="1134" w:right="1134" w:hanging="1134"/>
      <w:jc w:val="left"/>
    </w:pPr>
    <w:rPr>
      <w:b/>
      <w:kern w:val="0"/>
      <w:sz w:val="24"/>
      <w:lang w:val="en-GB" w:eastAsia="en-US"/>
    </w:rPr>
  </w:style>
  <w:style w:type="character" w:customStyle="1" w:styleId="CharChar2">
    <w:name w:val="Char Char2"/>
    <w:rsid w:val="007C3A88"/>
    <w:rPr>
      <w:lang w:val="en-GB"/>
    </w:rPr>
  </w:style>
  <w:style w:type="character" w:customStyle="1" w:styleId="preferred">
    <w:name w:val="preferred"/>
    <w:rsid w:val="007C3A88"/>
  </w:style>
  <w:style w:type="character" w:customStyle="1" w:styleId="zh">
    <w:name w:val="zh"/>
    <w:rsid w:val="007C3A88"/>
  </w:style>
  <w:style w:type="paragraph" w:styleId="aff1">
    <w:name w:val="Document Map"/>
    <w:basedOn w:val="a"/>
    <w:link w:val="Charb"/>
    <w:uiPriority w:val="99"/>
    <w:rsid w:val="007C3A88"/>
    <w:pPr>
      <w:tabs>
        <w:tab w:val="left" w:pos="431"/>
      </w:tabs>
      <w:overflowPunct w:val="0"/>
      <w:adjustRightInd w:val="0"/>
      <w:snapToGrid w:val="0"/>
      <w:spacing w:line="240" w:lineRule="auto"/>
    </w:pPr>
    <w:rPr>
      <w:rFonts w:ascii="Lucida Grande" w:hAnsi="Lucida Grande" w:cs="Lucida Grande"/>
      <w:snapToGrid w:val="0"/>
      <w:kern w:val="0"/>
      <w:sz w:val="24"/>
      <w:szCs w:val="24"/>
    </w:rPr>
  </w:style>
  <w:style w:type="character" w:customStyle="1" w:styleId="Charb">
    <w:name w:val="文档结构图 Char"/>
    <w:basedOn w:val="a0"/>
    <w:link w:val="aff1"/>
    <w:uiPriority w:val="99"/>
    <w:rsid w:val="007C3A88"/>
    <w:rPr>
      <w:rFonts w:ascii="Lucida Grande" w:eastAsia="宋体" w:hAnsi="Lucida Grande" w:cs="Lucida Grande"/>
      <w:snapToGrid w:val="0"/>
      <w:sz w:val="24"/>
      <w:szCs w:val="24"/>
      <w:lang w:val="en-US"/>
    </w:rPr>
  </w:style>
  <w:style w:type="paragraph" w:styleId="HTML">
    <w:name w:val="HTML Preformatted"/>
    <w:basedOn w:val="a"/>
    <w:link w:val="HTMLChar"/>
    <w:uiPriority w:val="99"/>
    <w:unhideWhenUsed/>
    <w:rsid w:val="007C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rPr>
  </w:style>
  <w:style w:type="character" w:customStyle="1" w:styleId="HTMLChar">
    <w:name w:val="HTML 预设格式 Char"/>
    <w:basedOn w:val="a0"/>
    <w:link w:val="HTML"/>
    <w:uiPriority w:val="99"/>
    <w:rsid w:val="007C3A88"/>
    <w:rPr>
      <w:rFonts w:ascii="Courier New" w:eastAsia="Times New Roman" w:hAnsi="Courier New" w:cs="Courier New"/>
      <w:lang w:val="en-US"/>
    </w:rPr>
  </w:style>
  <w:style w:type="paragraph" w:customStyle="1" w:styleId="Bullet3">
    <w:name w:val="Bullet 3"/>
    <w:basedOn w:val="SingleTxt"/>
    <w:qFormat/>
    <w:rsid w:val="00F53060"/>
    <w:pPr>
      <w:numPr>
        <w:numId w:val="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rPr>
      <w:rFonts w:eastAsiaTheme="minorEastAsia"/>
    </w:rPr>
  </w:style>
  <w:style w:type="numbering" w:customStyle="1" w:styleId="17">
    <w:name w:val="无列表1"/>
    <w:next w:val="a2"/>
    <w:uiPriority w:val="99"/>
    <w:semiHidden/>
    <w:unhideWhenUsed/>
    <w:rsid w:val="00F53060"/>
  </w:style>
  <w:style w:type="paragraph" w:styleId="aff2">
    <w:name w:val="List Paragraph"/>
    <w:basedOn w:val="a"/>
    <w:uiPriority w:val="34"/>
    <w:qFormat/>
    <w:rsid w:val="00F53060"/>
    <w:pPr>
      <w:spacing w:line="240" w:lineRule="auto"/>
      <w:ind w:left="720"/>
      <w:contextualSpacing/>
      <w:jc w:val="left"/>
    </w:pPr>
    <w:rPr>
      <w:rFonts w:eastAsia="Times New Roman"/>
      <w:kern w:val="0"/>
      <w:sz w:val="24"/>
      <w:szCs w:val="24"/>
      <w:lang w:eastAsia="en-US"/>
    </w:rPr>
  </w:style>
  <w:style w:type="character" w:customStyle="1" w:styleId="FootnoteCharacters">
    <w:name w:val="Footnote Characters"/>
    <w:rsid w:val="00F53060"/>
    <w:rPr>
      <w:vertAlign w:val="superscript"/>
    </w:rPr>
  </w:style>
  <w:style w:type="paragraph" w:customStyle="1" w:styleId="Default">
    <w:name w:val="Default"/>
    <w:rsid w:val="00F53060"/>
    <w:pPr>
      <w:widowControl w:val="0"/>
      <w:autoSpaceDE w:val="0"/>
      <w:autoSpaceDN w:val="0"/>
      <w:adjustRightInd w:val="0"/>
    </w:pPr>
    <w:rPr>
      <w:rFonts w:ascii="KNHKPP+TimesNewRoman" w:eastAsia="Times New Roman" w:hAnsi="KNHKPP+TimesNewRoman" w:cs="KNHKPP+TimesNewRoman"/>
      <w:color w:val="000000"/>
      <w:sz w:val="24"/>
      <w:szCs w:val="24"/>
      <w:lang w:val="en-US" w:eastAsia="en-US" w:bidi="en-US"/>
    </w:rPr>
  </w:style>
  <w:style w:type="character" w:customStyle="1" w:styleId="Char10">
    <w:name w:val="文档结构图 Char1"/>
    <w:basedOn w:val="a0"/>
    <w:rsid w:val="00F53060"/>
    <w:rPr>
      <w:rFonts w:ascii="宋体" w:eastAsia="宋体"/>
      <w:kern w:val="14"/>
      <w:sz w:val="18"/>
      <w:szCs w:val="18"/>
      <w:lang w:val="en-US"/>
    </w:rPr>
  </w:style>
  <w:style w:type="paragraph" w:styleId="aff3">
    <w:name w:val="No Spacing"/>
    <w:uiPriority w:val="1"/>
    <w:qFormat/>
    <w:rsid w:val="00F53060"/>
    <w:rPr>
      <w:rFonts w:eastAsia="Times New Roman"/>
      <w:sz w:val="24"/>
      <w:szCs w:val="24"/>
      <w:lang w:val="en-US" w:eastAsia="en-US"/>
    </w:rPr>
  </w:style>
  <w:style w:type="paragraph" w:styleId="50">
    <w:name w:val="toc 5"/>
    <w:basedOn w:val="a"/>
    <w:next w:val="a"/>
    <w:autoRedefine/>
    <w:uiPriority w:val="39"/>
    <w:unhideWhenUsed/>
    <w:rsid w:val="00F53060"/>
    <w:pPr>
      <w:tabs>
        <w:tab w:val="left" w:pos="1613"/>
        <w:tab w:val="right" w:leader="dot" w:pos="8630"/>
      </w:tabs>
      <w:spacing w:after="100" w:line="240" w:lineRule="auto"/>
      <w:ind w:left="960"/>
    </w:pPr>
    <w:rPr>
      <w:rFonts w:eastAsia="Times New Roman"/>
      <w:kern w:val="0"/>
      <w:sz w:val="24"/>
      <w:szCs w:val="24"/>
      <w:lang w:eastAsia="en-US"/>
    </w:rPr>
  </w:style>
  <w:style w:type="paragraph" w:styleId="60">
    <w:name w:val="toc 6"/>
    <w:basedOn w:val="a"/>
    <w:next w:val="a"/>
    <w:autoRedefine/>
    <w:uiPriority w:val="39"/>
    <w:unhideWhenUsed/>
    <w:rsid w:val="00F53060"/>
    <w:pPr>
      <w:spacing w:after="100" w:line="240" w:lineRule="auto"/>
      <w:ind w:left="1200"/>
      <w:jc w:val="left"/>
    </w:pPr>
    <w:rPr>
      <w:rFonts w:eastAsia="Times New Roman"/>
      <w:kern w:val="0"/>
      <w:sz w:val="24"/>
      <w:szCs w:val="24"/>
      <w:lang w:eastAsia="en-US"/>
    </w:rPr>
  </w:style>
  <w:style w:type="character" w:customStyle="1" w:styleId="spelle">
    <w:name w:val="spelle"/>
    <w:basedOn w:val="a0"/>
    <w:rsid w:val="00F53060"/>
  </w:style>
  <w:style w:type="character" w:customStyle="1" w:styleId="searchword">
    <w:name w:val="searchword"/>
    <w:basedOn w:val="a0"/>
    <w:rsid w:val="00F53060"/>
  </w:style>
  <w:style w:type="character" w:customStyle="1" w:styleId="caps">
    <w:name w:val="caps"/>
    <w:basedOn w:val="a0"/>
    <w:rsid w:val="00F53060"/>
  </w:style>
  <w:style w:type="character" w:customStyle="1" w:styleId="file">
    <w:name w:val="file"/>
    <w:basedOn w:val="a0"/>
    <w:rsid w:val="00F53060"/>
  </w:style>
  <w:style w:type="character" w:customStyle="1" w:styleId="doctitle">
    <w:name w:val="doctitle"/>
    <w:basedOn w:val="a0"/>
    <w:rsid w:val="00F53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page number" w:uiPriority="99" w:qFormat="1"/>
    <w:lsdException w:name="endnote reference" w:qFormat="1"/>
    <w:lsdException w:name="endnote text" w:qFormat="1"/>
    <w:lsdException w:name="Title" w:uiPriority="10" w:qFormat="1"/>
    <w:lsdException w:name="Subtitle" w:uiPriority="11" w:qFormat="1"/>
    <w:lsdException w:name="Hyperlink" w:uiPriority="99"/>
    <w:lsdException w:name="Followed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uiPriority w:val="9"/>
    <w:qFormat/>
    <w:rsid w:val="007C3A88"/>
    <w:pPr>
      <w:keepNext/>
      <w:keepLines/>
      <w:widowControl w:val="0"/>
      <w:tabs>
        <w:tab w:val="left" w:pos="431"/>
      </w:tabs>
      <w:overflowPunct w:val="0"/>
      <w:adjustRightInd w:val="0"/>
      <w:snapToGrid w:val="0"/>
      <w:spacing w:after="240"/>
      <w:outlineLvl w:val="3"/>
    </w:pPr>
    <w:rPr>
      <w:snapToGrid w:val="0"/>
      <w:kern w:val="0"/>
      <w:u w:val="single"/>
    </w:rPr>
  </w:style>
  <w:style w:type="paragraph" w:styleId="5">
    <w:name w:val="heading 5"/>
    <w:basedOn w:val="a"/>
    <w:next w:val="a"/>
    <w:link w:val="5Char"/>
    <w:uiPriority w:val="9"/>
    <w:qFormat/>
    <w:rsid w:val="007C3A88"/>
    <w:pPr>
      <w:tabs>
        <w:tab w:val="left" w:pos="431"/>
      </w:tabs>
      <w:overflowPunct w:val="0"/>
      <w:adjustRightInd w:val="0"/>
      <w:snapToGrid w:val="0"/>
      <w:spacing w:after="240"/>
      <w:outlineLvl w:val="4"/>
    </w:pPr>
    <w:rPr>
      <w:rFonts w:eastAsia="黑体"/>
      <w:bCs/>
      <w:snapToGrid w:val="0"/>
      <w:kern w:val="0"/>
      <w:szCs w:val="36"/>
    </w:rPr>
  </w:style>
  <w:style w:type="paragraph" w:styleId="6">
    <w:name w:val="heading 6"/>
    <w:basedOn w:val="a"/>
    <w:next w:val="a"/>
    <w:link w:val="6Char"/>
    <w:uiPriority w:val="9"/>
    <w:qFormat/>
    <w:rsid w:val="007C3A88"/>
    <w:pPr>
      <w:keepNext/>
      <w:keepLines/>
      <w:tabs>
        <w:tab w:val="left" w:pos="431"/>
      </w:tabs>
      <w:overflowPunct w:val="0"/>
      <w:adjustRightInd w:val="0"/>
      <w:snapToGrid w:val="0"/>
      <w:spacing w:before="240" w:after="64" w:line="320" w:lineRule="auto"/>
      <w:outlineLvl w:val="5"/>
    </w:pPr>
    <w:rPr>
      <w:rFonts w:ascii="Arial" w:eastAsia="黑体" w:hAnsi="Arial"/>
      <w:b/>
      <w:bCs/>
      <w:snapToGrid w:val="0"/>
      <w:kern w:val="0"/>
      <w:szCs w:val="24"/>
    </w:rPr>
  </w:style>
  <w:style w:type="paragraph" w:styleId="7">
    <w:name w:val="heading 7"/>
    <w:basedOn w:val="a"/>
    <w:next w:val="a"/>
    <w:link w:val="7Char"/>
    <w:uiPriority w:val="9"/>
    <w:qFormat/>
    <w:rsid w:val="007C3A88"/>
    <w:pPr>
      <w:keepNext/>
      <w:keepLines/>
      <w:tabs>
        <w:tab w:val="left" w:pos="431"/>
      </w:tabs>
      <w:overflowPunct w:val="0"/>
      <w:adjustRightInd w:val="0"/>
      <w:snapToGrid w:val="0"/>
      <w:spacing w:before="240" w:after="64" w:line="320" w:lineRule="auto"/>
      <w:outlineLvl w:val="6"/>
    </w:pPr>
    <w:rPr>
      <w:b/>
      <w:bCs/>
      <w:snapToGrid w:val="0"/>
      <w:kern w:val="0"/>
      <w:szCs w:val="24"/>
    </w:rPr>
  </w:style>
  <w:style w:type="paragraph" w:styleId="8">
    <w:name w:val="heading 8"/>
    <w:basedOn w:val="a"/>
    <w:next w:val="a"/>
    <w:link w:val="8Char"/>
    <w:uiPriority w:val="9"/>
    <w:qFormat/>
    <w:rsid w:val="007C3A88"/>
    <w:pPr>
      <w:keepNext/>
      <w:keepLines/>
      <w:tabs>
        <w:tab w:val="left" w:pos="431"/>
      </w:tabs>
      <w:overflowPunct w:val="0"/>
      <w:adjustRightInd w:val="0"/>
      <w:snapToGrid w:val="0"/>
      <w:spacing w:before="240" w:after="64" w:line="320" w:lineRule="auto"/>
      <w:outlineLvl w:val="7"/>
    </w:pPr>
    <w:rPr>
      <w:rFonts w:ascii="Arial" w:eastAsia="黑体" w:hAnsi="Arial"/>
      <w:snapToGrid w:val="0"/>
      <w:kern w:val="0"/>
      <w:szCs w:val="24"/>
    </w:rPr>
  </w:style>
  <w:style w:type="paragraph" w:styleId="9">
    <w:name w:val="heading 9"/>
    <w:basedOn w:val="a"/>
    <w:next w:val="a"/>
    <w:link w:val="9Char"/>
    <w:uiPriority w:val="9"/>
    <w:qFormat/>
    <w:rsid w:val="007C3A88"/>
    <w:pPr>
      <w:keepNext/>
      <w:keepLines/>
      <w:tabs>
        <w:tab w:val="left" w:pos="431"/>
      </w:tabs>
      <w:overflowPunct w:val="0"/>
      <w:adjustRightInd w:val="0"/>
      <w:snapToGrid w:val="0"/>
      <w:spacing w:before="240" w:after="64" w:line="320" w:lineRule="auto"/>
      <w:outlineLvl w:val="8"/>
    </w:pPr>
    <w:rPr>
      <w:rFonts w:ascii="Arial" w:eastAsia="黑体" w:hAnsi="Arial"/>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r,英文脚注引用,Appel note de bas de page Char,Texto de nota al pie Char,referencia nota al pie Char,FZ Char,a Footnote Reference Char,a Footnote text + MetaNormal-Roman Char,Appel note de bas de page Char1 Char Char Char Char Char Char"/>
    <w:basedOn w:val="a0"/>
    <w:link w:val="Appelnotedebasdepage"/>
    <w:qFormat/>
    <w:rsid w:val="00803014"/>
    <w:rPr>
      <w:color w:val="auto"/>
      <w:spacing w:val="0"/>
      <w:w w:val="150"/>
      <w:position w:val="0"/>
      <w:vertAlign w:val="superscript"/>
    </w:rPr>
  </w:style>
  <w:style w:type="character" w:styleId="a4">
    <w:name w:val="endnote reference"/>
    <w:basedOn w:val="a3"/>
    <w:qFormat/>
    <w:rsid w:val="001E5A51"/>
    <w:rPr>
      <w:color w:val="auto"/>
      <w:spacing w:val="0"/>
      <w:w w:val="150"/>
      <w:position w:val="0"/>
      <w:vertAlign w:val="superscript"/>
    </w:rPr>
  </w:style>
  <w:style w:type="paragraph" w:styleId="a5">
    <w:name w:val="footnote text"/>
    <w:aliases w:val="5_G,Footnote Expulsion, Char,Char,FOOTNOTES,fn,single space,footnote text,f,ft,Footnote Text 1,Footnote Text Char1,Footnote Text Char Char,Footnote Text Char Char Char,Footnote Text Char2 Char,Footnote Text Char1 Char Char,ALTS FOOTNOTE,AD,ADB"/>
    <w:basedOn w:val="a"/>
    <w:link w:val="Char"/>
    <w:qFormat/>
    <w:rsid w:val="001E5A51"/>
    <w:pPr>
      <w:tabs>
        <w:tab w:val="right" w:pos="418"/>
      </w:tabs>
      <w:spacing w:after="120" w:line="240" w:lineRule="exact"/>
      <w:ind w:left="170" w:hanging="170"/>
    </w:pPr>
    <w:rPr>
      <w:noProof/>
      <w:sz w:val="18"/>
    </w:rPr>
  </w:style>
  <w:style w:type="paragraph" w:styleId="a6">
    <w:name w:val="endnote text"/>
    <w:aliases w:val="2_G"/>
    <w:basedOn w:val="a5"/>
    <w:link w:val="Char0"/>
    <w:qFormat/>
    <w:rsid w:val="001E5A51"/>
  </w:style>
  <w:style w:type="paragraph" w:styleId="a7">
    <w:name w:val="annotation text"/>
    <w:basedOn w:val="a"/>
    <w:link w:val="Char1"/>
    <w:uiPriority w:val="99"/>
    <w:rsid w:val="001E5A51"/>
  </w:style>
  <w:style w:type="paragraph" w:styleId="a8">
    <w:name w:val="annotation subject"/>
    <w:basedOn w:val="a7"/>
    <w:next w:val="a7"/>
    <w:link w:val="Char2"/>
    <w:uiPriority w:val="99"/>
    <w:rsid w:val="001E5A51"/>
    <w:rPr>
      <w:b/>
      <w:bCs/>
    </w:rPr>
  </w:style>
  <w:style w:type="character" w:styleId="a9">
    <w:name w:val="annotation reference"/>
    <w:basedOn w:val="a0"/>
    <w:rsid w:val="001E5A51"/>
    <w:rPr>
      <w:sz w:val="21"/>
      <w:szCs w:val="21"/>
    </w:rPr>
  </w:style>
  <w:style w:type="paragraph" w:styleId="aa">
    <w:name w:val="Balloon Text"/>
    <w:basedOn w:val="a"/>
    <w:link w:val="Char3"/>
    <w:uiPriority w:val="99"/>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link w:val="Char4"/>
    <w:uiPriority w:val="99"/>
    <w:qFormat/>
    <w:rsid w:val="001E5A51"/>
    <w:pPr>
      <w:tabs>
        <w:tab w:val="center" w:pos="4320"/>
        <w:tab w:val="right" w:pos="8640"/>
      </w:tabs>
      <w:jc w:val="both"/>
    </w:pPr>
    <w:rPr>
      <w:noProof/>
      <w:sz w:val="18"/>
      <w:lang w:val="en-US"/>
    </w:rPr>
  </w:style>
  <w:style w:type="paragraph" w:styleId="ac">
    <w:name w:val="footer"/>
    <w:aliases w:val="3_G"/>
    <w:link w:val="Char5"/>
    <w:uiPriority w:val="99"/>
    <w:qFormat/>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uiPriority w:val="99"/>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uiPriority w:val="99"/>
    <w:rsid w:val="001944A4"/>
    <w:rPr>
      <w:sz w:val="24"/>
      <w:szCs w:val="24"/>
    </w:rPr>
  </w:style>
  <w:style w:type="character" w:customStyle="1" w:styleId="1Char">
    <w:name w:val="标题 1 Char"/>
    <w:aliases w:val="Table_G Char"/>
    <w:basedOn w:val="a0"/>
    <w:link w:val="1"/>
    <w:uiPriority w:val="9"/>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uiPriority w:val="9"/>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uiPriority w:val="9"/>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table" w:styleId="af0">
    <w:name w:val="Table Grid"/>
    <w:basedOn w:val="a1"/>
    <w:uiPriority w:val="59"/>
    <w:rsid w:val="0035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GC">
    <w:name w:val="__S_M_GC"/>
    <w:basedOn w:val="a"/>
    <w:next w:val="a"/>
    <w:qFormat/>
    <w:rsid w:val="00B07B56"/>
    <w:pPr>
      <w:keepNext/>
      <w:keepLines/>
      <w:tabs>
        <w:tab w:val="left" w:pos="431"/>
      </w:tabs>
      <w:overflowPunct w:val="0"/>
      <w:adjustRightInd w:val="0"/>
      <w:snapToGrid w:val="0"/>
      <w:spacing w:before="240" w:after="240" w:line="420" w:lineRule="exact"/>
      <w:ind w:left="1134" w:right="1134"/>
      <w:jc w:val="left"/>
    </w:pPr>
    <w:rPr>
      <w:rFonts w:eastAsia="黑体"/>
      <w:snapToGrid w:val="0"/>
      <w:kern w:val="0"/>
      <w:sz w:val="40"/>
    </w:rPr>
  </w:style>
  <w:style w:type="paragraph" w:customStyle="1" w:styleId="SingleTxtGC">
    <w:name w:val="_ Single Txt_GC"/>
    <w:basedOn w:val="a"/>
    <w:link w:val="SingleTxtGCChar"/>
    <w:qFormat/>
    <w:rsid w:val="00412BAA"/>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link w:val="SingleTxtGC"/>
    <w:rsid w:val="00412BAA"/>
    <w:rPr>
      <w:rFonts w:eastAsia="宋体"/>
      <w:snapToGrid w:val="0"/>
      <w:sz w:val="21"/>
      <w:lang w:val="en-US"/>
    </w:rPr>
  </w:style>
  <w:style w:type="character" w:customStyle="1" w:styleId="Char">
    <w:name w:val="脚注文本 Char"/>
    <w:aliases w:val="5_G Char,Footnote Expulsion Char, Char Char,Char Char,FOOTNOTES Char,fn Char,single space Char,footnote text Char,f Char,ft Char,Footnote Text 1 Char,Footnote Text Char1 Char,Footnote Text Char Char Char1,Footnote Text Char Char Char Char"/>
    <w:link w:val="a5"/>
    <w:uiPriority w:val="99"/>
    <w:rsid w:val="00C70268"/>
    <w:rPr>
      <w:rFonts w:eastAsia="宋体"/>
      <w:noProof/>
      <w:kern w:val="14"/>
      <w:sz w:val="18"/>
      <w:lang w:val="en-US"/>
    </w:rPr>
  </w:style>
  <w:style w:type="paragraph" w:customStyle="1" w:styleId="Appelnotedebasdepage">
    <w:name w:val="Appel note de bas de page"/>
    <w:aliases w:val="Texto de nota al pie,referencia nota al pie,FZ,a Footnote Reference,a Footnote text + MetaNormal-Roman,Appel note de bas de page Char1 Char Char Char Char Char,FZ Char Char Char1 Char Char Char"/>
    <w:basedOn w:val="a"/>
    <w:link w:val="a3"/>
    <w:uiPriority w:val="99"/>
    <w:rsid w:val="00C70268"/>
    <w:pPr>
      <w:spacing w:line="240" w:lineRule="auto"/>
      <w:jc w:val="left"/>
    </w:pPr>
    <w:rPr>
      <w:rFonts w:eastAsiaTheme="minorEastAsia"/>
      <w:w w:val="150"/>
      <w:kern w:val="0"/>
      <w:sz w:val="20"/>
      <w:vertAlign w:val="superscript"/>
      <w:lang w:val="en-GB"/>
    </w:rPr>
  </w:style>
  <w:style w:type="character" w:customStyle="1" w:styleId="shorttext">
    <w:name w:val="short_text"/>
    <w:basedOn w:val="a0"/>
    <w:rsid w:val="00DB3DD4"/>
  </w:style>
  <w:style w:type="paragraph" w:customStyle="1" w:styleId="GB23126">
    <w:name w:val="样式 (中文) 楷体_GB2312 六号 蓝色 右 段后: 6 磅 行距: 单倍行距"/>
    <w:basedOn w:val="a"/>
    <w:rsid w:val="000E7875"/>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0E7875"/>
    <w:pPr>
      <w:spacing w:after="120"/>
      <w:jc w:val="left"/>
    </w:pPr>
    <w:rPr>
      <w:rFonts w:eastAsia="宋体" w:cs="宋体"/>
    </w:rPr>
  </w:style>
  <w:style w:type="character" w:customStyle="1" w:styleId="apple-converted-space">
    <w:name w:val="apple-converted-space"/>
    <w:rsid w:val="00632C9B"/>
  </w:style>
  <w:style w:type="character" w:customStyle="1" w:styleId="4Char">
    <w:name w:val="标题 4 Char"/>
    <w:basedOn w:val="a0"/>
    <w:link w:val="4"/>
    <w:uiPriority w:val="9"/>
    <w:rsid w:val="007C3A88"/>
    <w:rPr>
      <w:rFonts w:eastAsia="宋体"/>
      <w:snapToGrid w:val="0"/>
      <w:sz w:val="21"/>
      <w:u w:val="single"/>
      <w:lang w:val="en-US"/>
    </w:rPr>
  </w:style>
  <w:style w:type="character" w:customStyle="1" w:styleId="5Char">
    <w:name w:val="标题 5 Char"/>
    <w:basedOn w:val="a0"/>
    <w:link w:val="5"/>
    <w:uiPriority w:val="9"/>
    <w:rsid w:val="007C3A88"/>
    <w:rPr>
      <w:rFonts w:eastAsia="黑体"/>
      <w:bCs/>
      <w:snapToGrid w:val="0"/>
      <w:sz w:val="21"/>
      <w:szCs w:val="36"/>
      <w:lang w:val="en-US"/>
    </w:rPr>
  </w:style>
  <w:style w:type="character" w:customStyle="1" w:styleId="6Char">
    <w:name w:val="标题 6 Char"/>
    <w:basedOn w:val="a0"/>
    <w:link w:val="6"/>
    <w:uiPriority w:val="9"/>
    <w:rsid w:val="007C3A88"/>
    <w:rPr>
      <w:rFonts w:ascii="Arial" w:eastAsia="黑体" w:hAnsi="Arial"/>
      <w:b/>
      <w:bCs/>
      <w:snapToGrid w:val="0"/>
      <w:sz w:val="21"/>
      <w:szCs w:val="24"/>
      <w:lang w:val="en-US"/>
    </w:rPr>
  </w:style>
  <w:style w:type="character" w:customStyle="1" w:styleId="7Char">
    <w:name w:val="标题 7 Char"/>
    <w:basedOn w:val="a0"/>
    <w:link w:val="7"/>
    <w:uiPriority w:val="9"/>
    <w:rsid w:val="007C3A88"/>
    <w:rPr>
      <w:rFonts w:eastAsia="宋体"/>
      <w:b/>
      <w:bCs/>
      <w:snapToGrid w:val="0"/>
      <w:sz w:val="21"/>
      <w:szCs w:val="24"/>
      <w:lang w:val="en-US"/>
    </w:rPr>
  </w:style>
  <w:style w:type="character" w:customStyle="1" w:styleId="8Char">
    <w:name w:val="标题 8 Char"/>
    <w:basedOn w:val="a0"/>
    <w:link w:val="8"/>
    <w:uiPriority w:val="9"/>
    <w:rsid w:val="007C3A88"/>
    <w:rPr>
      <w:rFonts w:ascii="Arial" w:eastAsia="黑体" w:hAnsi="Arial"/>
      <w:snapToGrid w:val="0"/>
      <w:sz w:val="21"/>
      <w:szCs w:val="24"/>
      <w:lang w:val="en-US"/>
    </w:rPr>
  </w:style>
  <w:style w:type="character" w:customStyle="1" w:styleId="9Char">
    <w:name w:val="标题 9 Char"/>
    <w:basedOn w:val="a0"/>
    <w:link w:val="9"/>
    <w:uiPriority w:val="9"/>
    <w:rsid w:val="007C3A88"/>
    <w:rPr>
      <w:rFonts w:ascii="Arial" w:eastAsia="黑体" w:hAnsi="Arial"/>
      <w:snapToGrid w:val="0"/>
      <w:sz w:val="21"/>
      <w:szCs w:val="21"/>
      <w:lang w:val="en-US"/>
    </w:rPr>
  </w:style>
  <w:style w:type="character" w:customStyle="1" w:styleId="Char0">
    <w:name w:val="尾注文本 Char"/>
    <w:aliases w:val="2_G Char"/>
    <w:basedOn w:val="a0"/>
    <w:link w:val="a6"/>
    <w:rsid w:val="007C3A88"/>
    <w:rPr>
      <w:rFonts w:eastAsia="宋体"/>
      <w:noProof/>
      <w:kern w:val="14"/>
      <w:sz w:val="18"/>
      <w:lang w:val="en-US"/>
    </w:rPr>
  </w:style>
  <w:style w:type="character" w:customStyle="1" w:styleId="Char1">
    <w:name w:val="批注文字 Char"/>
    <w:basedOn w:val="a0"/>
    <w:link w:val="a7"/>
    <w:uiPriority w:val="99"/>
    <w:rsid w:val="007C3A88"/>
    <w:rPr>
      <w:rFonts w:eastAsia="宋体"/>
      <w:kern w:val="14"/>
      <w:sz w:val="21"/>
      <w:lang w:val="en-US"/>
    </w:rPr>
  </w:style>
  <w:style w:type="character" w:customStyle="1" w:styleId="Char2">
    <w:name w:val="批注主题 Char"/>
    <w:basedOn w:val="Char1"/>
    <w:link w:val="a8"/>
    <w:uiPriority w:val="99"/>
    <w:rsid w:val="007C3A88"/>
    <w:rPr>
      <w:rFonts w:eastAsia="宋体"/>
      <w:b/>
      <w:bCs/>
      <w:kern w:val="14"/>
      <w:sz w:val="21"/>
      <w:lang w:val="en-US"/>
    </w:rPr>
  </w:style>
  <w:style w:type="character" w:customStyle="1" w:styleId="Char3">
    <w:name w:val="批注框文本 Char"/>
    <w:basedOn w:val="a0"/>
    <w:link w:val="aa"/>
    <w:uiPriority w:val="99"/>
    <w:rsid w:val="007C3A88"/>
    <w:rPr>
      <w:rFonts w:eastAsia="宋体"/>
      <w:kern w:val="14"/>
      <w:sz w:val="18"/>
      <w:szCs w:val="18"/>
      <w:lang w:val="en-US"/>
    </w:rPr>
  </w:style>
  <w:style w:type="character" w:customStyle="1" w:styleId="Char4">
    <w:name w:val="页眉 Char"/>
    <w:basedOn w:val="a0"/>
    <w:link w:val="ab"/>
    <w:uiPriority w:val="99"/>
    <w:rsid w:val="007C3A88"/>
    <w:rPr>
      <w:noProof/>
      <w:sz w:val="18"/>
      <w:lang w:val="en-US"/>
    </w:rPr>
  </w:style>
  <w:style w:type="character" w:customStyle="1" w:styleId="Char5">
    <w:name w:val="页脚 Char"/>
    <w:aliases w:val="3_G Char"/>
    <w:basedOn w:val="a0"/>
    <w:link w:val="ac"/>
    <w:uiPriority w:val="99"/>
    <w:rsid w:val="007C3A88"/>
    <w:rPr>
      <w:b/>
      <w:noProof/>
      <w:sz w:val="18"/>
      <w:szCs w:val="18"/>
      <w:lang w:val="en-US"/>
    </w:rPr>
  </w:style>
  <w:style w:type="paragraph" w:customStyle="1" w:styleId="DashGC">
    <w:name w:val="_Dash_GC"/>
    <w:basedOn w:val="a"/>
    <w:qFormat/>
    <w:rsid w:val="007C3A88"/>
    <w:pPr>
      <w:numPr>
        <w:numId w:val="6"/>
      </w:numPr>
      <w:tabs>
        <w:tab w:val="left" w:pos="431"/>
      </w:tabs>
      <w:overflowPunct w:val="0"/>
      <w:adjustRightInd w:val="0"/>
      <w:snapToGrid w:val="0"/>
      <w:spacing w:after="120"/>
      <w:ind w:right="1134"/>
    </w:pPr>
    <w:rPr>
      <w:snapToGrid w:val="0"/>
      <w:kern w:val="0"/>
      <w:lang w:val="fr-CH"/>
    </w:rPr>
  </w:style>
  <w:style w:type="paragraph" w:styleId="af1">
    <w:name w:val="macro"/>
    <w:link w:val="Char6"/>
    <w:rsid w:val="007C3A8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eastAsia="宋体"/>
      <w:kern w:val="24"/>
      <w:sz w:val="24"/>
      <w:lang w:val="en-US"/>
    </w:rPr>
  </w:style>
  <w:style w:type="character" w:customStyle="1" w:styleId="Char6">
    <w:name w:val="宏文本 Char"/>
    <w:basedOn w:val="a0"/>
    <w:link w:val="af1"/>
    <w:rsid w:val="007C3A88"/>
    <w:rPr>
      <w:rFonts w:eastAsia="宋体"/>
      <w:kern w:val="24"/>
      <w:sz w:val="24"/>
      <w:lang w:val="en-US"/>
    </w:rPr>
  </w:style>
  <w:style w:type="paragraph" w:customStyle="1" w:styleId="af2">
    <w:name w:val="缩进正文"/>
    <w:basedOn w:val="SingleTxtGC"/>
    <w:qFormat/>
    <w:rsid w:val="007C3A88"/>
    <w:pPr>
      <w:ind w:left="1565"/>
    </w:pPr>
  </w:style>
  <w:style w:type="paragraph" w:customStyle="1" w:styleId="af3">
    <w:name w:val="目录段页次"/>
    <w:basedOn w:val="a"/>
    <w:qFormat/>
    <w:rsid w:val="007C3A88"/>
    <w:pPr>
      <w:widowControl w:val="0"/>
      <w:tabs>
        <w:tab w:val="right" w:pos="851"/>
        <w:tab w:val="left" w:pos="1134"/>
        <w:tab w:val="left" w:pos="1565"/>
        <w:tab w:val="left" w:pos="1996"/>
        <w:tab w:val="right" w:leader="dot" w:pos="7655"/>
        <w:tab w:val="right" w:pos="8789"/>
        <w:tab w:val="right" w:pos="9554"/>
      </w:tabs>
      <w:overflowPunct w:val="0"/>
      <w:adjustRightInd w:val="0"/>
      <w:snapToGrid w:val="0"/>
      <w:spacing w:after="120"/>
      <w:ind w:left="1134" w:right="4253" w:hanging="1134"/>
    </w:pPr>
    <w:rPr>
      <w:snapToGrid w:val="0"/>
      <w:kern w:val="0"/>
    </w:rPr>
  </w:style>
  <w:style w:type="paragraph" w:customStyle="1" w:styleId="af4">
    <w:name w:val="目录页次"/>
    <w:basedOn w:val="a"/>
    <w:qFormat/>
    <w:rsid w:val="007C3A88"/>
    <w:pPr>
      <w:widowControl w:val="0"/>
      <w:tabs>
        <w:tab w:val="right" w:pos="851"/>
        <w:tab w:val="left" w:pos="1134"/>
        <w:tab w:val="left" w:pos="1565"/>
        <w:tab w:val="left" w:pos="1996"/>
        <w:tab w:val="right" w:leader="dot" w:pos="8789"/>
        <w:tab w:val="right" w:pos="9554"/>
      </w:tabs>
      <w:overflowPunct w:val="0"/>
      <w:adjustRightInd w:val="0"/>
      <w:snapToGrid w:val="0"/>
      <w:spacing w:after="120"/>
      <w:ind w:left="1134" w:right="3119" w:hanging="1134"/>
    </w:pPr>
    <w:rPr>
      <w:snapToGrid w:val="0"/>
      <w:kern w:val="0"/>
    </w:rPr>
  </w:style>
  <w:style w:type="character" w:styleId="af5">
    <w:name w:val="page number"/>
    <w:uiPriority w:val="99"/>
    <w:qFormat/>
    <w:rsid w:val="007C3A88"/>
    <w:rPr>
      <w:rFonts w:ascii="Times New Roman" w:hAnsi="Times New Roman"/>
      <w:b/>
      <w:spacing w:val="0"/>
      <w:kern w:val="0"/>
      <w:sz w:val="18"/>
    </w:rPr>
  </w:style>
  <w:style w:type="paragraph" w:customStyle="1" w:styleId="Bullet1GC">
    <w:name w:val="_Bullet 1_GC"/>
    <w:basedOn w:val="a"/>
    <w:qFormat/>
    <w:rsid w:val="007C3A88"/>
    <w:pPr>
      <w:numPr>
        <w:numId w:val="4"/>
      </w:numPr>
      <w:tabs>
        <w:tab w:val="left" w:pos="431"/>
      </w:tabs>
      <w:overflowPunct w:val="0"/>
      <w:adjustRightInd w:val="0"/>
      <w:snapToGrid w:val="0"/>
      <w:spacing w:after="120"/>
      <w:ind w:right="1134"/>
    </w:pPr>
    <w:rPr>
      <w:snapToGrid w:val="0"/>
      <w:kern w:val="0"/>
    </w:rPr>
  </w:style>
  <w:style w:type="paragraph" w:customStyle="1" w:styleId="Bullet2GC">
    <w:name w:val="_Bullet 2_GC"/>
    <w:basedOn w:val="a"/>
    <w:qFormat/>
    <w:rsid w:val="007C3A88"/>
    <w:pPr>
      <w:numPr>
        <w:numId w:val="5"/>
      </w:numPr>
      <w:tabs>
        <w:tab w:val="left" w:pos="431"/>
      </w:tabs>
      <w:overflowPunct w:val="0"/>
      <w:adjustRightInd w:val="0"/>
      <w:snapToGrid w:val="0"/>
      <w:spacing w:after="120"/>
      <w:ind w:right="1134"/>
    </w:pPr>
    <w:rPr>
      <w:snapToGrid w:val="0"/>
      <w:kern w:val="0"/>
    </w:rPr>
  </w:style>
  <w:style w:type="paragraph" w:customStyle="1" w:styleId="H56GC">
    <w:name w:val="_ H_5/6_GC"/>
    <w:basedOn w:val="a"/>
    <w:next w:val="SingleTxtGC"/>
    <w:qFormat/>
    <w:rsid w:val="007C3A88"/>
    <w:pPr>
      <w:keepNext/>
      <w:keepLines/>
      <w:tabs>
        <w:tab w:val="right" w:pos="851"/>
      </w:tabs>
      <w:overflowPunct w:val="0"/>
      <w:adjustRightInd w:val="0"/>
      <w:snapToGrid w:val="0"/>
      <w:spacing w:before="240" w:after="120"/>
      <w:ind w:left="1134" w:right="1134" w:hanging="1134"/>
      <w:outlineLvl w:val="5"/>
    </w:pPr>
    <w:rPr>
      <w:snapToGrid w:val="0"/>
      <w:kern w:val="0"/>
    </w:rPr>
  </w:style>
  <w:style w:type="paragraph" w:customStyle="1" w:styleId="H4GC">
    <w:name w:val="_ H_4_GC"/>
    <w:basedOn w:val="a"/>
    <w:next w:val="SingleTxtGC"/>
    <w:link w:val="H4GCChar"/>
    <w:qFormat/>
    <w:rsid w:val="007C3A88"/>
    <w:pPr>
      <w:keepNext/>
      <w:keepLines/>
      <w:tabs>
        <w:tab w:val="right" w:pos="851"/>
      </w:tabs>
      <w:overflowPunct w:val="0"/>
      <w:adjustRightInd w:val="0"/>
      <w:snapToGrid w:val="0"/>
      <w:spacing w:before="240" w:after="120"/>
      <w:ind w:left="1134" w:right="1134" w:hanging="1134"/>
      <w:outlineLvl w:val="4"/>
    </w:pPr>
    <w:rPr>
      <w:rFonts w:eastAsia="楷体_GB2312"/>
      <w:snapToGrid w:val="0"/>
      <w:kern w:val="0"/>
      <w:sz w:val="23"/>
    </w:rPr>
  </w:style>
  <w:style w:type="character" w:customStyle="1" w:styleId="H4GCChar">
    <w:name w:val="_ H_4_GC Char"/>
    <w:link w:val="H4GC"/>
    <w:rsid w:val="007C3A88"/>
    <w:rPr>
      <w:rFonts w:eastAsia="楷体_GB2312"/>
      <w:snapToGrid w:val="0"/>
      <w:sz w:val="23"/>
      <w:lang w:val="en-US"/>
    </w:rPr>
  </w:style>
  <w:style w:type="paragraph" w:customStyle="1" w:styleId="HChGC">
    <w:name w:val="_ H _Ch_GC"/>
    <w:basedOn w:val="a"/>
    <w:next w:val="SingleTxtGC"/>
    <w:link w:val="HChGCChar"/>
    <w:qFormat/>
    <w:rsid w:val="007C3A88"/>
    <w:pPr>
      <w:keepNext/>
      <w:keepLines/>
      <w:tabs>
        <w:tab w:val="right" w:pos="851"/>
      </w:tabs>
      <w:overflowPunct w:val="0"/>
      <w:adjustRightInd w:val="0"/>
      <w:snapToGrid w:val="0"/>
      <w:spacing w:before="360" w:after="240" w:line="400" w:lineRule="exact"/>
      <w:ind w:left="1134" w:right="1134" w:hanging="1134"/>
      <w:outlineLvl w:val="1"/>
    </w:pPr>
    <w:rPr>
      <w:rFonts w:eastAsia="黑体"/>
      <w:snapToGrid w:val="0"/>
      <w:kern w:val="0"/>
      <w:sz w:val="28"/>
    </w:rPr>
  </w:style>
  <w:style w:type="character" w:customStyle="1" w:styleId="HChGCChar">
    <w:name w:val="_ H _Ch_GC Char"/>
    <w:link w:val="HChGC"/>
    <w:rsid w:val="007C3A88"/>
    <w:rPr>
      <w:rFonts w:eastAsia="黑体"/>
      <w:snapToGrid w:val="0"/>
      <w:sz w:val="28"/>
      <w:lang w:val="en-US"/>
    </w:rPr>
  </w:style>
  <w:style w:type="paragraph" w:customStyle="1" w:styleId="SLGC">
    <w:name w:val="__S_L_GC"/>
    <w:basedOn w:val="a"/>
    <w:next w:val="SingleTxtGC"/>
    <w:qFormat/>
    <w:rsid w:val="007C3A88"/>
    <w:pPr>
      <w:keepNext/>
      <w:keepLines/>
      <w:tabs>
        <w:tab w:val="left" w:pos="431"/>
      </w:tabs>
      <w:overflowPunct w:val="0"/>
      <w:adjustRightInd w:val="0"/>
      <w:snapToGrid w:val="0"/>
      <w:spacing w:before="240" w:after="240" w:line="580" w:lineRule="exact"/>
      <w:ind w:left="1134" w:right="1134"/>
      <w:jc w:val="left"/>
    </w:pPr>
    <w:rPr>
      <w:rFonts w:eastAsia="黑体"/>
      <w:snapToGrid w:val="0"/>
      <w:kern w:val="0"/>
      <w:sz w:val="56"/>
    </w:rPr>
  </w:style>
  <w:style w:type="paragraph" w:customStyle="1" w:styleId="SSGC">
    <w:name w:val="__S_S_GC"/>
    <w:basedOn w:val="a"/>
    <w:next w:val="SingleTxtGC"/>
    <w:qFormat/>
    <w:rsid w:val="007C3A88"/>
    <w:pPr>
      <w:keepNext/>
      <w:keepLines/>
      <w:tabs>
        <w:tab w:val="left" w:pos="431"/>
      </w:tabs>
      <w:overflowPunct w:val="0"/>
      <w:adjustRightInd w:val="0"/>
      <w:snapToGrid w:val="0"/>
      <w:spacing w:before="240" w:after="240" w:line="300" w:lineRule="exact"/>
      <w:ind w:left="1134" w:right="1134"/>
      <w:jc w:val="left"/>
    </w:pPr>
    <w:rPr>
      <w:rFonts w:eastAsia="黑体"/>
      <w:snapToGrid w:val="0"/>
      <w:kern w:val="0"/>
      <w:sz w:val="28"/>
    </w:rPr>
  </w:style>
  <w:style w:type="paragraph" w:customStyle="1" w:styleId="XLargeGC">
    <w:name w:val="__XLarge_GC"/>
    <w:basedOn w:val="a"/>
    <w:next w:val="SingleTxtGC"/>
    <w:qFormat/>
    <w:rsid w:val="007C3A88"/>
    <w:pPr>
      <w:keepNext/>
      <w:keepLines/>
      <w:tabs>
        <w:tab w:val="left" w:pos="431"/>
      </w:tabs>
      <w:overflowPunct w:val="0"/>
      <w:adjustRightInd w:val="0"/>
      <w:snapToGrid w:val="0"/>
      <w:spacing w:before="240" w:after="240" w:line="420" w:lineRule="exact"/>
      <w:ind w:left="1134" w:right="1134"/>
      <w:jc w:val="left"/>
    </w:pPr>
    <w:rPr>
      <w:rFonts w:eastAsia="黑体"/>
      <w:snapToGrid w:val="0"/>
      <w:kern w:val="0"/>
      <w:sz w:val="40"/>
    </w:rPr>
  </w:style>
  <w:style w:type="paragraph" w:customStyle="1" w:styleId="HMGC">
    <w:name w:val="_ H __M_GC"/>
    <w:basedOn w:val="a"/>
    <w:next w:val="SingleTxtGC"/>
    <w:qFormat/>
    <w:rsid w:val="007C3A88"/>
    <w:pPr>
      <w:keepNext/>
      <w:keepLines/>
      <w:tabs>
        <w:tab w:val="right" w:pos="851"/>
      </w:tabs>
      <w:overflowPunct w:val="0"/>
      <w:adjustRightInd w:val="0"/>
      <w:snapToGrid w:val="0"/>
      <w:spacing w:before="240" w:after="240" w:line="440" w:lineRule="exact"/>
      <w:ind w:left="1134" w:right="1134" w:hanging="1134"/>
      <w:outlineLvl w:val="0"/>
    </w:pPr>
    <w:rPr>
      <w:rFonts w:eastAsia="黑体"/>
      <w:snapToGrid w:val="0"/>
      <w:kern w:val="0"/>
      <w:sz w:val="34"/>
    </w:rPr>
  </w:style>
  <w:style w:type="paragraph" w:customStyle="1" w:styleId="H1GC">
    <w:name w:val="_ H_1_GC"/>
    <w:basedOn w:val="a"/>
    <w:next w:val="SingleTxtGC"/>
    <w:link w:val="H1GCChar"/>
    <w:qFormat/>
    <w:rsid w:val="007C3A88"/>
    <w:pPr>
      <w:keepNext/>
      <w:keepLines/>
      <w:tabs>
        <w:tab w:val="right" w:pos="851"/>
      </w:tabs>
      <w:overflowPunct w:val="0"/>
      <w:adjustRightInd w:val="0"/>
      <w:snapToGrid w:val="0"/>
      <w:spacing w:before="360" w:after="240"/>
      <w:ind w:left="1134" w:right="1134" w:hanging="1134"/>
      <w:outlineLvl w:val="2"/>
    </w:pPr>
    <w:rPr>
      <w:rFonts w:eastAsia="黑体"/>
      <w:snapToGrid w:val="0"/>
      <w:kern w:val="0"/>
      <w:sz w:val="24"/>
    </w:rPr>
  </w:style>
  <w:style w:type="character" w:customStyle="1" w:styleId="H1GCChar">
    <w:name w:val="_ H_1_GC Char"/>
    <w:link w:val="H1GC"/>
    <w:rsid w:val="007C3A88"/>
    <w:rPr>
      <w:rFonts w:eastAsia="黑体"/>
      <w:snapToGrid w:val="0"/>
      <w:sz w:val="24"/>
      <w:lang w:val="en-US"/>
    </w:rPr>
  </w:style>
  <w:style w:type="paragraph" w:customStyle="1" w:styleId="H23GC">
    <w:name w:val="_ H_2/3_GC"/>
    <w:basedOn w:val="a"/>
    <w:next w:val="SingleTxtGC"/>
    <w:link w:val="H23GCChar"/>
    <w:qFormat/>
    <w:rsid w:val="007C3A88"/>
    <w:pPr>
      <w:keepNext/>
      <w:keepLines/>
      <w:tabs>
        <w:tab w:val="right" w:pos="851"/>
      </w:tabs>
      <w:overflowPunct w:val="0"/>
      <w:adjustRightInd w:val="0"/>
      <w:snapToGrid w:val="0"/>
      <w:spacing w:before="240" w:after="120"/>
      <w:ind w:left="1134" w:right="1134" w:hanging="1134"/>
      <w:outlineLvl w:val="3"/>
    </w:pPr>
    <w:rPr>
      <w:rFonts w:eastAsia="黑体"/>
      <w:snapToGrid w:val="0"/>
      <w:kern w:val="0"/>
      <w:sz w:val="22"/>
    </w:rPr>
  </w:style>
  <w:style w:type="character" w:customStyle="1" w:styleId="H23GCChar">
    <w:name w:val="_ H_2/3_GC Char"/>
    <w:link w:val="H23GC"/>
    <w:rsid w:val="007C3A88"/>
    <w:rPr>
      <w:rFonts w:eastAsia="黑体"/>
      <w:snapToGrid w:val="0"/>
      <w:sz w:val="22"/>
      <w:lang w:val="en-US"/>
    </w:rPr>
  </w:style>
  <w:style w:type="paragraph" w:customStyle="1" w:styleId="af6">
    <w:name w:val="悬挂"/>
    <w:basedOn w:val="SingleTxtGC"/>
    <w:qFormat/>
    <w:rsid w:val="007C3A88"/>
    <w:pPr>
      <w:ind w:left="1565" w:hanging="431"/>
    </w:pPr>
  </w:style>
  <w:style w:type="paragraph" w:customStyle="1" w:styleId="af7">
    <w:name w:val="表中标题"/>
    <w:basedOn w:val="SingleTxtGC"/>
    <w:qFormat/>
    <w:rsid w:val="007C3A88"/>
    <w:pPr>
      <w:spacing w:before="80" w:after="80" w:line="200" w:lineRule="exact"/>
      <w:ind w:left="0" w:right="0"/>
      <w:jc w:val="left"/>
    </w:pPr>
    <w:rPr>
      <w:rFonts w:eastAsia="楷体_GB2312"/>
      <w:sz w:val="18"/>
    </w:rPr>
  </w:style>
  <w:style w:type="paragraph" w:customStyle="1" w:styleId="af8">
    <w:name w:val="表数文字"/>
    <w:basedOn w:val="SingleTxtGC"/>
    <w:qFormat/>
    <w:rsid w:val="007C3A88"/>
    <w:pPr>
      <w:spacing w:before="40" w:after="40" w:line="240" w:lineRule="atLeast"/>
      <w:ind w:left="0" w:right="113"/>
    </w:pPr>
    <w:rPr>
      <w:sz w:val="18"/>
    </w:rPr>
  </w:style>
  <w:style w:type="paragraph" w:customStyle="1" w:styleId="af9">
    <w:name w:val="目录"/>
    <w:basedOn w:val="a"/>
    <w:rsid w:val="007C3A88"/>
    <w:pPr>
      <w:widowControl w:val="0"/>
      <w:tabs>
        <w:tab w:val="left" w:pos="510"/>
        <w:tab w:val="left" w:pos="7201"/>
        <w:tab w:val="left" w:pos="7711"/>
        <w:tab w:val="left" w:pos="8618"/>
        <w:tab w:val="right" w:pos="9356"/>
      </w:tabs>
      <w:overflowPunct w:val="0"/>
      <w:adjustRightInd w:val="0"/>
      <w:snapToGrid w:val="0"/>
      <w:spacing w:line="360" w:lineRule="auto"/>
      <w:jc w:val="left"/>
    </w:pPr>
    <w:rPr>
      <w:rFonts w:eastAsia="楷体_GB2312"/>
      <w:noProof/>
      <w:kern w:val="0"/>
      <w:sz w:val="24"/>
    </w:rPr>
  </w:style>
  <w:style w:type="paragraph" w:styleId="afa">
    <w:name w:val="Body Text"/>
    <w:basedOn w:val="a"/>
    <w:link w:val="Char7"/>
    <w:rsid w:val="007C3A88"/>
    <w:pPr>
      <w:suppressAutoHyphens/>
      <w:spacing w:after="120" w:line="240" w:lineRule="auto"/>
      <w:jc w:val="left"/>
    </w:pPr>
    <w:rPr>
      <w:kern w:val="0"/>
      <w:sz w:val="24"/>
      <w:lang w:val="en-GB" w:eastAsia="ar-SA"/>
    </w:rPr>
  </w:style>
  <w:style w:type="character" w:customStyle="1" w:styleId="Char7">
    <w:name w:val="正文文本 Char"/>
    <w:basedOn w:val="a0"/>
    <w:link w:val="afa"/>
    <w:rsid w:val="007C3A88"/>
    <w:rPr>
      <w:rFonts w:eastAsia="宋体"/>
      <w:sz w:val="24"/>
      <w:lang w:eastAsia="ar-SA"/>
    </w:rPr>
  </w:style>
  <w:style w:type="paragraph" w:customStyle="1" w:styleId="H23G">
    <w:name w:val="_ H_2/3_G"/>
    <w:basedOn w:val="a"/>
    <w:next w:val="a"/>
    <w:link w:val="H23GChar"/>
    <w:rsid w:val="007C3A88"/>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H23GChar">
    <w:name w:val="_ H_2/3_G Char"/>
    <w:link w:val="H23G"/>
    <w:rsid w:val="007C3A88"/>
    <w:rPr>
      <w:rFonts w:eastAsia="宋体"/>
      <w:b/>
      <w:lang w:eastAsia="en-US"/>
    </w:rPr>
  </w:style>
  <w:style w:type="paragraph" w:customStyle="1" w:styleId="SingleTxtG">
    <w:name w:val="_ Single Txt_G"/>
    <w:basedOn w:val="a"/>
    <w:rsid w:val="007C3A88"/>
    <w:pPr>
      <w:suppressAutoHyphens/>
      <w:spacing w:after="120" w:line="240" w:lineRule="atLeast"/>
      <w:ind w:left="1134" w:right="1134"/>
    </w:pPr>
    <w:rPr>
      <w:kern w:val="0"/>
      <w:sz w:val="20"/>
      <w:lang w:val="en-GB" w:eastAsia="en-US"/>
    </w:rPr>
  </w:style>
  <w:style w:type="paragraph" w:styleId="afb">
    <w:name w:val="Plain Text"/>
    <w:basedOn w:val="a"/>
    <w:link w:val="Char8"/>
    <w:rsid w:val="007C3A88"/>
    <w:pPr>
      <w:tabs>
        <w:tab w:val="left" w:pos="431"/>
      </w:tabs>
      <w:overflowPunct w:val="0"/>
      <w:adjustRightInd w:val="0"/>
      <w:snapToGrid w:val="0"/>
    </w:pPr>
    <w:rPr>
      <w:rFonts w:ascii="宋体" w:hAnsi="Courier New" w:cs="Courier New"/>
      <w:snapToGrid w:val="0"/>
      <w:kern w:val="0"/>
      <w:szCs w:val="21"/>
    </w:rPr>
  </w:style>
  <w:style w:type="character" w:customStyle="1" w:styleId="Char8">
    <w:name w:val="纯文本 Char"/>
    <w:basedOn w:val="a0"/>
    <w:link w:val="afb"/>
    <w:rsid w:val="007C3A88"/>
    <w:rPr>
      <w:rFonts w:ascii="宋体" w:eastAsia="宋体" w:hAnsi="Courier New" w:cs="Courier New"/>
      <w:snapToGrid w:val="0"/>
      <w:sz w:val="21"/>
      <w:szCs w:val="21"/>
      <w:lang w:val="en-US"/>
    </w:rPr>
  </w:style>
  <w:style w:type="paragraph" w:styleId="afc">
    <w:name w:val="Title"/>
    <w:basedOn w:val="a"/>
    <w:link w:val="Char9"/>
    <w:uiPriority w:val="10"/>
    <w:qFormat/>
    <w:rsid w:val="007C3A88"/>
    <w:pPr>
      <w:tabs>
        <w:tab w:val="left" w:pos="431"/>
      </w:tabs>
      <w:overflowPunct w:val="0"/>
      <w:adjustRightInd w:val="0"/>
      <w:snapToGrid w:val="0"/>
      <w:spacing w:before="240" w:after="60"/>
      <w:jc w:val="center"/>
      <w:outlineLvl w:val="0"/>
    </w:pPr>
    <w:rPr>
      <w:rFonts w:ascii="Arial" w:hAnsi="Arial" w:cs="Arial"/>
      <w:b/>
      <w:bCs/>
      <w:snapToGrid w:val="0"/>
      <w:kern w:val="0"/>
      <w:sz w:val="32"/>
      <w:szCs w:val="32"/>
    </w:rPr>
  </w:style>
  <w:style w:type="character" w:customStyle="1" w:styleId="Char9">
    <w:name w:val="标题 Char"/>
    <w:basedOn w:val="a0"/>
    <w:link w:val="afc"/>
    <w:uiPriority w:val="10"/>
    <w:rsid w:val="007C3A88"/>
    <w:rPr>
      <w:rFonts w:ascii="Arial" w:eastAsia="宋体" w:hAnsi="Arial" w:cs="Arial"/>
      <w:b/>
      <w:bCs/>
      <w:snapToGrid w:val="0"/>
      <w:sz w:val="32"/>
      <w:szCs w:val="32"/>
      <w:lang w:val="en-US"/>
    </w:rPr>
  </w:style>
  <w:style w:type="character" w:customStyle="1" w:styleId="sb8d990e2">
    <w:name w:val="sb8d990e2"/>
    <w:rsid w:val="007C3A88"/>
  </w:style>
  <w:style w:type="character" w:customStyle="1" w:styleId="s6b621b36">
    <w:name w:val="s6b621b36"/>
    <w:rsid w:val="007C3A88"/>
  </w:style>
  <w:style w:type="character" w:customStyle="1" w:styleId="5GCharChar">
    <w:name w:val="5_G Char Char"/>
    <w:rsid w:val="007C3A88"/>
    <w:rPr>
      <w:sz w:val="18"/>
      <w:lang w:val="en-GB" w:eastAsia="en-US" w:bidi="ar-SA"/>
    </w:rPr>
  </w:style>
  <w:style w:type="paragraph" w:customStyle="1" w:styleId="afd">
    <w:name w:val="表中文字"/>
    <w:basedOn w:val="SingleTxtGC"/>
    <w:qFormat/>
    <w:rsid w:val="007C3A88"/>
    <w:pPr>
      <w:spacing w:before="40" w:line="240" w:lineRule="atLeast"/>
      <w:ind w:left="0" w:right="113"/>
    </w:pPr>
    <w:rPr>
      <w:sz w:val="18"/>
    </w:rPr>
  </w:style>
  <w:style w:type="paragraph" w:styleId="31">
    <w:name w:val="toc 3"/>
    <w:basedOn w:val="a"/>
    <w:next w:val="a"/>
    <w:autoRedefine/>
    <w:uiPriority w:val="39"/>
    <w:qFormat/>
    <w:rsid w:val="007C3A88"/>
    <w:pPr>
      <w:overflowPunct w:val="0"/>
      <w:adjustRightInd w:val="0"/>
      <w:snapToGrid w:val="0"/>
      <w:ind w:left="840"/>
    </w:pPr>
    <w:rPr>
      <w:snapToGrid w:val="0"/>
      <w:kern w:val="0"/>
    </w:rPr>
  </w:style>
  <w:style w:type="paragraph" w:styleId="41">
    <w:name w:val="toc 4"/>
    <w:basedOn w:val="a"/>
    <w:next w:val="a"/>
    <w:autoRedefine/>
    <w:uiPriority w:val="39"/>
    <w:rsid w:val="007C3A88"/>
    <w:pPr>
      <w:overflowPunct w:val="0"/>
      <w:adjustRightInd w:val="0"/>
      <w:snapToGrid w:val="0"/>
      <w:ind w:left="1260"/>
    </w:pPr>
    <w:rPr>
      <w:snapToGrid w:val="0"/>
      <w:kern w:val="0"/>
    </w:rPr>
  </w:style>
  <w:style w:type="character" w:customStyle="1" w:styleId="st">
    <w:name w:val="st"/>
    <w:rsid w:val="007C3A88"/>
  </w:style>
  <w:style w:type="paragraph" w:customStyle="1" w:styleId="Paragraphedeliste">
    <w:name w:val="Paragraphe de liste"/>
    <w:basedOn w:val="a"/>
    <w:qFormat/>
    <w:rsid w:val="007C3A88"/>
    <w:pPr>
      <w:spacing w:after="160" w:line="259" w:lineRule="auto"/>
      <w:ind w:left="720"/>
      <w:contextualSpacing/>
      <w:jc w:val="left"/>
    </w:pPr>
    <w:rPr>
      <w:rFonts w:ascii="Calibri" w:eastAsia="Calibri" w:hAnsi="Calibri"/>
      <w:kern w:val="0"/>
      <w:sz w:val="22"/>
      <w:szCs w:val="22"/>
      <w:lang w:val="en-GB" w:eastAsia="en-US"/>
    </w:rPr>
  </w:style>
  <w:style w:type="character" w:customStyle="1" w:styleId="atn">
    <w:name w:val="atn"/>
    <w:basedOn w:val="a0"/>
    <w:rsid w:val="007C3A88"/>
  </w:style>
  <w:style w:type="character" w:customStyle="1" w:styleId="hps">
    <w:name w:val="hps"/>
    <w:basedOn w:val="a0"/>
    <w:rsid w:val="007C3A88"/>
  </w:style>
  <w:style w:type="paragraph" w:styleId="afe">
    <w:name w:val="Subtitle"/>
    <w:basedOn w:val="a"/>
    <w:next w:val="a"/>
    <w:link w:val="Chara"/>
    <w:uiPriority w:val="11"/>
    <w:qFormat/>
    <w:rsid w:val="007C3A88"/>
    <w:pPr>
      <w:spacing w:after="600" w:line="276" w:lineRule="auto"/>
      <w:jc w:val="left"/>
    </w:pPr>
    <w:rPr>
      <w:rFonts w:ascii="Cambria" w:hAnsi="Cambria"/>
      <w:i/>
      <w:iCs/>
      <w:color w:val="000000"/>
      <w:spacing w:val="13"/>
      <w:kern w:val="0"/>
      <w:sz w:val="24"/>
      <w:szCs w:val="24"/>
      <w:lang w:eastAsia="en-US"/>
    </w:rPr>
  </w:style>
  <w:style w:type="character" w:customStyle="1" w:styleId="Chara">
    <w:name w:val="副标题 Char"/>
    <w:basedOn w:val="a0"/>
    <w:link w:val="afe"/>
    <w:uiPriority w:val="11"/>
    <w:rsid w:val="007C3A88"/>
    <w:rPr>
      <w:rFonts w:ascii="Cambria" w:eastAsia="宋体" w:hAnsi="Cambria"/>
      <w:i/>
      <w:iCs/>
      <w:color w:val="000000"/>
      <w:spacing w:val="13"/>
      <w:sz w:val="24"/>
      <w:szCs w:val="24"/>
      <w:lang w:val="en-US" w:eastAsia="en-US"/>
    </w:rPr>
  </w:style>
  <w:style w:type="character" w:styleId="aff">
    <w:name w:val="Strong"/>
    <w:uiPriority w:val="22"/>
    <w:qFormat/>
    <w:rsid w:val="007C3A88"/>
    <w:rPr>
      <w:b/>
      <w:bCs/>
    </w:rPr>
  </w:style>
  <w:style w:type="character" w:styleId="aff0">
    <w:name w:val="Emphasis"/>
    <w:uiPriority w:val="20"/>
    <w:qFormat/>
    <w:rsid w:val="007C3A88"/>
    <w:rPr>
      <w:b/>
      <w:bCs/>
      <w:i/>
      <w:iCs/>
      <w:spacing w:val="10"/>
      <w:bdr w:val="none" w:sz="0" w:space="0" w:color="auto"/>
      <w:shd w:val="clear" w:color="auto" w:fill="auto"/>
    </w:rPr>
  </w:style>
  <w:style w:type="character" w:customStyle="1" w:styleId="1-4Char">
    <w:name w:val="中等深浅网格 1 - 强调文字颜色 4 Char"/>
    <w:link w:val="1-4"/>
    <w:uiPriority w:val="29"/>
    <w:rsid w:val="007C3A88"/>
    <w:rPr>
      <w:i/>
      <w:iCs/>
      <w:color w:val="000000"/>
      <w:sz w:val="24"/>
      <w:szCs w:val="24"/>
      <w:lang w:eastAsia="en-US"/>
    </w:rPr>
  </w:style>
  <w:style w:type="table" w:styleId="1-4">
    <w:name w:val="Medium Grid 1 Accent 4"/>
    <w:basedOn w:val="a1"/>
    <w:link w:val="1-4Char"/>
    <w:uiPriority w:val="29"/>
    <w:rsid w:val="007C3A88"/>
    <w:rPr>
      <w:i/>
      <w:iCs/>
      <w:color w:val="000000"/>
      <w:sz w:val="24"/>
      <w:szCs w:val="24"/>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lastRow">
      <w:tblPr/>
      <w:tcPr>
        <w:tcBorders>
          <w:top w:val="single" w:sz="18" w:space="0" w:color="9F8AB9" w:themeColor="accent4" w:themeTint="BF"/>
        </w:tcBorders>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2-4Char">
    <w:name w:val="中等深浅网格 2 - 强调文字颜色 4 Char"/>
    <w:link w:val="2-4"/>
    <w:uiPriority w:val="30"/>
    <w:rsid w:val="007C3A88"/>
    <w:rPr>
      <w:b/>
      <w:bCs/>
      <w:i/>
      <w:iCs/>
      <w:color w:val="000000"/>
      <w:sz w:val="24"/>
      <w:szCs w:val="24"/>
      <w:lang w:eastAsia="en-US"/>
    </w:rPr>
  </w:style>
  <w:style w:type="table" w:styleId="2-4">
    <w:name w:val="Medium Grid 2 Accent 4"/>
    <w:basedOn w:val="a1"/>
    <w:link w:val="2-4Char"/>
    <w:uiPriority w:val="30"/>
    <w:rsid w:val="007C3A88"/>
    <w:rPr>
      <w:b/>
      <w:bCs/>
      <w:i/>
      <w:iCs/>
      <w:color w:val="000000"/>
      <w:sz w:val="24"/>
      <w:szCs w:val="24"/>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tblPr/>
      <w:tcPr>
        <w:shd w:val="clear" w:color="auto" w:fill="F2EFF6" w:themeFill="accent4"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11">
    <w:name w:val="不明显强调1"/>
    <w:uiPriority w:val="19"/>
    <w:qFormat/>
    <w:rsid w:val="007C3A88"/>
    <w:rPr>
      <w:i/>
      <w:iCs/>
    </w:rPr>
  </w:style>
  <w:style w:type="character" w:customStyle="1" w:styleId="12">
    <w:name w:val="明显强调1"/>
    <w:uiPriority w:val="21"/>
    <w:qFormat/>
    <w:rsid w:val="007C3A88"/>
    <w:rPr>
      <w:b/>
      <w:bCs/>
    </w:rPr>
  </w:style>
  <w:style w:type="character" w:customStyle="1" w:styleId="13">
    <w:name w:val="不明显参考1"/>
    <w:uiPriority w:val="31"/>
    <w:qFormat/>
    <w:rsid w:val="007C3A88"/>
    <w:rPr>
      <w:smallCaps/>
    </w:rPr>
  </w:style>
  <w:style w:type="character" w:customStyle="1" w:styleId="14">
    <w:name w:val="明显参考1"/>
    <w:uiPriority w:val="32"/>
    <w:qFormat/>
    <w:rsid w:val="007C3A88"/>
    <w:rPr>
      <w:smallCaps/>
      <w:spacing w:val="5"/>
      <w:u w:val="single"/>
    </w:rPr>
  </w:style>
  <w:style w:type="character" w:customStyle="1" w:styleId="15">
    <w:name w:val="书籍标题1"/>
    <w:uiPriority w:val="33"/>
    <w:qFormat/>
    <w:rsid w:val="007C3A88"/>
    <w:rPr>
      <w:i/>
      <w:iCs/>
      <w:smallCaps/>
      <w:spacing w:val="5"/>
    </w:rPr>
  </w:style>
  <w:style w:type="paragraph" w:customStyle="1" w:styleId="TOC1">
    <w:name w:val="TOC 标题1"/>
    <w:basedOn w:val="1"/>
    <w:next w:val="a"/>
    <w:uiPriority w:val="39"/>
    <w:unhideWhenUsed/>
    <w:qFormat/>
    <w:rsid w:val="007C3A88"/>
    <w:pPr>
      <w:keepNext w:val="0"/>
      <w:keepLines w:val="0"/>
      <w:tabs>
        <w:tab w:val="clear" w:pos="1021"/>
        <w:tab w:val="clear" w:pos="1264"/>
        <w:tab w:val="clear" w:pos="1695"/>
        <w:tab w:val="clear" w:pos="2126"/>
        <w:tab w:val="clear" w:pos="2557"/>
      </w:tabs>
      <w:spacing w:before="480" w:after="200" w:line="276" w:lineRule="auto"/>
      <w:ind w:left="0" w:right="0" w:firstLine="0"/>
      <w:contextualSpacing/>
      <w:jc w:val="left"/>
      <w:outlineLvl w:val="9"/>
    </w:pPr>
    <w:rPr>
      <w:rFonts w:ascii="Cambria" w:eastAsia="宋体" w:hAnsi="Cambria" w:cs="Times New Roman"/>
      <w:b/>
      <w:snapToGrid w:val="0"/>
      <w:color w:val="000000"/>
      <w:kern w:val="0"/>
      <w:lang w:eastAsia="en-US" w:bidi="en-US"/>
    </w:rPr>
  </w:style>
  <w:style w:type="character" w:customStyle="1" w:styleId="breadcrumb">
    <w:name w:val="breadcrumb"/>
    <w:rsid w:val="007C3A88"/>
  </w:style>
  <w:style w:type="paragraph" w:customStyle="1" w:styleId="style3style3style3">
    <w:name w:val="style3 style3 style3"/>
    <w:basedOn w:val="a"/>
    <w:rsid w:val="007C3A88"/>
    <w:pPr>
      <w:spacing w:beforeLines="1" w:afterLines="1" w:line="240" w:lineRule="auto"/>
      <w:jc w:val="left"/>
    </w:pPr>
    <w:rPr>
      <w:rFonts w:ascii="Times" w:hAnsi="Times" w:cs="Arial"/>
      <w:kern w:val="0"/>
      <w:sz w:val="20"/>
      <w:szCs w:val="24"/>
      <w:lang w:eastAsia="ja-JP"/>
    </w:rPr>
  </w:style>
  <w:style w:type="character" w:customStyle="1" w:styleId="highlight">
    <w:name w:val="highlight"/>
    <w:rsid w:val="007C3A88"/>
  </w:style>
  <w:style w:type="character" w:customStyle="1" w:styleId="additionalfieldscustomsecondarytext">
    <w:name w:val="additionalfields customsecondarytext"/>
    <w:rsid w:val="007C3A88"/>
  </w:style>
  <w:style w:type="paragraph" w:customStyle="1" w:styleId="HChG">
    <w:name w:val="_ H _Ch_G"/>
    <w:basedOn w:val="a"/>
    <w:next w:val="a"/>
    <w:rsid w:val="007C3A88"/>
    <w:pPr>
      <w:keepNext/>
      <w:keepLines/>
      <w:tabs>
        <w:tab w:val="right" w:pos="851"/>
      </w:tabs>
      <w:suppressAutoHyphens/>
      <w:spacing w:before="360" w:after="240" w:line="300" w:lineRule="exact"/>
      <w:ind w:left="1134" w:right="1134" w:hanging="1134"/>
      <w:jc w:val="left"/>
    </w:pPr>
    <w:rPr>
      <w:b/>
      <w:kern w:val="0"/>
      <w:sz w:val="28"/>
      <w:szCs w:val="24"/>
      <w:lang w:val="en-GB" w:eastAsia="ja-JP"/>
    </w:rPr>
  </w:style>
  <w:style w:type="character" w:customStyle="1" w:styleId="il">
    <w:name w:val="il"/>
    <w:rsid w:val="007C3A88"/>
  </w:style>
  <w:style w:type="paragraph" w:styleId="16">
    <w:name w:val="toc 1"/>
    <w:basedOn w:val="a"/>
    <w:next w:val="a"/>
    <w:autoRedefine/>
    <w:uiPriority w:val="39"/>
    <w:unhideWhenUsed/>
    <w:qFormat/>
    <w:rsid w:val="007C3A88"/>
    <w:pPr>
      <w:spacing w:before="120" w:line="240" w:lineRule="auto"/>
      <w:jc w:val="left"/>
    </w:pPr>
    <w:rPr>
      <w:rFonts w:eastAsia="MS Mincho"/>
      <w:b/>
      <w:kern w:val="0"/>
      <w:sz w:val="24"/>
      <w:szCs w:val="24"/>
      <w:lang w:eastAsia="en-US"/>
    </w:rPr>
  </w:style>
  <w:style w:type="paragraph" w:styleId="21">
    <w:name w:val="toc 2"/>
    <w:basedOn w:val="a"/>
    <w:next w:val="a"/>
    <w:autoRedefine/>
    <w:uiPriority w:val="39"/>
    <w:unhideWhenUsed/>
    <w:qFormat/>
    <w:rsid w:val="007C3A88"/>
    <w:pPr>
      <w:spacing w:line="240" w:lineRule="auto"/>
      <w:ind w:left="240"/>
      <w:jc w:val="left"/>
    </w:pPr>
    <w:rPr>
      <w:rFonts w:ascii="Calibri" w:eastAsia="MS Mincho" w:hAnsi="Calibri"/>
      <w:b/>
      <w:kern w:val="0"/>
      <w:sz w:val="22"/>
      <w:szCs w:val="22"/>
      <w:lang w:eastAsia="en-US"/>
    </w:rPr>
  </w:style>
  <w:style w:type="paragraph" w:customStyle="1" w:styleId="H1G">
    <w:name w:val="_ H_1_G"/>
    <w:basedOn w:val="a"/>
    <w:next w:val="a"/>
    <w:rsid w:val="007C3A88"/>
    <w:pPr>
      <w:keepNext/>
      <w:keepLines/>
      <w:tabs>
        <w:tab w:val="right" w:pos="851"/>
      </w:tabs>
      <w:suppressAutoHyphens/>
      <w:spacing w:before="360" w:after="240" w:line="270" w:lineRule="exact"/>
      <w:ind w:left="1134" w:right="1134" w:hanging="1134"/>
      <w:jc w:val="left"/>
    </w:pPr>
    <w:rPr>
      <w:b/>
      <w:kern w:val="0"/>
      <w:sz w:val="24"/>
      <w:lang w:val="en-GB" w:eastAsia="en-US"/>
    </w:rPr>
  </w:style>
  <w:style w:type="character" w:customStyle="1" w:styleId="CharChar2">
    <w:name w:val="Char Char2"/>
    <w:rsid w:val="007C3A88"/>
    <w:rPr>
      <w:lang w:val="en-GB"/>
    </w:rPr>
  </w:style>
  <w:style w:type="character" w:customStyle="1" w:styleId="preferred">
    <w:name w:val="preferred"/>
    <w:rsid w:val="007C3A88"/>
  </w:style>
  <w:style w:type="character" w:customStyle="1" w:styleId="zh">
    <w:name w:val="zh"/>
    <w:rsid w:val="007C3A88"/>
  </w:style>
  <w:style w:type="paragraph" w:styleId="aff1">
    <w:name w:val="Document Map"/>
    <w:basedOn w:val="a"/>
    <w:link w:val="Charb"/>
    <w:uiPriority w:val="99"/>
    <w:rsid w:val="007C3A88"/>
    <w:pPr>
      <w:tabs>
        <w:tab w:val="left" w:pos="431"/>
      </w:tabs>
      <w:overflowPunct w:val="0"/>
      <w:adjustRightInd w:val="0"/>
      <w:snapToGrid w:val="0"/>
      <w:spacing w:line="240" w:lineRule="auto"/>
    </w:pPr>
    <w:rPr>
      <w:rFonts w:ascii="Lucida Grande" w:hAnsi="Lucida Grande" w:cs="Lucida Grande"/>
      <w:snapToGrid w:val="0"/>
      <w:kern w:val="0"/>
      <w:sz w:val="24"/>
      <w:szCs w:val="24"/>
    </w:rPr>
  </w:style>
  <w:style w:type="character" w:customStyle="1" w:styleId="Charb">
    <w:name w:val="文档结构图 Char"/>
    <w:basedOn w:val="a0"/>
    <w:link w:val="aff1"/>
    <w:uiPriority w:val="99"/>
    <w:rsid w:val="007C3A88"/>
    <w:rPr>
      <w:rFonts w:ascii="Lucida Grande" w:eastAsia="宋体" w:hAnsi="Lucida Grande" w:cs="Lucida Grande"/>
      <w:snapToGrid w:val="0"/>
      <w:sz w:val="24"/>
      <w:szCs w:val="24"/>
      <w:lang w:val="en-US"/>
    </w:rPr>
  </w:style>
  <w:style w:type="paragraph" w:styleId="HTML">
    <w:name w:val="HTML Preformatted"/>
    <w:basedOn w:val="a"/>
    <w:link w:val="HTMLChar"/>
    <w:uiPriority w:val="99"/>
    <w:unhideWhenUsed/>
    <w:rsid w:val="007C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rPr>
  </w:style>
  <w:style w:type="character" w:customStyle="1" w:styleId="HTMLChar">
    <w:name w:val="HTML 预设格式 Char"/>
    <w:basedOn w:val="a0"/>
    <w:link w:val="HTML"/>
    <w:uiPriority w:val="99"/>
    <w:rsid w:val="007C3A88"/>
    <w:rPr>
      <w:rFonts w:ascii="Courier New" w:eastAsia="Times New Roman" w:hAnsi="Courier New" w:cs="Courier New"/>
      <w:lang w:val="en-US"/>
    </w:rPr>
  </w:style>
  <w:style w:type="paragraph" w:customStyle="1" w:styleId="Bullet3">
    <w:name w:val="Bullet 3"/>
    <w:basedOn w:val="SingleTxt"/>
    <w:qFormat/>
    <w:rsid w:val="00F53060"/>
    <w:pPr>
      <w:numPr>
        <w:numId w:val="7"/>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rPr>
      <w:rFonts w:eastAsiaTheme="minorEastAsia"/>
    </w:rPr>
  </w:style>
  <w:style w:type="numbering" w:customStyle="1" w:styleId="17">
    <w:name w:val="无列表1"/>
    <w:next w:val="a2"/>
    <w:uiPriority w:val="99"/>
    <w:semiHidden/>
    <w:unhideWhenUsed/>
    <w:rsid w:val="00F53060"/>
  </w:style>
  <w:style w:type="paragraph" w:styleId="aff2">
    <w:name w:val="List Paragraph"/>
    <w:basedOn w:val="a"/>
    <w:uiPriority w:val="34"/>
    <w:qFormat/>
    <w:rsid w:val="00F53060"/>
    <w:pPr>
      <w:spacing w:line="240" w:lineRule="auto"/>
      <w:ind w:left="720"/>
      <w:contextualSpacing/>
      <w:jc w:val="left"/>
    </w:pPr>
    <w:rPr>
      <w:rFonts w:eastAsia="Times New Roman"/>
      <w:kern w:val="0"/>
      <w:sz w:val="24"/>
      <w:szCs w:val="24"/>
      <w:lang w:eastAsia="en-US"/>
    </w:rPr>
  </w:style>
  <w:style w:type="character" w:customStyle="1" w:styleId="FootnoteCharacters">
    <w:name w:val="Footnote Characters"/>
    <w:rsid w:val="00F53060"/>
    <w:rPr>
      <w:vertAlign w:val="superscript"/>
    </w:rPr>
  </w:style>
  <w:style w:type="paragraph" w:customStyle="1" w:styleId="Default">
    <w:name w:val="Default"/>
    <w:rsid w:val="00F53060"/>
    <w:pPr>
      <w:widowControl w:val="0"/>
      <w:autoSpaceDE w:val="0"/>
      <w:autoSpaceDN w:val="0"/>
      <w:adjustRightInd w:val="0"/>
    </w:pPr>
    <w:rPr>
      <w:rFonts w:ascii="KNHKPP+TimesNewRoman" w:eastAsia="Times New Roman" w:hAnsi="KNHKPP+TimesNewRoman" w:cs="KNHKPP+TimesNewRoman"/>
      <w:color w:val="000000"/>
      <w:sz w:val="24"/>
      <w:szCs w:val="24"/>
      <w:lang w:val="en-US" w:eastAsia="en-US" w:bidi="en-US"/>
    </w:rPr>
  </w:style>
  <w:style w:type="character" w:customStyle="1" w:styleId="Char10">
    <w:name w:val="文档结构图 Char1"/>
    <w:basedOn w:val="a0"/>
    <w:rsid w:val="00F53060"/>
    <w:rPr>
      <w:rFonts w:ascii="宋体" w:eastAsia="宋体"/>
      <w:kern w:val="14"/>
      <w:sz w:val="18"/>
      <w:szCs w:val="18"/>
      <w:lang w:val="en-US"/>
    </w:rPr>
  </w:style>
  <w:style w:type="paragraph" w:styleId="aff3">
    <w:name w:val="No Spacing"/>
    <w:uiPriority w:val="1"/>
    <w:qFormat/>
    <w:rsid w:val="00F53060"/>
    <w:rPr>
      <w:rFonts w:eastAsia="Times New Roman"/>
      <w:sz w:val="24"/>
      <w:szCs w:val="24"/>
      <w:lang w:val="en-US" w:eastAsia="en-US"/>
    </w:rPr>
  </w:style>
  <w:style w:type="paragraph" w:styleId="50">
    <w:name w:val="toc 5"/>
    <w:basedOn w:val="a"/>
    <w:next w:val="a"/>
    <w:autoRedefine/>
    <w:uiPriority w:val="39"/>
    <w:unhideWhenUsed/>
    <w:rsid w:val="00F53060"/>
    <w:pPr>
      <w:tabs>
        <w:tab w:val="left" w:pos="1613"/>
        <w:tab w:val="right" w:leader="dot" w:pos="8630"/>
      </w:tabs>
      <w:spacing w:after="100" w:line="240" w:lineRule="auto"/>
      <w:ind w:left="960"/>
    </w:pPr>
    <w:rPr>
      <w:rFonts w:eastAsia="Times New Roman"/>
      <w:kern w:val="0"/>
      <w:sz w:val="24"/>
      <w:szCs w:val="24"/>
      <w:lang w:eastAsia="en-US"/>
    </w:rPr>
  </w:style>
  <w:style w:type="paragraph" w:styleId="60">
    <w:name w:val="toc 6"/>
    <w:basedOn w:val="a"/>
    <w:next w:val="a"/>
    <w:autoRedefine/>
    <w:uiPriority w:val="39"/>
    <w:unhideWhenUsed/>
    <w:rsid w:val="00F53060"/>
    <w:pPr>
      <w:spacing w:after="100" w:line="240" w:lineRule="auto"/>
      <w:ind w:left="1200"/>
      <w:jc w:val="left"/>
    </w:pPr>
    <w:rPr>
      <w:rFonts w:eastAsia="Times New Roman"/>
      <w:kern w:val="0"/>
      <w:sz w:val="24"/>
      <w:szCs w:val="24"/>
      <w:lang w:eastAsia="en-US"/>
    </w:rPr>
  </w:style>
  <w:style w:type="character" w:customStyle="1" w:styleId="spelle">
    <w:name w:val="spelle"/>
    <w:basedOn w:val="a0"/>
    <w:rsid w:val="00F53060"/>
  </w:style>
  <w:style w:type="character" w:customStyle="1" w:styleId="searchword">
    <w:name w:val="searchword"/>
    <w:basedOn w:val="a0"/>
    <w:rsid w:val="00F53060"/>
  </w:style>
  <w:style w:type="character" w:customStyle="1" w:styleId="caps">
    <w:name w:val="caps"/>
    <w:basedOn w:val="a0"/>
    <w:rsid w:val="00F53060"/>
  </w:style>
  <w:style w:type="character" w:customStyle="1" w:styleId="file">
    <w:name w:val="file"/>
    <w:basedOn w:val="a0"/>
    <w:rsid w:val="00F53060"/>
  </w:style>
  <w:style w:type="character" w:customStyle="1" w:styleId="doctitle">
    <w:name w:val="doctitle"/>
    <w:basedOn w:val="a0"/>
    <w:rsid w:val="00F5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2" Type="http://schemas.openxmlformats.org/officeDocument/2006/relationships/hyperlink" Target="http://www.sice.oas.org/Trade/MEX_JPN_e/agreement.pdf" TargetMode="External"/><Relationship Id="rId1" Type="http://schemas.openxmlformats.org/officeDocument/2006/relationships/hyperlink" Target="http://investmentpolicyhub.unctad.org/I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0D5F-0989-4344-B73E-752823B8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181</Pages>
  <Words>20988</Words>
  <Characters>119635</Characters>
  <Application>Microsoft Office Word</Application>
  <DocSecurity>0</DocSecurity>
  <Lines>996</Lines>
  <Paragraphs>280</Paragraphs>
  <ScaleCrop>false</ScaleCrop>
  <Company>DCM</Company>
  <LinksUpToDate>false</LinksUpToDate>
  <CharactersWithSpaces>140343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Ctpu</dc:title>
  <dc:creator>mlu</dc:creator>
  <cp:lastModifiedBy>mlu</cp:lastModifiedBy>
  <cp:revision>52</cp:revision>
  <cp:lastPrinted>2015-09-16T07:12:00Z</cp:lastPrinted>
  <dcterms:created xsi:type="dcterms:W3CDTF">2015-09-11T08:23:00Z</dcterms:created>
  <dcterms:modified xsi:type="dcterms:W3CDTF">2015-09-16T07:14:00Z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1513770</vt:lpwstr>
  </property>
  <property fmtid="{D5CDD505-2E9C-101B-9397-08002B2CF9AE}" pid="3" name="ODSRefJobNo">
    <vt:lpwstr>1518056C</vt:lpwstr>
  </property>
  <property fmtid="{D5CDD505-2E9C-101B-9397-08002B2CF9AE}" pid="4" name="Symbol1">
    <vt:lpwstr>A/70/10</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ies>
</file>